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97" w:rsidRPr="00BF3C97" w:rsidRDefault="00BF3C97" w:rsidP="00BF3C97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BF3C97">
        <w:rPr>
          <w:rFonts w:eastAsia="Times New Roman"/>
          <w:b/>
          <w:caps/>
          <w:szCs w:val="20"/>
          <w:lang w:val="fr-FR" w:eastAsia="en-GB"/>
        </w:rPr>
        <w:t xml:space="preserve">PROCÉDURE </w:t>
      </w:r>
      <w:r w:rsidRPr="00BF3C97">
        <w:rPr>
          <w:rFonts w:eastAsia="Times New Roman"/>
          <w:b/>
          <w:szCs w:val="20"/>
          <w:lang w:val="fr-FR" w:eastAsia="en-GB"/>
        </w:rPr>
        <w:t>LÉGISLATIVE ORDINAIRE – Première lecture</w:t>
      </w:r>
    </w:p>
    <w:p w:rsidR="00BF3C97" w:rsidRPr="00BF3C97" w:rsidRDefault="00BF3C97" w:rsidP="00BF3C97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sustainability"/>
      <w:r w:rsidRPr="00BF3C97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établissant un point d’accès unique européen fournissant un accès centralisé à des informations accessibles au public présentant un intérêt pour les services financiers, les marchés des capitaux et la durabilité</w:t>
      </w:r>
    </w:p>
    <w:bookmarkEnd w:id="1"/>
    <w:p w:rsidR="00BF3C97" w:rsidRPr="00BF3C97" w:rsidRDefault="00BF3C97" w:rsidP="00BF3C9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pt-PT" w:eastAsia="en-GB"/>
        </w:rPr>
      </w:pPr>
      <w:r w:rsidRPr="00BF3C97">
        <w:rPr>
          <w:rFonts w:eastAsia="Times New Roman"/>
          <w:b/>
          <w:szCs w:val="20"/>
          <w:lang w:val="pt-PT" w:eastAsia="en-GB"/>
        </w:rPr>
        <w:t>1.</w:t>
      </w:r>
      <w:r w:rsidRPr="00BF3C97">
        <w:rPr>
          <w:rFonts w:eastAsia="Times New Roman"/>
          <w:b/>
          <w:szCs w:val="20"/>
          <w:lang w:val="pt-PT" w:eastAsia="en-GB"/>
        </w:rPr>
        <w:tab/>
        <w:t xml:space="preserve">Rapporteur: </w:t>
      </w:r>
      <w:r w:rsidRPr="00BF3C97">
        <w:rPr>
          <w:rFonts w:eastAsia="Times New Roman"/>
          <w:szCs w:val="20"/>
          <w:lang w:val="pt-PT" w:eastAsia="en-GB"/>
        </w:rPr>
        <w:t>Pedro SILVA PEREIRA (S&amp;D/PT)</w:t>
      </w:r>
    </w:p>
    <w:p w:rsidR="00BF3C97" w:rsidRPr="00BF3C97" w:rsidRDefault="00BF3C97" w:rsidP="00BF3C9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BF3C97">
        <w:rPr>
          <w:rFonts w:eastAsia="Times New Roman"/>
          <w:b/>
          <w:szCs w:val="20"/>
          <w:lang w:val="fr-FR" w:eastAsia="en-GB"/>
        </w:rPr>
        <w:t>2.</w:t>
      </w:r>
      <w:r w:rsidRPr="00BF3C97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BF3C97">
        <w:rPr>
          <w:rFonts w:eastAsia="Times New Roman"/>
          <w:szCs w:val="20"/>
          <w:lang w:val="fr-FR" w:eastAsia="en-GB"/>
        </w:rPr>
        <w:t xml:space="preserve"> 2021/0378 (COD) / A9-0026/2023/P9_TA(2023)0387</w:t>
      </w:r>
    </w:p>
    <w:p w:rsidR="00BF3C97" w:rsidRPr="00BF3C97" w:rsidRDefault="00BF3C97" w:rsidP="00BF3C97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BF3C97">
        <w:rPr>
          <w:rFonts w:eastAsia="Times New Roman"/>
          <w:b/>
          <w:szCs w:val="20"/>
          <w:lang w:val="fr-FR" w:eastAsia="en-GB"/>
        </w:rPr>
        <w:t>3.</w:t>
      </w:r>
      <w:r w:rsidRPr="00BF3C97">
        <w:rPr>
          <w:rFonts w:eastAsia="Times New Roman"/>
          <w:b/>
          <w:szCs w:val="20"/>
          <w:lang w:val="fr-FR" w:eastAsia="en-GB"/>
        </w:rPr>
        <w:tab/>
        <w:t xml:space="preserve">Date d’adoption de la résolution: </w:t>
      </w:r>
      <w:r w:rsidRPr="00BF3C97">
        <w:rPr>
          <w:rFonts w:eastAsia="Times New Roman"/>
          <w:szCs w:val="20"/>
          <w:lang w:val="fr-FR" w:eastAsia="en-GB"/>
        </w:rPr>
        <w:t>9 novembre 2023</w:t>
      </w:r>
    </w:p>
    <w:p w:rsidR="00BF3C97" w:rsidRPr="00BF3C97" w:rsidRDefault="00BF3C97" w:rsidP="00BF3C97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BF3C97">
        <w:rPr>
          <w:rFonts w:eastAsia="Times New Roman"/>
          <w:b/>
          <w:szCs w:val="20"/>
          <w:lang w:val="fr-FR" w:eastAsia="en-GB"/>
        </w:rPr>
        <w:t>4.</w:t>
      </w:r>
      <w:r w:rsidRPr="00BF3C97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BF3C97">
        <w:rPr>
          <w:rFonts w:eastAsia="Times New Roman"/>
          <w:szCs w:val="20"/>
          <w:lang w:val="fr-FR" w:eastAsia="en-GB"/>
        </w:rPr>
        <w:t>article 114 du traité sur le fonctionnement de l’Union européenne</w:t>
      </w:r>
    </w:p>
    <w:p w:rsidR="00BF3C97" w:rsidRPr="00BF3C97" w:rsidRDefault="00BF3C97" w:rsidP="00BF3C97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BF3C97">
        <w:rPr>
          <w:rFonts w:eastAsia="Times New Roman"/>
          <w:b/>
          <w:szCs w:val="20"/>
          <w:lang w:val="fr-FR" w:eastAsia="en-GB"/>
        </w:rPr>
        <w:t>5.</w:t>
      </w:r>
      <w:r w:rsidRPr="00BF3C97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BF3C97">
        <w:rPr>
          <w:rFonts w:eastAsia="Times New Roman"/>
          <w:szCs w:val="20"/>
          <w:lang w:val="fr-FR" w:eastAsia="en-GB"/>
        </w:rPr>
        <w:t xml:space="preserve"> commission des affaires économiques et monétaires (ECON)</w:t>
      </w:r>
    </w:p>
    <w:p w:rsidR="008765BE" w:rsidRDefault="00BF3C97" w:rsidP="00BF3C97">
      <w:r w:rsidRPr="00BF3C97">
        <w:rPr>
          <w:rFonts w:eastAsia="Times New Roman"/>
          <w:b/>
          <w:szCs w:val="20"/>
          <w:lang w:val="fr-FR" w:eastAsia="en-GB"/>
        </w:rPr>
        <w:t>6.</w:t>
      </w:r>
      <w:r w:rsidRPr="00BF3C97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BF3C97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BF3C97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97"/>
    <w:rsid w:val="005762E3"/>
    <w:rsid w:val="008765BE"/>
    <w:rsid w:val="00B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029F-6F31-4753-BE5B-A0A2B2F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2024-02-01T14:32:00Z</dcterms:created>
  <dcterms:modified xsi:type="dcterms:W3CDTF">2024-02-01T14:32:00Z</dcterms:modified>
</cp:coreProperties>
</file>