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9806" w14:textId="77777777" w:rsidR="00D0598D" w:rsidRDefault="00D0598D" w:rsidP="00D0598D">
      <w:pPr>
        <w:spacing w:after="600"/>
        <w:jc w:val="center"/>
        <w:rPr>
          <w:b/>
          <w:bCs/>
          <w:szCs w:val="24"/>
          <w:rFonts w:ascii="Times New Roman" w:hAnsi="Times New Roman"/>
        </w:rPr>
      </w:pPr>
      <w:bookmarkStart w:id="0" w:name="enlargement"/>
      <w:r>
        <w:rPr>
          <w:b/>
          <w:rFonts w:ascii="Times New Roman" w:hAnsi="Times New Roman"/>
        </w:rPr>
        <w:t xml:space="preserve">Suite donnée à la </w:t>
      </w:r>
      <w:r>
        <w:rPr>
          <w:b/>
          <w:rFonts w:ascii="Times New Roman" w:hAnsi="Times New Roman"/>
        </w:rPr>
        <w:t xml:space="preserve">résolution non législative</w:t>
      </w:r>
      <w:r>
        <w:rPr>
          <w:b/>
          <w:rFonts w:ascii="Times New Roman" w:hAnsi="Times New Roman"/>
        </w:rPr>
        <w:t xml:space="preserve"> du Parlement européen sur la nouvelle stratégie de l’Union européenne en matière d’élargissement</w:t>
      </w:r>
      <w:bookmarkEnd w:id="0"/>
    </w:p>
    <w:p w14:paraId="167117A4" w14:textId="77777777" w:rsidR="00D0598D" w:rsidRPr="00141263" w:rsidRDefault="00D0598D" w:rsidP="00D0598D">
      <w:pPr>
        <w:pStyle w:val="Default"/>
        <w:numPr>
          <w:ilvl w:val="0"/>
          <w:numId w:val="34"/>
        </w:numPr>
        <w:spacing w:after="240"/>
        <w:ind w:left="567" w:hanging="567"/>
        <w:jc w:val="both"/>
        <w:rPr>
          <w:b/>
          <w:color w:val="auto"/>
        </w:rPr>
      </w:pPr>
      <w:r>
        <w:rPr>
          <w:color w:val="auto"/>
          <w:b/>
        </w:rPr>
        <w:t xml:space="preserve">Rapporteur:</w:t>
      </w:r>
      <w:r>
        <w:rPr>
          <w:color w:val="auto"/>
        </w:rPr>
        <w:t xml:space="preserve"> </w:t>
      </w:r>
      <w:r>
        <w:rPr>
          <w:color w:val="auto"/>
        </w:rPr>
        <w:t xml:space="preserve">Tonino PICULA (S&amp;D/HR)</w:t>
      </w:r>
    </w:p>
    <w:p w14:paraId="0BA4B2FE" w14:textId="77777777" w:rsidR="00D0598D" w:rsidRPr="00B36D7E" w:rsidRDefault="00D0598D" w:rsidP="00D0598D">
      <w:pPr>
        <w:pStyle w:val="Default"/>
        <w:numPr>
          <w:ilvl w:val="0"/>
          <w:numId w:val="34"/>
        </w:numPr>
        <w:spacing w:after="240"/>
        <w:ind w:left="567" w:hanging="567"/>
        <w:jc w:val="both"/>
        <w:rPr>
          <w:b/>
          <w:color w:val="auto"/>
        </w:rPr>
      </w:pPr>
      <w:r>
        <w:rPr>
          <w:color w:val="auto"/>
          <w:b/>
        </w:rPr>
        <w:t xml:space="preserve">Numéro de référence:</w:t>
      </w:r>
      <w:r>
        <w:rPr>
          <w:color w:val="auto"/>
        </w:rPr>
        <w:t xml:space="preserve"> </w:t>
      </w:r>
      <w:r>
        <w:t xml:space="preserve">2022/2064 (INI) / A9-0251/2022 / P9_TA(2022)0406</w:t>
      </w:r>
    </w:p>
    <w:p w14:paraId="48736788" w14:textId="77777777" w:rsidR="00D0598D" w:rsidRPr="00B36D7E" w:rsidRDefault="00D0598D" w:rsidP="00D0598D">
      <w:pPr>
        <w:numPr>
          <w:ilvl w:val="0"/>
          <w:numId w:val="34"/>
        </w:numPr>
        <w:ind w:left="567" w:hanging="567"/>
        <w:rPr>
          <w:szCs w:val="24"/>
          <w:rFonts w:ascii="Times New Roman" w:hAnsi="Times New Roman"/>
        </w:rPr>
      </w:pPr>
      <w:r>
        <w:rPr>
          <w:b/>
          <w:rFonts w:ascii="Times New Roman" w:hAnsi="Times New Roman"/>
        </w:rPr>
        <w:t xml:space="preserve">Date d’adoption de la résolution:</w:t>
      </w:r>
      <w:r>
        <w:rPr>
          <w:rFonts w:ascii="Times New Roman" w:hAnsi="Times New Roman"/>
        </w:rPr>
        <w:t xml:space="preserve"> </w:t>
      </w:r>
      <w:r>
        <w:rPr>
          <w:rFonts w:ascii="Times New Roman" w:hAnsi="Times New Roman"/>
        </w:rPr>
        <w:t xml:space="preserve">23 novembre 2022</w:t>
      </w:r>
    </w:p>
    <w:p w14:paraId="0E579B29" w14:textId="77777777" w:rsidR="00D0598D" w:rsidRPr="00B36D7E" w:rsidRDefault="00D0598D" w:rsidP="00D0598D">
      <w:pPr>
        <w:numPr>
          <w:ilvl w:val="0"/>
          <w:numId w:val="34"/>
        </w:numPr>
        <w:ind w:left="567" w:hanging="567"/>
        <w:rPr>
          <w:i/>
          <w:szCs w:val="24"/>
          <w:rFonts w:ascii="Times New Roman" w:hAnsi="Times New Roman"/>
        </w:rPr>
      </w:pPr>
      <w:r>
        <w:rPr>
          <w:b/>
          <w:rFonts w:ascii="Times New Roman" w:hAnsi="Times New Roman"/>
        </w:rPr>
        <w:t xml:space="preserve">Commission parlementaire compétente:</w:t>
      </w:r>
      <w:r>
        <w:rPr>
          <w:rFonts w:ascii="Times New Roman" w:hAnsi="Times New Roman"/>
        </w:rPr>
        <w:t xml:space="preserve"> </w:t>
      </w:r>
      <w:r>
        <w:rPr>
          <w:rFonts w:ascii="Times New Roman" w:hAnsi="Times New Roman"/>
        </w:rPr>
        <w:t xml:space="preserve">commission des affaires étrangères (AFET)</w:t>
      </w:r>
    </w:p>
    <w:p w14:paraId="51E823B3" w14:textId="77777777" w:rsidR="00D0598D" w:rsidRPr="00B36D7E" w:rsidRDefault="00D0598D" w:rsidP="00D0598D">
      <w:pPr>
        <w:widowControl w:val="0"/>
        <w:numPr>
          <w:ilvl w:val="0"/>
          <w:numId w:val="34"/>
        </w:numPr>
        <w:ind w:left="567" w:hanging="567"/>
        <w:rPr>
          <w:b/>
          <w:szCs w:val="24"/>
          <w:rFonts w:ascii="Times New Roman" w:hAnsi="Times New Roman"/>
        </w:rPr>
      </w:pPr>
      <w:r>
        <w:rPr>
          <w:b/>
          <w:rFonts w:ascii="Times New Roman" w:hAnsi="Times New Roman"/>
        </w:rPr>
        <w:t xml:space="preserve">Analyse/évaluation succincte de la résolution et des demandes qu’elle contient:</w:t>
      </w:r>
      <w:r>
        <w:rPr>
          <w:b/>
          <w:rFonts w:ascii="Times New Roman" w:hAnsi="Times New Roman"/>
        </w:rPr>
        <w:t xml:space="preserve"> </w:t>
      </w:r>
    </w:p>
    <w:p w14:paraId="51AE5F85" w14:textId="77777777" w:rsidR="00D0598D" w:rsidRPr="00B36D7E" w:rsidRDefault="00D0598D" w:rsidP="00D0598D">
      <w:pPr>
        <w:pStyle w:val="Briefinglist1"/>
        <w:spacing w:after="120"/>
        <w:jc w:val="both"/>
      </w:pPr>
      <w:r>
        <w:t xml:space="preserve">Dans sa résolution, le Parlement confirme que l’élargissement est «</w:t>
      </w:r>
      <w:r>
        <w:rPr>
          <w:i/>
        </w:rPr>
        <w:t xml:space="preserve">l’instrument le plus efficace de la politique étrangère de l’Union et l’une des politiques les plus réussies de l’Union, et qu’il demeure un investissement stratégique et géopolitique, tourné vers l’avenir, dans la paix, la stabilité et la prospérité du continent européen</w:t>
      </w:r>
      <w:r>
        <w:t xml:space="preserve">».</w:t>
      </w:r>
      <w:r>
        <w:t xml:space="preserve"> </w:t>
      </w:r>
      <w:r>
        <w:t xml:space="preserve">Il mentionne ég</w:t>
      </w:r>
      <w:r>
        <w:t xml:space="preserve">ale</w:t>
      </w:r>
      <w:r>
        <w:t xml:space="preserve">ment </w:t>
      </w:r>
      <w:r>
        <w:t xml:space="preserve">des difficultés</w:t>
      </w:r>
      <w:r>
        <w:t xml:space="preserve">, en appelant à entreprendre une réflexion approfondie sur la crédibilité et l’efficacité de </w:t>
      </w:r>
      <w:r>
        <w:t xml:space="preserve">la </w:t>
      </w:r>
      <w:r>
        <w:t xml:space="preserve">pol</w:t>
      </w:r>
      <w:r>
        <w:t xml:space="preserve">itiq</w:t>
      </w:r>
      <w:r>
        <w:t xml:space="preserve">ue d’élargissement, tout en réformant et en </w:t>
      </w:r>
      <w:r>
        <w:t xml:space="preserve">renforç</w:t>
      </w:r>
      <w:r>
        <w:t xml:space="preserve">ant l’Union.</w:t>
      </w:r>
      <w:r>
        <w:t xml:space="preserve"> </w:t>
      </w:r>
      <w:r>
        <w:t xml:space="preserve">Dans sa résolution, le Parlement appelle notamment à mettre fortement l’accent sur les libertés fondamentales et les réformes tout en œuvrant à l’introduction progressive des pays candidats dans différents secteurs de l’intégration européenne.</w:t>
      </w:r>
      <w:r>
        <w:t xml:space="preserve"> </w:t>
      </w:r>
      <w:r>
        <w:t xml:space="preserve">Il formule des recommandations concrètes sur l’état de droit et la nécessité pour les pays candidats de s’aligner sur la politique étrangère et de sécurité commune (PESC) de l’UE, en particulier sur les sanctions contre la Russie.</w:t>
      </w:r>
      <w:r>
        <w:t xml:space="preserve"> </w:t>
      </w:r>
    </w:p>
    <w:p w14:paraId="299354D3" w14:textId="77777777" w:rsidR="00D0598D" w:rsidRPr="007519E3" w:rsidRDefault="00D0598D" w:rsidP="00D0598D">
      <w:pPr>
        <w:widowControl w:val="0"/>
        <w:numPr>
          <w:ilvl w:val="0"/>
          <w:numId w:val="34"/>
        </w:numPr>
        <w:ind w:left="567" w:hanging="567"/>
        <w:rPr>
          <w:szCs w:val="24"/>
          <w:rFonts w:ascii="Times New Roman" w:hAnsi="Times New Roman"/>
        </w:rPr>
      </w:pPr>
      <w:r>
        <w:rPr>
          <w:b/>
          <w:rFonts w:ascii="Times New Roman" w:hAnsi="Times New Roman"/>
        </w:rPr>
        <w:t xml:space="preserve">Réponse à ces demandes et aperçu des mesures que la Commission a prises ou envisage de prendre:</w:t>
      </w:r>
      <w:r>
        <w:rPr>
          <w:b/>
          <w:rFonts w:ascii="Times New Roman" w:hAnsi="Times New Roman"/>
        </w:rPr>
        <w:t xml:space="preserve"> </w:t>
      </w:r>
    </w:p>
    <w:p w14:paraId="1429DE86" w14:textId="77777777" w:rsidR="00D0598D" w:rsidRDefault="00D0598D" w:rsidP="00D0598D">
      <w:pPr>
        <w:widowControl w:val="0"/>
        <w:spacing w:after="120"/>
        <w:rPr>
          <w:szCs w:val="24"/>
          <w:rFonts w:ascii="Times New Roman" w:hAnsi="Times New Roman"/>
        </w:rPr>
      </w:pPr>
      <w:r>
        <w:rPr>
          <w:rFonts w:ascii="Times New Roman" w:hAnsi="Times New Roman"/>
        </w:rPr>
        <w:t xml:space="preserve">La Commission salue le soutien du Parlement européen à la politique d’élargissement de l’UE.</w:t>
      </w:r>
    </w:p>
    <w:p w14:paraId="254A732D" w14:textId="77777777" w:rsidR="00D0598D" w:rsidRPr="008E50EC" w:rsidRDefault="00D0598D" w:rsidP="00D0598D">
      <w:pPr>
        <w:widowControl w:val="0"/>
        <w:spacing w:after="120"/>
        <w:rPr>
          <w:szCs w:val="24"/>
          <w:rFonts w:ascii="Times New Roman" w:hAnsi="Times New Roman"/>
        </w:rPr>
      </w:pPr>
      <w:r>
        <w:rPr>
          <w:rFonts w:ascii="Times New Roman" w:hAnsi="Times New Roman"/>
        </w:rPr>
        <w:t xml:space="preserve">Les dirigeants de l’UE ont réaffirmé, lors du sommet UE-Balkans occidentaux de décembre 2022, leur attachement total et sans équivoque à la perspective d’adhésion à l’Union européenne des Balkans occidentaux.</w:t>
      </w:r>
      <w:r>
        <w:rPr>
          <w:rFonts w:ascii="Times New Roman" w:hAnsi="Times New Roman"/>
        </w:rPr>
        <w:t xml:space="preserve"> </w:t>
      </w:r>
      <w:r>
        <w:rPr>
          <w:rFonts w:ascii="Times New Roman" w:hAnsi="Times New Roman"/>
        </w:rPr>
        <w:t xml:space="preserve">Ils ont appelé à accélérer le processus d’adhésion sur la base de réformes crédibles de la part des partenaires, d’une conditionnalité équitable et rigoureuse et du </w:t>
      </w:r>
      <w:r>
        <w:rPr>
          <w:rFonts w:ascii="Times New Roman" w:hAnsi="Times New Roman"/>
        </w:rPr>
        <w:t xml:space="preserve">principe des mérites propres</w:t>
      </w:r>
      <w:r>
        <w:rPr>
          <w:rFonts w:ascii="Times New Roman" w:hAnsi="Times New Roman"/>
        </w:rPr>
        <w:t xml:space="preserve">.</w:t>
      </w:r>
      <w:r>
        <w:rPr>
          <w:rFonts w:ascii="Times New Roman" w:hAnsi="Times New Roman"/>
        </w:rPr>
        <w:t xml:space="preserve"> </w:t>
      </w:r>
      <w:r>
        <w:rPr>
          <w:rFonts w:ascii="Times New Roman" w:hAnsi="Times New Roman"/>
        </w:rPr>
        <w:t xml:space="preserve">Dans le paquet «</w:t>
      </w:r>
      <w:r>
        <w:rPr>
          <w:rFonts w:ascii="Times New Roman" w:hAnsi="Times New Roman"/>
        </w:rPr>
        <w:t xml:space="preserve">élargissement</w:t>
      </w:r>
      <w:r>
        <w:rPr>
          <w:rFonts w:ascii="Times New Roman" w:hAnsi="Times New Roman"/>
        </w:rPr>
        <w:t xml:space="preserve">» de 2022</w:t>
      </w:r>
      <w:r>
        <w:rPr>
          <w:rStyle w:val="FootnoteReference"/>
          <w:rFonts w:ascii="Times New Roman" w:hAnsi="Times New Roman"/>
          <w:szCs w:val="24"/>
        </w:rPr>
        <w:footnoteReference w:id="2"/>
      </w:r>
      <w:r>
        <w:rPr>
          <w:rFonts w:ascii="Times New Roman" w:hAnsi="Times New Roman"/>
        </w:rPr>
        <w:t xml:space="preserve">, les recommandations de la Commission comprenaient </w:t>
      </w:r>
      <w:r>
        <w:rPr>
          <w:rFonts w:ascii="Times New Roman" w:hAnsi="Times New Roman"/>
        </w:rPr>
        <w:t xml:space="preserve">les points suivants</w:t>
      </w:r>
      <w:r>
        <w:rPr>
          <w:rFonts w:ascii="Times New Roman" w:hAnsi="Times New Roman"/>
        </w:rPr>
        <w:t xml:space="preserve">:</w:t>
      </w:r>
    </w:p>
    <w:p w14:paraId="34315D8A" w14:textId="77777777" w:rsidR="00D0598D" w:rsidRPr="008E50EC" w:rsidRDefault="00D0598D" w:rsidP="00D0598D">
      <w:pPr>
        <w:widowControl w:val="0"/>
        <w:numPr>
          <w:ilvl w:val="0"/>
          <w:numId w:val="43"/>
        </w:numPr>
        <w:spacing w:after="120"/>
        <w:rPr>
          <w:szCs w:val="24"/>
          <w:rFonts w:ascii="Times New Roman" w:hAnsi="Times New Roman"/>
        </w:rPr>
      </w:pPr>
      <w:r>
        <w:rPr>
          <w:rFonts w:ascii="Times New Roman" w:hAnsi="Times New Roman"/>
        </w:rPr>
        <w:t xml:space="preserve">en ce qui concerne le Monténégro</w:t>
      </w:r>
      <w:r>
        <w:rPr>
          <w:rFonts w:ascii="Times New Roman" w:hAnsi="Times New Roman"/>
        </w:rPr>
        <w:t xml:space="preserve">, la priorité pour poursuivre les progrès d’ensemble dans les négociations d’adhésion reste le </w:t>
      </w:r>
      <w:r>
        <w:rPr>
          <w:rFonts w:ascii="Times New Roman" w:hAnsi="Times New Roman"/>
        </w:rPr>
        <w:t xml:space="preserve">respect des critères provisoires en matière d’état de droit fixés dans les chapitres 23 et 24</w:t>
      </w:r>
      <w:r>
        <w:rPr>
          <w:rFonts w:ascii="Times New Roman" w:hAnsi="Times New Roman"/>
        </w:rPr>
        <w:t xml:space="preserve">;</w:t>
      </w:r>
    </w:p>
    <w:p w14:paraId="64DE48F4" w14:textId="77777777" w:rsidR="00D0598D" w:rsidRPr="008E50EC" w:rsidRDefault="00D0598D" w:rsidP="00D0598D">
      <w:pPr>
        <w:widowControl w:val="0"/>
        <w:numPr>
          <w:ilvl w:val="0"/>
          <w:numId w:val="43"/>
        </w:numPr>
        <w:spacing w:after="120"/>
        <w:rPr>
          <w:szCs w:val="24"/>
          <w:rFonts w:ascii="Times New Roman" w:hAnsi="Times New Roman"/>
        </w:rPr>
      </w:pPr>
      <w:r>
        <w:rPr>
          <w:rFonts w:ascii="Times New Roman" w:hAnsi="Times New Roman"/>
        </w:rPr>
        <w:t xml:space="preserve">en ce qui concerne la Serbie, les progrès réalisés en matière d’état de droit et de normalisation des relations avec le Kosovo continueront de déterminer le rythme général des négociations d’adhésion.</w:t>
      </w:r>
      <w:r>
        <w:rPr>
          <w:rFonts w:ascii="Times New Roman" w:hAnsi="Times New Roman"/>
        </w:rPr>
        <w:t xml:space="preserve"> </w:t>
      </w:r>
      <w:r>
        <w:rPr>
          <w:rFonts w:ascii="Times New Roman" w:hAnsi="Times New Roman"/>
        </w:rPr>
        <w:t xml:space="preserve">La Serbie doit, en priorité, renforcer son alignement sur la PESC, y compris sur les mesures restrictives;</w:t>
      </w:r>
    </w:p>
    <w:p w14:paraId="3EA19FF8" w14:textId="77777777" w:rsidR="00D0598D" w:rsidRPr="008E50EC" w:rsidRDefault="00D0598D" w:rsidP="00D0598D">
      <w:pPr>
        <w:widowControl w:val="0"/>
        <w:numPr>
          <w:ilvl w:val="0"/>
          <w:numId w:val="43"/>
        </w:numPr>
        <w:spacing w:after="120"/>
        <w:rPr>
          <w:szCs w:val="24"/>
          <w:rFonts w:ascii="Times New Roman" w:hAnsi="Times New Roman"/>
        </w:rPr>
      </w:pPr>
      <w:r>
        <w:rPr>
          <w:rFonts w:ascii="Times New Roman" w:hAnsi="Times New Roman"/>
        </w:rPr>
        <w:t xml:space="preserve">en ce qui concerne la Macédoine du Nord et l’Albanie, </w:t>
      </w:r>
      <w:r>
        <w:rPr>
          <w:rFonts w:ascii="Times New Roman" w:hAnsi="Times New Roman"/>
        </w:rPr>
        <w:t xml:space="preserve">le processus d’examen analytique </w:t>
      </w:r>
      <w:r>
        <w:rPr>
          <w:rFonts w:ascii="Times New Roman" w:hAnsi="Times New Roman"/>
        </w:rPr>
        <w:t xml:space="preserve">se déroule sans heurts.</w:t>
      </w:r>
    </w:p>
    <w:p w14:paraId="5982B313" w14:textId="77777777" w:rsidR="00D0598D" w:rsidRPr="00E81AC7" w:rsidRDefault="00D0598D" w:rsidP="00D0598D">
      <w:pPr>
        <w:widowControl w:val="0"/>
        <w:spacing w:after="120"/>
        <w:rPr>
          <w:szCs w:val="24"/>
          <w:rFonts w:ascii="Times New Roman" w:hAnsi="Times New Roman"/>
        </w:rPr>
      </w:pPr>
      <w:r>
        <w:rPr>
          <w:rFonts w:ascii="Times New Roman" w:hAnsi="Times New Roman"/>
        </w:rPr>
        <w:t xml:space="preserve">Le </w:t>
      </w:r>
      <w:r>
        <w:rPr>
          <w:rFonts w:ascii="Times New Roman" w:hAnsi="Times New Roman"/>
        </w:rPr>
        <w:t xml:space="preserve">15 décembre 2022, le Conseil européen</w:t>
      </w:r>
      <w:r>
        <w:rPr>
          <w:rStyle w:val="FootnoteReference"/>
          <w:rFonts w:ascii="Times New Roman" w:hAnsi="Times New Roman"/>
          <w:szCs w:val="24"/>
        </w:rPr>
        <w:footnoteReference w:id="3"/>
      </w:r>
      <w:r>
        <w:rPr>
          <w:rFonts w:ascii="Times New Roman" w:hAnsi="Times New Roman"/>
        </w:rPr>
        <w:t xml:space="preserve"> a approuvé les conclusions du Conseil du 13 décembre 2022 sur l’élargissement et le processus de stabilisation et d’association, et a accordé le statut de pays candidat à la Bosnie-Herzégovine (</w:t>
      </w:r>
      <w:r>
        <w:rPr>
          <w:i/>
          <w:rFonts w:ascii="Times New Roman" w:hAnsi="Times New Roman"/>
        </w:rPr>
        <w:t xml:space="preserve">paragraphes a, b, c, e, f, g, I, ab, ag et ah</w:t>
      </w:r>
      <w:r>
        <w:rPr>
          <w:rFonts w:ascii="Times New Roman" w:hAnsi="Times New Roman"/>
        </w:rPr>
        <w:t xml:space="preserve">).</w:t>
      </w:r>
    </w:p>
    <w:p w14:paraId="061CD2C5" w14:textId="77777777" w:rsidR="00D0598D" w:rsidRPr="00E81AC7" w:rsidRDefault="00D0598D" w:rsidP="00D0598D">
      <w:pPr>
        <w:widowControl w:val="0"/>
        <w:spacing w:after="120"/>
        <w:rPr>
          <w:szCs w:val="24"/>
          <w:rFonts w:ascii="Times New Roman" w:hAnsi="Times New Roman"/>
        </w:rPr>
      </w:pPr>
      <w:r>
        <w:rPr>
          <w:rFonts w:ascii="Times New Roman" w:hAnsi="Times New Roman"/>
        </w:rPr>
        <w:t xml:space="preserve">Le 14 décembre 2022, </w:t>
      </w:r>
      <w:r>
        <w:rPr>
          <w:rFonts w:ascii="Times New Roman" w:hAnsi="Times New Roman"/>
        </w:rPr>
        <w:t xml:space="preserve">la présidence du Conseil et les représentants du Parlement européen sont parvenus à un accord sur le projet de règlement relatif à un régime de déplacement sans obligation de visa pour les titulaires d’un passeport délivré par le Kosovo.</w:t>
      </w:r>
      <w:r>
        <w:rPr>
          <w:rFonts w:ascii="Times New Roman" w:hAnsi="Times New Roman"/>
        </w:rPr>
        <w:t xml:space="preserve"> </w:t>
      </w:r>
      <w:r>
        <w:rPr>
          <w:rFonts w:ascii="Times New Roman" w:hAnsi="Times New Roman"/>
        </w:rPr>
        <w:t xml:space="preserve">Le texte convenu doit maintenant être approuvé par le Conseil et le Parlement européen avant de faire l’objet de la procédure d’adoption formelle.</w:t>
      </w:r>
      <w:r>
        <w:rPr>
          <w:rFonts w:ascii="Times New Roman" w:hAnsi="Times New Roman"/>
        </w:rPr>
        <w:t xml:space="preserve"> </w:t>
      </w:r>
      <w:r>
        <w:rPr>
          <w:rFonts w:ascii="Times New Roman" w:hAnsi="Times New Roman"/>
        </w:rPr>
        <w:t xml:space="preserve">Le Kosovo devrait participer de manière plus constructive aux négociations sur l’accord de normalisation juridiquement contraignant avec la Serbie au cours de la période à venir (</w:t>
      </w:r>
      <w:r>
        <w:rPr>
          <w:i/>
          <w:rFonts w:ascii="Times New Roman" w:hAnsi="Times New Roman"/>
        </w:rPr>
        <w:t xml:space="preserve">paragraphe ag</w:t>
      </w:r>
      <w:r>
        <w:rPr>
          <w:rFonts w:ascii="Times New Roman" w:hAnsi="Times New Roman"/>
        </w:rPr>
        <w:t xml:space="preserve">).</w:t>
      </w:r>
    </w:p>
    <w:p w14:paraId="1ACE9481" w14:textId="77777777" w:rsidR="00D0598D" w:rsidRPr="008E50EC" w:rsidRDefault="00D0598D" w:rsidP="00D0598D">
      <w:pPr>
        <w:widowControl w:val="0"/>
        <w:spacing w:after="120"/>
        <w:rPr>
          <w:szCs w:val="24"/>
          <w:rFonts w:ascii="Times New Roman" w:hAnsi="Times New Roman"/>
        </w:rPr>
      </w:pPr>
      <w:r>
        <w:rPr>
          <w:rFonts w:ascii="Times New Roman" w:hAnsi="Times New Roman"/>
        </w:rPr>
        <w:t xml:space="preserve">Le </w:t>
      </w:r>
      <w:r>
        <w:rPr>
          <w:rFonts w:ascii="Times New Roman" w:hAnsi="Times New Roman"/>
        </w:rPr>
        <w:t xml:space="preserve">23 juin 2022, le Conseil européen</w:t>
      </w:r>
      <w:r>
        <w:rPr>
          <w:rStyle w:val="FootnoteReference"/>
          <w:rFonts w:ascii="Times New Roman" w:hAnsi="Times New Roman"/>
          <w:szCs w:val="24"/>
        </w:rPr>
        <w:footnoteReference w:id="4"/>
      </w:r>
      <w:r>
        <w:rPr>
          <w:rFonts w:ascii="Times New Roman" w:hAnsi="Times New Roman"/>
        </w:rPr>
        <w:t xml:space="preserve"> a reconnu la perspective européenne de l’Ukraine, de la République de Moldavie et de la Géorgie, et a affirmé que l’avenir de ces pays et de leurs citoyens </w:t>
      </w:r>
      <w:r>
        <w:rPr>
          <w:rFonts w:ascii="Times New Roman" w:hAnsi="Times New Roman"/>
        </w:rPr>
        <w:t xml:space="preserve">résidait </w:t>
      </w:r>
      <w:r>
        <w:rPr>
          <w:rFonts w:ascii="Times New Roman" w:hAnsi="Times New Roman"/>
        </w:rPr>
        <w:t xml:space="preserve">au sein de l’Union européenne.</w:t>
      </w:r>
      <w:r>
        <w:rPr>
          <w:rFonts w:ascii="Times New Roman" w:hAnsi="Times New Roman"/>
        </w:rPr>
        <w:t xml:space="preserve"> </w:t>
      </w:r>
      <w:r>
        <w:rPr>
          <w:rFonts w:ascii="Times New Roman" w:hAnsi="Times New Roman"/>
        </w:rPr>
        <w:t xml:space="preserve">Il a également décidé d’accorder le statut de pays candidat à l’Ukraine et à la République de Moldavie, et s’est </w:t>
      </w:r>
      <w:r>
        <w:rPr>
          <w:rFonts w:ascii="Times New Roman" w:hAnsi="Times New Roman"/>
        </w:rPr>
        <w:t xml:space="preserve">déclaré</w:t>
      </w:r>
      <w:r>
        <w:rPr>
          <w:rFonts w:ascii="Times New Roman" w:hAnsi="Times New Roman"/>
        </w:rPr>
        <w:t xml:space="preserve"> prêt à accorder le statut de pays candidat à la Géorgie </w:t>
      </w:r>
      <w:r>
        <w:rPr>
          <w:rFonts w:ascii="Times New Roman" w:hAnsi="Times New Roman"/>
        </w:rPr>
        <w:t xml:space="preserve">une fois que les priorités énoncées dans l’avis de la Commission sur la demande d’adhésion de la Géorgie auront été prises en compte</w:t>
      </w:r>
      <w:r>
        <w:rPr>
          <w:rFonts w:ascii="Times New Roman" w:hAnsi="Times New Roman"/>
        </w:rPr>
        <w:t xml:space="preserve">.</w:t>
      </w:r>
    </w:p>
    <w:p w14:paraId="0223D08A" w14:textId="77777777" w:rsidR="00D0598D" w:rsidRDefault="00D0598D" w:rsidP="00D0598D">
      <w:pPr>
        <w:widowControl w:val="0"/>
        <w:spacing w:after="120"/>
        <w:rPr>
          <w:szCs w:val="24"/>
          <w:rFonts w:ascii="Times New Roman" w:hAnsi="Times New Roman"/>
        </w:rPr>
      </w:pPr>
      <w:r>
        <w:rPr>
          <w:b/>
          <w:rFonts w:ascii="Times New Roman" w:hAnsi="Times New Roman"/>
        </w:rPr>
        <w:t xml:space="preserve">Une perspective d’adhésion crédible</w:t>
      </w:r>
      <w:r>
        <w:rPr>
          <w:rFonts w:ascii="Times New Roman" w:hAnsi="Times New Roman"/>
        </w:rPr>
        <w:t xml:space="preserve"> est à la fois la principale inc</w:t>
      </w:r>
      <w:r>
        <w:rPr>
          <w:rFonts w:ascii="Times New Roman" w:hAnsi="Times New Roman"/>
        </w:rPr>
        <w:t xml:space="preserve">itatio</w:t>
      </w:r>
      <w:r>
        <w:rPr>
          <w:rFonts w:ascii="Times New Roman" w:hAnsi="Times New Roman"/>
        </w:rPr>
        <w:t xml:space="preserve">n à la transformation dans la région et son principal moteur. Elle renforce dès lors la sécurité et la prospérité collectives de l’UE.</w:t>
      </w:r>
      <w:r>
        <w:rPr>
          <w:rFonts w:ascii="Times New Roman" w:hAnsi="Times New Roman"/>
        </w:rPr>
        <w:t xml:space="preserve"> </w:t>
      </w:r>
      <w:r>
        <w:rPr>
          <w:rFonts w:ascii="Times New Roman" w:hAnsi="Times New Roman"/>
        </w:rPr>
        <w:t xml:space="preserve">Il s’agit d’un outil essentiel pour promouvoir la démocratie, l’état de droit et le respect des droits fondamentaux, qui sont également les principaux facteurs d’intégration économique et qui constituent un ancrage déterminant pour la promotion de la réconciliation et de la stabilité régionales.</w:t>
      </w:r>
      <w:r>
        <w:rPr>
          <w:rFonts w:ascii="Times New Roman" w:hAnsi="Times New Roman"/>
        </w:rPr>
        <w:t xml:space="preserve"> </w:t>
      </w:r>
      <w:r>
        <w:rPr>
          <w:rFonts w:ascii="Times New Roman" w:hAnsi="Times New Roman"/>
        </w:rPr>
        <w:t xml:space="preserve">Le maintien et le renforcement de cette politique, sur la base du principe des mérites propres, sont donc indispensables à la crédibilité, au succès et à l’influence de l’UE dans la région et au-delà (</w:t>
      </w:r>
      <w:r>
        <w:rPr>
          <w:i/>
          <w:rFonts w:ascii="Times New Roman" w:hAnsi="Times New Roman"/>
        </w:rPr>
        <w:t xml:space="preserve">paragraphes a, b, c, d, e et f</w:t>
      </w:r>
      <w:r>
        <w:rPr>
          <w:rFonts w:ascii="Times New Roman" w:hAnsi="Times New Roman"/>
        </w:rPr>
        <w:t xml:space="preserve">).</w:t>
      </w:r>
    </w:p>
    <w:p w14:paraId="3303F009" w14:textId="77777777" w:rsidR="00D0598D" w:rsidRPr="00B36D7E" w:rsidRDefault="00D0598D" w:rsidP="00D0598D">
      <w:pPr>
        <w:pStyle w:val="ListParagraph"/>
        <w:spacing w:after="120" w:line="240" w:lineRule="auto"/>
        <w:ind w:left="0"/>
        <w:jc w:val="both"/>
        <w:rPr>
          <w:sz w:val="24"/>
          <w:szCs w:val="24"/>
          <w:rFonts w:ascii="Times New Roman" w:eastAsia="Times New Roman" w:hAnsi="Times New Roman"/>
        </w:rPr>
      </w:pPr>
      <w:r>
        <w:rPr>
          <w:sz w:val="24"/>
          <w:rFonts w:ascii="Times New Roman" w:hAnsi="Times New Roman"/>
        </w:rPr>
        <w:t xml:space="preserve">La guerre d’agression menée par la Russie contre l’Ukraine a eu une forte résonance dans la région et a souligné davantage encore </w:t>
      </w:r>
      <w:r>
        <w:rPr>
          <w:sz w:val="24"/>
          <w:b/>
          <w:rFonts w:ascii="Times New Roman" w:hAnsi="Times New Roman"/>
        </w:rPr>
        <w:t xml:space="preserve">l’importance d’un alignement sur la PESC</w:t>
      </w:r>
      <w:r>
        <w:rPr>
          <w:sz w:val="24"/>
          <w:rFonts w:ascii="Times New Roman" w:hAnsi="Times New Roman"/>
        </w:rPr>
        <w:t xml:space="preserve"> dans le processus d’élargissement.</w:t>
      </w:r>
      <w:r>
        <w:rPr>
          <w:sz w:val="24"/>
          <w:rFonts w:ascii="Times New Roman" w:hAnsi="Times New Roman"/>
        </w:rPr>
        <w:t xml:space="preserve"> </w:t>
      </w:r>
      <w:r>
        <w:rPr>
          <w:sz w:val="24"/>
          <w:rFonts w:ascii="Times New Roman" w:hAnsi="Times New Roman"/>
        </w:rPr>
        <w:t xml:space="preserve">La Commission félicite les partenaires des Balkans occidentaux qui démontrent déjà leur attachement stratégique à cet égard en s’alignant pleinement sur la PESC et encourage ceux qui ne l’ont pas fait à suivre l’exemple.</w:t>
      </w:r>
    </w:p>
    <w:p w14:paraId="391C6210" w14:textId="77777777" w:rsidR="00D0598D" w:rsidRPr="00B36D7E" w:rsidRDefault="00D0598D" w:rsidP="00D0598D">
      <w:pPr>
        <w:widowControl w:val="0"/>
        <w:spacing w:after="120"/>
        <w:rPr>
          <w:szCs w:val="24"/>
          <w:rFonts w:ascii="Times New Roman" w:hAnsi="Times New Roman"/>
        </w:rPr>
      </w:pPr>
      <w:r>
        <w:rPr>
          <w:rFonts w:ascii="Times New Roman" w:hAnsi="Times New Roman"/>
        </w:rPr>
        <w:t xml:space="preserve">La Commission de</w:t>
      </w:r>
      <w:r>
        <w:rPr>
          <w:rFonts w:ascii="Times New Roman" w:hAnsi="Times New Roman"/>
        </w:rPr>
        <w:t xml:space="preserve">meur</w:t>
      </w:r>
      <w:r>
        <w:rPr>
          <w:rFonts w:ascii="Times New Roman" w:hAnsi="Times New Roman"/>
        </w:rPr>
        <w:t xml:space="preserve">e </w:t>
      </w:r>
      <w:r>
        <w:rPr>
          <w:b/>
          <w:rFonts w:ascii="Times New Roman" w:hAnsi="Times New Roman"/>
        </w:rPr>
        <w:t xml:space="preserve">pleinement résolue à continuer d’aider</w:t>
      </w:r>
      <w:r>
        <w:rPr>
          <w:rFonts w:ascii="Times New Roman" w:hAnsi="Times New Roman"/>
        </w:rPr>
        <w:t xml:space="preserve"> les </w:t>
      </w:r>
      <w:r>
        <w:rPr>
          <w:rFonts w:ascii="Times New Roman" w:hAnsi="Times New Roman"/>
        </w:rPr>
        <w:t xml:space="preserve">pays candidats</w:t>
      </w:r>
      <w:r>
        <w:rPr>
          <w:rFonts w:ascii="Times New Roman" w:hAnsi="Times New Roman"/>
        </w:rPr>
        <w:t xml:space="preserve"> et </w:t>
      </w:r>
      <w:r>
        <w:rPr>
          <w:rFonts w:ascii="Times New Roman" w:hAnsi="Times New Roman"/>
        </w:rPr>
        <w:t xml:space="preserve">les candidats potentiels</w:t>
      </w:r>
      <w:r>
        <w:rPr>
          <w:rFonts w:ascii="Times New Roman" w:hAnsi="Times New Roman"/>
        </w:rPr>
        <w:t xml:space="preserve"> d</w:t>
      </w:r>
      <w:r>
        <w:rPr>
          <w:rFonts w:ascii="Times New Roman" w:hAnsi="Times New Roman"/>
        </w:rPr>
        <w:t xml:space="preserve">ans leu</w:t>
      </w:r>
      <w:r>
        <w:rPr>
          <w:rFonts w:ascii="Times New Roman" w:hAnsi="Times New Roman"/>
        </w:rPr>
        <w:t xml:space="preserve">rs efforts de réforme.</w:t>
      </w:r>
      <w:r>
        <w:rPr>
          <w:rFonts w:ascii="Times New Roman" w:hAnsi="Times New Roman"/>
        </w:rPr>
        <w:t xml:space="preserve"> </w:t>
      </w:r>
      <w:r>
        <w:rPr>
          <w:rFonts w:ascii="Times New Roman" w:hAnsi="Times New Roman"/>
        </w:rPr>
        <w:t xml:space="preserve">La mise en œuvre de ces réformes leur permettra de progresser dans leur marche vers l’Europe.</w:t>
      </w:r>
      <w:r>
        <w:rPr>
          <w:rFonts w:ascii="Times New Roman" w:hAnsi="Times New Roman"/>
        </w:rPr>
        <w:t xml:space="preserve"> </w:t>
      </w:r>
      <w:r>
        <w:rPr>
          <w:rFonts w:ascii="Times New Roman" w:hAnsi="Times New Roman"/>
        </w:rPr>
        <w:t xml:space="preserve">Les réformes en question doivent avoir des effets réels sur le terrain, à savoir renforcer la prospérité, créer des emplois et améliorer la qualité de vie et le sentiment de liberté des citoyens des pays de la région.</w:t>
      </w:r>
      <w:r>
        <w:rPr>
          <w:rFonts w:ascii="Times New Roman" w:hAnsi="Times New Roman"/>
        </w:rPr>
        <w:t xml:space="preserve"> </w:t>
      </w:r>
      <w:r>
        <w:rPr>
          <w:rFonts w:ascii="Times New Roman" w:hAnsi="Times New Roman"/>
        </w:rPr>
        <w:t xml:space="preserve">Pour que cela se produise, il faut non seulement maintenir mais aussi accélérer le rythme des réformes.</w:t>
      </w:r>
    </w:p>
    <w:p w14:paraId="10EAD3A9" w14:textId="77777777" w:rsidR="00D0598D" w:rsidRPr="00B36D7E" w:rsidRDefault="00D0598D" w:rsidP="00D0598D">
      <w:pPr>
        <w:widowControl w:val="0"/>
        <w:spacing w:after="120"/>
        <w:rPr>
          <w:bCs/>
          <w:iCs/>
          <w:szCs w:val="24"/>
          <w:rFonts w:ascii="Times New Roman" w:hAnsi="Times New Roman"/>
        </w:rPr>
      </w:pPr>
      <w:r>
        <w:rPr>
          <w:rFonts w:ascii="Times New Roman" w:hAnsi="Times New Roman"/>
        </w:rPr>
        <w:t xml:space="preserve">L’UE dispose d’une boîte à outils solide pour orienter le processus d’élargissement</w:t>
      </w:r>
      <w:r>
        <w:rPr>
          <w:rFonts w:ascii="Times New Roman" w:hAnsi="Times New Roman"/>
        </w:rPr>
        <w:t xml:space="preserve">, renforcée encore davantage par la </w:t>
      </w:r>
      <w:r>
        <w:rPr>
          <w:b/>
          <w:rFonts w:ascii="Times New Roman" w:hAnsi="Times New Roman"/>
        </w:rPr>
        <w:t xml:space="preserve">méthodologie révisée en matière d’élargissement</w:t>
      </w:r>
      <w:r>
        <w:rPr>
          <w:rFonts w:ascii="Times New Roman" w:hAnsi="Times New Roman"/>
        </w:rPr>
        <w:t xml:space="preserve">, dont l’objectif est d’améliorer le processus, d’accroître la crédibilité et la confiance des deux parties et d’obtenir de meilleurs résultats sur le terrain.</w:t>
      </w:r>
      <w:r>
        <w:rPr>
          <w:b/>
          <w:rFonts w:ascii="Times New Roman" w:hAnsi="Times New Roman"/>
        </w:rPr>
        <w:t xml:space="preserve"> </w:t>
      </w:r>
      <w:r>
        <w:rPr>
          <w:rFonts w:ascii="Times New Roman" w:hAnsi="Times New Roman"/>
        </w:rPr>
        <w:t xml:space="preserve">Le renforcement de l’</w:t>
      </w:r>
      <w:r>
        <w:rPr>
          <w:b/>
          <w:rFonts w:ascii="Times New Roman" w:hAnsi="Times New Roman"/>
        </w:rPr>
        <w:t xml:space="preserve">état de droit</w:t>
      </w:r>
      <w:r>
        <w:rPr>
          <w:rFonts w:ascii="Times New Roman" w:hAnsi="Times New Roman"/>
        </w:rPr>
        <w:t xml:space="preserve"> et de la lutte contre la corruption et la criminalité organisée est une condition essentielle pour que tout candidat puisse progresser sur la voie de l’adhésion à l’Union.</w:t>
      </w:r>
    </w:p>
    <w:p w14:paraId="1BC6B7B0" w14:textId="77777777" w:rsidR="00D0598D" w:rsidRPr="008B1025" w:rsidRDefault="00D0598D" w:rsidP="00D0598D">
      <w:pPr>
        <w:spacing w:after="120"/>
        <w:rPr>
          <w:szCs w:val="24"/>
          <w:rFonts w:ascii="Times New Roman" w:hAnsi="Times New Roman"/>
        </w:rPr>
      </w:pPr>
      <w:r>
        <w:rPr>
          <w:rFonts w:ascii="Times New Roman" w:hAnsi="Times New Roman"/>
        </w:rPr>
        <w:t xml:space="preserve">Le </w:t>
      </w:r>
      <w:r>
        <w:rPr>
          <w:b/>
          <w:rFonts w:ascii="Times New Roman" w:hAnsi="Times New Roman"/>
        </w:rPr>
        <w:t xml:space="preserve">paquet «élargissement»</w:t>
      </w:r>
      <w:r>
        <w:rPr>
          <w:rFonts w:ascii="Times New Roman" w:hAnsi="Times New Roman"/>
        </w:rPr>
        <w:t xml:space="preserve"> 2022 de la Commission présente une </w:t>
      </w:r>
      <w:r>
        <w:rPr>
          <w:b/>
          <w:rFonts w:ascii="Times New Roman" w:hAnsi="Times New Roman"/>
        </w:rPr>
        <w:t xml:space="preserve">évaluation</w:t>
      </w:r>
      <w:r>
        <w:rPr>
          <w:rFonts w:ascii="Times New Roman" w:hAnsi="Times New Roman"/>
        </w:rPr>
        <w:t xml:space="preserve"> détaillée de l’état d’avancement et des progrès réalisés par les Balkans occidentaux et la Turquie sur leur trajectoire respective vers l’UE, en mettant particulièrement l’accent sur la mise en œuvre des réformes fondamentales. Il fournit des </w:t>
      </w:r>
      <w:r>
        <w:rPr>
          <w:b/>
          <w:rFonts w:ascii="Times New Roman" w:hAnsi="Times New Roman"/>
        </w:rPr>
        <w:t xml:space="preserve">orientations</w:t>
      </w:r>
      <w:r>
        <w:rPr>
          <w:rFonts w:ascii="Times New Roman" w:hAnsi="Times New Roman"/>
        </w:rPr>
        <w:t xml:space="preserve"> claires sur les priorités futures en matière de réformes.</w:t>
      </w:r>
    </w:p>
    <w:p w14:paraId="3181A4BE" w14:textId="77777777" w:rsidR="00D0598D" w:rsidRPr="00B36D7E" w:rsidRDefault="00D0598D" w:rsidP="00D0598D">
      <w:pPr>
        <w:pStyle w:val="ListParagraph"/>
        <w:spacing w:after="120" w:line="240" w:lineRule="auto"/>
        <w:ind w:left="0"/>
        <w:contextualSpacing w:val="0"/>
        <w:jc w:val="both"/>
        <w:rPr>
          <w:sz w:val="24"/>
          <w:szCs w:val="24"/>
          <w:rFonts w:ascii="Times New Roman" w:eastAsia="Times New Roman" w:hAnsi="Times New Roman"/>
        </w:rPr>
      </w:pPr>
      <w:r>
        <w:rPr>
          <w:sz w:val="24"/>
          <w:rFonts w:ascii="Times New Roman" w:hAnsi="Times New Roman"/>
        </w:rPr>
        <w:t xml:space="preserve">La méthodologie révisée en matière d’élargissement propose </w:t>
      </w:r>
      <w:r>
        <w:rPr>
          <w:sz w:val="24"/>
          <w:b/>
          <w:rFonts w:ascii="Times New Roman" w:hAnsi="Times New Roman"/>
        </w:rPr>
        <w:t xml:space="preserve">des incitations claires</w:t>
      </w:r>
      <w:r>
        <w:rPr>
          <w:sz w:val="24"/>
          <w:rFonts w:ascii="Times New Roman" w:hAnsi="Times New Roman"/>
        </w:rPr>
        <w:t xml:space="preserve"> qui soutiennent un développement économique solide et accéléré ainsi que des avantages tangibles pour les citoyens, afin de créer un environnement propice aux réformes substantielles nécessaires, par exemple des possibilités d’investissement accrues, l’accélération de l’intégration et l’«</w:t>
      </w:r>
      <w:r>
        <w:rPr>
          <w:sz w:val="24"/>
          <w:rFonts w:ascii="Times New Roman" w:hAnsi="Times New Roman"/>
        </w:rPr>
        <w:t xml:space="preserve">introduction </w:t>
      </w:r>
      <w:r>
        <w:rPr>
          <w:sz w:val="24"/>
          <w:rFonts w:ascii="Times New Roman" w:hAnsi="Times New Roman"/>
        </w:rPr>
        <w:t xml:space="preserve">progressive» dans différents marchés, politiques et programmes de l’UE, tout en garantissant des conditions de concurrence équitables et une intégration régionale renforcée.</w:t>
      </w:r>
    </w:p>
    <w:p w14:paraId="5599E3A4" w14:textId="77777777" w:rsidR="00D0598D" w:rsidRPr="00950571" w:rsidRDefault="00D0598D" w:rsidP="00D0598D">
      <w:pPr>
        <w:pStyle w:val="ListParagraph"/>
        <w:spacing w:after="120" w:line="240" w:lineRule="auto"/>
        <w:ind w:left="0"/>
        <w:contextualSpacing w:val="0"/>
        <w:jc w:val="both"/>
        <w:rPr>
          <w:sz w:val="24"/>
          <w:szCs w:val="24"/>
          <w:rFonts w:ascii="Times New Roman" w:eastAsia="Times New Roman" w:hAnsi="Times New Roman"/>
        </w:rPr>
      </w:pPr>
      <w:r>
        <w:rPr>
          <w:sz w:val="24"/>
          <w:rFonts w:ascii="Times New Roman" w:hAnsi="Times New Roman"/>
        </w:rPr>
        <w:t xml:space="preserve">D’importants efforts sont consentis pour </w:t>
      </w:r>
      <w:r>
        <w:rPr>
          <w:sz w:val="24"/>
          <w:b/>
          <w:rFonts w:ascii="Times New Roman" w:hAnsi="Times New Roman"/>
        </w:rPr>
        <w:t xml:space="preserve">accélérer l’intégration</w:t>
      </w:r>
      <w:r>
        <w:rPr>
          <w:sz w:val="24"/>
          <w:rFonts w:ascii="Times New Roman" w:hAnsi="Times New Roman"/>
        </w:rPr>
        <w:t xml:space="preserve"> des Balkans occidentaux, compte tenu de leur statut de pays candidats et de pays candidats potentiels.</w:t>
      </w:r>
      <w:r>
        <w:rPr>
          <w:sz w:val="24"/>
          <w:rFonts w:ascii="Times New Roman" w:hAnsi="Times New Roman"/>
        </w:rPr>
        <w:t xml:space="preserve"> </w:t>
      </w:r>
      <w:r>
        <w:rPr>
          <w:sz w:val="24"/>
          <w:rFonts w:ascii="Times New Roman" w:hAnsi="Times New Roman"/>
        </w:rPr>
        <w:t xml:space="preserve">Cela comprend la participation aux programmes et agences de l’UE, mais aussi la mise en œuvre des </w:t>
      </w:r>
      <w:r>
        <w:rPr>
          <w:sz w:val="24"/>
          <w:rFonts w:ascii="Times New Roman" w:hAnsi="Times New Roman"/>
        </w:rPr>
        <w:t xml:space="preserve">accords de stabilisation et d’association (ASA)</w:t>
      </w:r>
      <w:r>
        <w:rPr>
          <w:sz w:val="24"/>
          <w:rFonts w:ascii="Times New Roman" w:hAnsi="Times New Roman"/>
        </w:rPr>
        <w:t xml:space="preserve">, du </w:t>
      </w:r>
      <w:r>
        <w:rPr>
          <w:sz w:val="24"/>
          <w:rFonts w:ascii="Times New Roman" w:hAnsi="Times New Roman"/>
        </w:rPr>
        <w:t xml:space="preserve">plan économique et d’investissement (PEI)</w:t>
      </w:r>
      <w:r>
        <w:rPr>
          <w:sz w:val="24"/>
          <w:rFonts w:ascii="Times New Roman" w:hAnsi="Times New Roman"/>
        </w:rPr>
        <w:t xml:space="preserve">, y compris des </w:t>
      </w:r>
      <w:r>
        <w:rPr>
          <w:sz w:val="24"/>
          <w:rFonts w:ascii="Times New Roman" w:hAnsi="Times New Roman"/>
        </w:rPr>
        <w:t xml:space="preserve">cadres de coopération régionale</w:t>
      </w:r>
      <w:r>
        <w:rPr>
          <w:sz w:val="24"/>
          <w:rFonts w:ascii="Times New Roman" w:hAnsi="Times New Roman"/>
        </w:rPr>
        <w:t xml:space="preserve">, tels que la </w:t>
      </w:r>
      <w:r>
        <w:rPr>
          <w:sz w:val="24"/>
          <w:rFonts w:ascii="Times New Roman" w:hAnsi="Times New Roman"/>
        </w:rPr>
        <w:t xml:space="preserve">stratégie de l’UE pour la région de l’Adriatique et de la mer Ionienn</w:t>
      </w:r>
      <w:r>
        <w:rPr>
          <w:sz w:val="24"/>
          <w:rFonts w:ascii="Times New Roman" w:hAnsi="Times New Roman"/>
        </w:rPr>
        <w:t xml:space="preserve">e et la </w:t>
      </w:r>
      <w:r>
        <w:rPr>
          <w:sz w:val="24"/>
          <w:rFonts w:ascii="Times New Roman" w:hAnsi="Times New Roman"/>
        </w:rPr>
        <w:t xml:space="preserve">stratégie de l’UE pour la région du Danube</w:t>
      </w:r>
      <w:r>
        <w:rPr>
          <w:sz w:val="24"/>
          <w:rFonts w:ascii="Times New Roman" w:hAnsi="Times New Roman"/>
        </w:rPr>
        <w:t xml:space="preserve">, et, potentiellement, l’</w:t>
      </w:r>
      <w:r>
        <w:rPr>
          <w:sz w:val="24"/>
          <w:rFonts w:ascii="Times New Roman" w:hAnsi="Times New Roman"/>
        </w:rPr>
        <w:t xml:space="preserve">intégration économique régionale</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L’UE n’a cessé de renforcer son dialogue stratégique avec les Balkans occidentaux, en se concentrant sur des domaines d’intérêt commun, tels que la justice et les affaires intérieures, l’économie et le marché unique, l’énergie, l’agriculture et le développement rural, les transports et la politique numérique, la protection civile, la politique sociale, l’éducation, la recherche et l’innovation, ainsi que les affaires étrangères, la sécurité et la défense.</w:t>
      </w:r>
      <w:r>
        <w:rPr>
          <w:sz w:val="24"/>
          <w:rFonts w:ascii="Times New Roman" w:hAnsi="Times New Roman"/>
        </w:rPr>
        <w:t xml:space="preserve"> </w:t>
      </w:r>
      <w:r>
        <w:rPr>
          <w:sz w:val="24"/>
          <w:rFonts w:ascii="Times New Roman" w:hAnsi="Times New Roman"/>
        </w:rPr>
        <w:t xml:space="preserve">Le dialogue dans ces derniers domaines comprend notamment un soutien au renforcement des cybercapacités et des capacités de défense.</w:t>
      </w:r>
      <w:r>
        <w:rPr>
          <w:sz w:val="24"/>
          <w:rFonts w:ascii="Times New Roman" w:hAnsi="Times New Roman"/>
        </w:rPr>
        <w:t xml:space="preserve"> </w:t>
      </w:r>
      <w:r>
        <w:rPr>
          <w:sz w:val="24"/>
          <w:rFonts w:ascii="Times New Roman" w:hAnsi="Times New Roman"/>
        </w:rPr>
        <w:t xml:space="preserve">Le processus de stabilisation et d’association est déjà le vecteur d’une très forte intégration, préalablement à la date d’adhésion.</w:t>
      </w:r>
      <w:r>
        <w:rPr>
          <w:sz w:val="24"/>
          <w:rFonts w:ascii="Times New Roman" w:hAnsi="Times New Roman"/>
        </w:rPr>
        <w:t xml:space="preserve"> </w:t>
      </w:r>
      <w:r>
        <w:rPr>
          <w:sz w:val="24"/>
          <w:rFonts w:ascii="Times New Roman" w:hAnsi="Times New Roman"/>
        </w:rPr>
        <w:t xml:space="preserve">En plus des possibilités offertes par les ASA, d’autres accords régionaux, portant notamment sur la </w:t>
      </w:r>
      <w:r>
        <w:rPr>
          <w:sz w:val="24"/>
          <w:rFonts w:ascii="Times New Roman" w:hAnsi="Times New Roman"/>
        </w:rPr>
        <w:t xml:space="preserve">Communauté des transports</w:t>
      </w:r>
      <w:r>
        <w:rPr>
          <w:sz w:val="24"/>
          <w:rFonts w:ascii="Times New Roman" w:hAnsi="Times New Roman"/>
        </w:rPr>
        <w:t xml:space="preserve"> et sur la </w:t>
      </w:r>
      <w:r>
        <w:rPr>
          <w:sz w:val="24"/>
          <w:rFonts w:ascii="Times New Roman" w:hAnsi="Times New Roman"/>
        </w:rPr>
        <w:t xml:space="preserve">Communauté de l’énergie</w:t>
      </w:r>
      <w:r>
        <w:rPr>
          <w:sz w:val="24"/>
          <w:rFonts w:ascii="Times New Roman" w:hAnsi="Times New Roman"/>
        </w:rPr>
        <w:t xml:space="preserve">, offrent des perspectives d’intégration considérables.</w:t>
      </w:r>
      <w:r>
        <w:rPr>
          <w:sz w:val="24"/>
          <w:rFonts w:ascii="Times New Roman" w:hAnsi="Times New Roman"/>
        </w:rPr>
        <w:t xml:space="preserve"> </w:t>
      </w:r>
      <w:r>
        <w:rPr>
          <w:sz w:val="24"/>
          <w:rFonts w:ascii="Times New Roman" w:hAnsi="Times New Roman"/>
        </w:rPr>
        <w:t xml:space="preserve">Par l’intermédiaire de la Communauté de l’énergie, l’UE ouvre également son marché de l’électricité aux Balkans occidentaux, sous réserve de la conduite de réformes réglementaires (</w:t>
      </w:r>
      <w:r>
        <w:rPr>
          <w:sz w:val="24"/>
          <w:i/>
          <w:rFonts w:ascii="Times New Roman" w:hAnsi="Times New Roman"/>
        </w:rPr>
        <w:t xml:space="preserve">paragraphes f, g, h, i, j, n, p et u</w:t>
      </w:r>
      <w:r>
        <w:rPr>
          <w:sz w:val="24"/>
          <w:rFonts w:ascii="Times New Roman" w:hAnsi="Times New Roman"/>
        </w:rPr>
        <w:t xml:space="preserve">).</w:t>
      </w:r>
    </w:p>
    <w:p w14:paraId="0BBEE386" w14:textId="77777777" w:rsidR="00D0598D" w:rsidRPr="00B36D7E" w:rsidRDefault="00D0598D" w:rsidP="00D0598D">
      <w:pPr>
        <w:widowControl w:val="0"/>
        <w:spacing w:after="120"/>
        <w:rPr>
          <w:szCs w:val="24"/>
          <w:rFonts w:ascii="Times New Roman" w:hAnsi="Times New Roman"/>
        </w:rPr>
      </w:pPr>
      <w:r>
        <w:rPr>
          <w:rFonts w:ascii="Times New Roman" w:hAnsi="Times New Roman"/>
        </w:rPr>
        <w:t xml:space="preserve">L’organisation du </w:t>
      </w:r>
      <w:r>
        <w:rPr>
          <w:b/>
          <w:rFonts w:ascii="Times New Roman" w:hAnsi="Times New Roman"/>
        </w:rPr>
        <w:t xml:space="preserve">sommet UE-Balkans occidentaux</w:t>
      </w:r>
      <w:r>
        <w:rPr>
          <w:rFonts w:ascii="Times New Roman" w:hAnsi="Times New Roman"/>
        </w:rPr>
        <w:t xml:space="preserve"> en décembre 2022 à Tirana, pour la première fois dans la région, témoigne de l’</w:t>
      </w:r>
      <w:r>
        <w:rPr>
          <w:b/>
          <w:rFonts w:ascii="Times New Roman" w:hAnsi="Times New Roman"/>
        </w:rPr>
        <w:t xml:space="preserve">attachement ferme de l’UE aux Balkans occidentaux</w:t>
      </w:r>
      <w:r>
        <w:rPr>
          <w:rFonts w:ascii="Times New Roman" w:hAnsi="Times New Roman"/>
        </w:rPr>
        <w:t xml:space="preserve">.</w:t>
      </w:r>
    </w:p>
    <w:p w14:paraId="352B3019" w14:textId="77777777" w:rsidR="00D0598D" w:rsidRPr="00B36D7E" w:rsidRDefault="00D0598D" w:rsidP="00D0598D">
      <w:pPr>
        <w:pStyle w:val="5Normal"/>
        <w:rPr>
          <w:sz w:val="24"/>
          <w:szCs w:val="24"/>
          <w:rFonts w:ascii="Times New Roman" w:hAnsi="Times New Roman"/>
        </w:rPr>
      </w:pPr>
      <w:r>
        <w:rPr>
          <w:sz w:val="24"/>
          <w:rFonts w:ascii="Times New Roman" w:hAnsi="Times New Roman"/>
        </w:rPr>
        <w:t xml:space="preserve">La Commission a annoncé les décisions prises pour mettre en œuvre le </w:t>
      </w:r>
      <w:r>
        <w:rPr>
          <w:sz w:val="24"/>
          <w:b/>
          <w:rFonts w:ascii="Times New Roman" w:hAnsi="Times New Roman"/>
        </w:rPr>
        <w:t xml:space="preserve">train de mesures de soutien à l’énergie</w:t>
      </w:r>
      <w:r>
        <w:rPr>
          <w:sz w:val="24"/>
          <w:b/>
          <w:rFonts w:ascii="Times New Roman" w:hAnsi="Times New Roman"/>
        </w:rPr>
        <w:t xml:space="preserve">, d’un montant d’un milliard d’euros</w:t>
      </w:r>
      <w:r>
        <w:rPr>
          <w:sz w:val="24"/>
          <w:rFonts w:ascii="Times New Roman" w:hAnsi="Times New Roman"/>
        </w:rPr>
        <w:t xml:space="preserve">, destiné à la région et présenté par la présidente von der Leyen en novembre 2022.</w:t>
      </w:r>
      <w:r>
        <w:rPr>
          <w:sz w:val="24"/>
          <w:rFonts w:ascii="Times New Roman" w:hAnsi="Times New Roman"/>
        </w:rPr>
        <w:t xml:space="preserve"> </w:t>
      </w:r>
      <w:r>
        <w:rPr>
          <w:sz w:val="24"/>
          <w:rFonts w:ascii="Times New Roman" w:hAnsi="Times New Roman"/>
        </w:rPr>
        <w:t xml:space="preserve">La Commission a </w:t>
      </w:r>
      <w:r>
        <w:rPr>
          <w:sz w:val="24"/>
          <w:rFonts w:ascii="Times New Roman" w:hAnsi="Times New Roman"/>
        </w:rPr>
        <w:t xml:space="preserve">autorisé </w:t>
      </w:r>
      <w:r>
        <w:rPr>
          <w:sz w:val="24"/>
          <w:rFonts w:ascii="Times New Roman" w:hAnsi="Times New Roman"/>
        </w:rPr>
        <w:t xml:space="preserve">un </w:t>
      </w:r>
      <w:r>
        <w:rPr>
          <w:sz w:val="24"/>
          <w:b/>
          <w:rFonts w:ascii="Times New Roman" w:hAnsi="Times New Roman"/>
        </w:rPr>
        <w:t xml:space="preserve">soutien budgétaire immédiat d’un montant de 500 millions d’euros</w:t>
      </w:r>
      <w:r>
        <w:rPr>
          <w:sz w:val="24"/>
          <w:rFonts w:ascii="Times New Roman" w:hAnsi="Times New Roman"/>
        </w:rPr>
        <w:t xml:space="preserve"> pour aider la région à atténuer les effets de la hausse des prix de l’énergie sur les entreprises et les </w:t>
      </w:r>
      <w:r>
        <w:rPr>
          <w:sz w:val="24"/>
          <w:rFonts w:ascii="Times New Roman" w:hAnsi="Times New Roman"/>
        </w:rPr>
        <w:t xml:space="preserve">ménages vulnérables</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L’UE est prête à acheminer 90 % de ce financement dès janvier 2023.</w:t>
      </w:r>
      <w:r>
        <w:rPr>
          <w:sz w:val="24"/>
          <w:rFonts w:ascii="Times New Roman" w:hAnsi="Times New Roman"/>
        </w:rPr>
        <w:t xml:space="preserve"> </w:t>
      </w:r>
      <w:r>
        <w:rPr>
          <w:sz w:val="24"/>
          <w:rFonts w:ascii="Times New Roman" w:hAnsi="Times New Roman"/>
        </w:rPr>
        <w:t xml:space="preserve">En outre, la Commission et les États membres ont autorisé, au titre du </w:t>
      </w:r>
      <w:r>
        <w:rPr>
          <w:sz w:val="24"/>
          <w:rFonts w:ascii="Times New Roman" w:hAnsi="Times New Roman"/>
        </w:rPr>
        <w:t xml:space="preserve">cadre d’investissement en faveur des Balkans occidentaux</w:t>
      </w:r>
      <w:r>
        <w:rPr>
          <w:sz w:val="24"/>
          <w:rFonts w:ascii="Times New Roman" w:hAnsi="Times New Roman"/>
        </w:rPr>
        <w:t xml:space="preserve">, un financement d’un montant de 500 millions d’euros d</w:t>
      </w:r>
      <w:r>
        <w:rPr>
          <w:sz w:val="24"/>
          <w:rFonts w:ascii="Times New Roman" w:hAnsi="Times New Roman"/>
        </w:rPr>
        <w:t xml:space="preserve">esti</w:t>
      </w:r>
      <w:r>
        <w:rPr>
          <w:sz w:val="24"/>
          <w:rFonts w:ascii="Times New Roman" w:hAnsi="Times New Roman"/>
        </w:rPr>
        <w:t xml:space="preserve">né aux </w:t>
      </w:r>
      <w:r>
        <w:rPr>
          <w:sz w:val="24"/>
          <w:b/>
          <w:rFonts w:ascii="Times New Roman" w:hAnsi="Times New Roman"/>
        </w:rPr>
        <w:t xml:space="preserve">initiatives à court et moyen </w:t>
      </w:r>
      <w:r>
        <w:rPr>
          <w:sz w:val="24"/>
          <w:b/>
          <w:rFonts w:ascii="Times New Roman" w:hAnsi="Times New Roman"/>
        </w:rPr>
        <w:t xml:space="preserve">ter</w:t>
      </w:r>
      <w:r>
        <w:rPr>
          <w:sz w:val="24"/>
          <w:b/>
          <w:rFonts w:ascii="Times New Roman" w:hAnsi="Times New Roman"/>
        </w:rPr>
        <w:t xml:space="preserve">me en matière de transition et de diversification énergétiques</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Il s’agit notamment d’investissements dans les infrastructures d’énergie renouvelable ainsi que dans la transition et l’efficacité énergétiques.</w:t>
      </w:r>
    </w:p>
    <w:p w14:paraId="54E0ED32" w14:textId="77777777" w:rsidR="00D0598D" w:rsidRPr="00B36D7E" w:rsidRDefault="00D0598D" w:rsidP="00D0598D">
      <w:pPr>
        <w:pStyle w:val="5Normal"/>
        <w:rPr>
          <w:sz w:val="24"/>
          <w:szCs w:val="24"/>
          <w:rFonts w:ascii="Times New Roman" w:hAnsi="Times New Roman"/>
        </w:rPr>
      </w:pPr>
      <w:r>
        <w:rPr>
          <w:sz w:val="24"/>
          <w:rFonts w:ascii="Times New Roman" w:hAnsi="Times New Roman"/>
        </w:rPr>
        <w:t xml:space="preserve">Le sommet a été l’occasion de faire le point sur les progrès accomplis dans la mise en œuvre du </w:t>
      </w:r>
      <w:r>
        <w:rPr>
          <w:sz w:val="24"/>
          <w:b/>
          <w:rFonts w:ascii="Times New Roman" w:hAnsi="Times New Roman"/>
        </w:rPr>
        <w:t xml:space="preserve">PEI </w:t>
      </w:r>
      <w:r>
        <w:rPr>
          <w:sz w:val="24"/>
          <w:b/>
          <w:rFonts w:ascii="Times New Roman" w:hAnsi="Times New Roman"/>
        </w:rPr>
        <w:t xml:space="preserve">d’un montant de près de </w:t>
      </w:r>
      <w:r>
        <w:rPr>
          <w:sz w:val="24"/>
          <w:b/>
          <w:rFonts w:ascii="Times New Roman" w:hAnsi="Times New Roman"/>
        </w:rPr>
        <w:t xml:space="preserve">30 milliards d’euros </w:t>
      </w:r>
      <w:r>
        <w:rPr>
          <w:sz w:val="24"/>
          <w:rFonts w:ascii="Times New Roman" w:hAnsi="Times New Roman"/>
        </w:rPr>
        <w:t xml:space="preserve">annoncé en 2020.</w:t>
      </w:r>
      <w:r>
        <w:rPr>
          <w:sz w:val="24"/>
          <w:rFonts w:ascii="Times New Roman" w:hAnsi="Times New Roman"/>
        </w:rPr>
        <w:t xml:space="preserve"> </w:t>
      </w:r>
      <w:r>
        <w:rPr>
          <w:sz w:val="24"/>
          <w:rFonts w:ascii="Times New Roman" w:hAnsi="Times New Roman"/>
        </w:rPr>
        <w:t xml:space="preserve">À ce jour, l’UE a adopté un financement pour </w:t>
      </w:r>
      <w:r>
        <w:rPr>
          <w:sz w:val="24"/>
          <w:b/>
          <w:rFonts w:ascii="Times New Roman" w:hAnsi="Times New Roman"/>
        </w:rPr>
        <w:t xml:space="preserve">40 </w:t>
      </w:r>
      <w:r>
        <w:rPr>
          <w:sz w:val="24"/>
          <w:b/>
          <w:rFonts w:ascii="Times New Roman" w:hAnsi="Times New Roman"/>
        </w:rPr>
        <w:t xml:space="preserve">projets phares</w:t>
      </w:r>
      <w:r>
        <w:rPr>
          <w:sz w:val="24"/>
          <w:rFonts w:ascii="Times New Roman" w:hAnsi="Times New Roman"/>
        </w:rPr>
        <w:t xml:space="preserve"> concernant la connectivité des transports, la transition énergétique, le programme en matière d’environnement, la transition numérique et le développement du capital humain, </w:t>
      </w:r>
      <w:r>
        <w:rPr>
          <w:sz w:val="24"/>
          <w:b/>
          <w:rFonts w:ascii="Times New Roman" w:hAnsi="Times New Roman"/>
        </w:rPr>
        <w:t xml:space="preserve">le soutien de l’UE s’élevant à 1,8 milliard d’euros pour une valeur d’investissement totale de 5,7 milliards d’euros</w:t>
      </w:r>
      <w:r>
        <w:rPr>
          <w:sz w:val="24"/>
          <w:rFonts w:ascii="Times New Roman" w:hAnsi="Times New Roman"/>
        </w:rPr>
        <w:t xml:space="preserve">.</w:t>
      </w:r>
    </w:p>
    <w:p w14:paraId="53F88742" w14:textId="34F77A8C" w:rsidR="00D0598D" w:rsidRPr="00B36D7E" w:rsidRDefault="00D0598D" w:rsidP="00D0598D">
      <w:pPr>
        <w:pStyle w:val="5Normal"/>
        <w:rPr>
          <w:bCs/>
          <w:i/>
          <w:spacing w:val="0"/>
          <w:sz w:val="24"/>
          <w:szCs w:val="24"/>
          <w:rFonts w:ascii="Times New Roman" w:hAnsi="Times New Roman"/>
        </w:rPr>
      </w:pPr>
      <w:r>
        <w:rPr>
          <w:sz w:val="24"/>
          <w:rFonts w:ascii="Times New Roman" w:hAnsi="Times New Roman"/>
        </w:rPr>
        <w:t xml:space="preserve">Des représentants des opérateurs de télécommunications des Balkans occidentaux et de l’UE ont signé une déclaration commune sur la </w:t>
      </w:r>
      <w:r>
        <w:rPr>
          <w:sz w:val="24"/>
          <w:b/>
          <w:rFonts w:ascii="Times New Roman" w:hAnsi="Times New Roman"/>
        </w:rPr>
        <w:t xml:space="preserve">réduction volontaire des frais d’itinérance entre la région et l’UE à partir d’octobre 2023</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Les négociations relatives à l’accord ont été menées avec la médiation de la Commission et </w:t>
      </w:r>
      <w:r>
        <w:rPr>
          <w:sz w:val="24"/>
          <w:rFonts w:ascii="Times New Roman" w:hAnsi="Times New Roman"/>
        </w:rPr>
        <w:t xml:space="preserve">du Conseil de coopération régionale.</w:t>
      </w:r>
      <w:r>
        <w:rPr>
          <w:sz w:val="24"/>
          <w:rFonts w:ascii="Times New Roman" w:hAnsi="Times New Roman"/>
        </w:rPr>
        <w:t xml:space="preserve"> </w:t>
      </w:r>
      <w:r>
        <w:rPr>
          <w:sz w:val="24"/>
          <w:rFonts w:ascii="Times New Roman" w:hAnsi="Times New Roman"/>
        </w:rPr>
        <w:t xml:space="preserve">Le processus est en cours, et la publication d’un plan d’évolution et d’un plafond de prix convenus d’un commun accord est prévue pour le mois de mai prochain.</w:t>
      </w:r>
    </w:p>
    <w:p w14:paraId="0069BEA1" w14:textId="77777777" w:rsidR="00D0598D" w:rsidRPr="00B36D7E" w:rsidRDefault="00D0598D" w:rsidP="00D0598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rPr>
          <w:spacing w:val="-2"/>
          <w:szCs w:val="24"/>
          <w:rFonts w:ascii="Times New Roman" w:hAnsi="Times New Roman"/>
        </w:rPr>
      </w:pPr>
      <w:r>
        <w:rPr>
          <w:rFonts w:ascii="Times New Roman" w:hAnsi="Times New Roman"/>
        </w:rPr>
        <w:t xml:space="preserve">Le sommet a été l’occasion d’examiner et d’approfondir la coopération de l’UE avec la région dans les domaines de la migration, de la cybersécurité, de l’éducation et de la jeunesse.</w:t>
      </w:r>
      <w:r>
        <w:rPr>
          <w:rFonts w:ascii="Times New Roman" w:hAnsi="Times New Roman"/>
        </w:rPr>
        <w:t xml:space="preserve"> </w:t>
      </w:r>
      <w:r>
        <w:rPr>
          <w:rFonts w:ascii="Times New Roman" w:hAnsi="Times New Roman"/>
        </w:rPr>
        <w:t xml:space="preserve">La Commission a ré</w:t>
      </w:r>
      <w:r>
        <w:rPr>
          <w:rFonts w:ascii="Times New Roman" w:hAnsi="Times New Roman"/>
        </w:rPr>
        <w:t xml:space="preserve">cemm</w:t>
      </w:r>
      <w:r>
        <w:rPr>
          <w:rFonts w:ascii="Times New Roman" w:hAnsi="Times New Roman"/>
        </w:rPr>
        <w:t xml:space="preserve">ent autorisé un financement de </w:t>
      </w:r>
      <w:r>
        <w:rPr>
          <w:b/>
          <w:rFonts w:ascii="Times New Roman" w:hAnsi="Times New Roman"/>
        </w:rPr>
        <w:t xml:space="preserve">70 millions d’euros</w:t>
      </w:r>
      <w:r>
        <w:rPr>
          <w:rFonts w:ascii="Times New Roman" w:hAnsi="Times New Roman"/>
        </w:rPr>
        <w:t xml:space="preserve"> pour contribuer à </w:t>
      </w:r>
      <w:r>
        <w:rPr>
          <w:b/>
          <w:rFonts w:ascii="Times New Roman" w:hAnsi="Times New Roman"/>
        </w:rPr>
        <w:t xml:space="preserve">améliorer les capacités de gestion des frontières</w:t>
      </w:r>
      <w:r>
        <w:rPr>
          <w:rFonts w:ascii="Times New Roman" w:hAnsi="Times New Roman"/>
        </w:rPr>
        <w:t xml:space="preserve"> et à intensifier</w:t>
      </w:r>
      <w:r>
        <w:rPr>
          <w:b/>
          <w:rFonts w:ascii="Times New Roman" w:hAnsi="Times New Roman"/>
        </w:rPr>
        <w:t xml:space="preserve"> </w:t>
      </w:r>
      <w:r>
        <w:rPr>
          <w:rFonts w:ascii="Times New Roman" w:hAnsi="Times New Roman"/>
        </w:rPr>
        <w:t xml:space="preserve">la </w:t>
      </w:r>
      <w:r>
        <w:rPr>
          <w:b/>
          <w:rFonts w:ascii="Times New Roman" w:hAnsi="Times New Roman"/>
        </w:rPr>
        <w:t xml:space="preserve">lutte contre le trafic de migrants et la traite des êtres humains</w:t>
      </w:r>
      <w:r>
        <w:rPr>
          <w:rFonts w:ascii="Times New Roman" w:hAnsi="Times New Roman"/>
        </w:rPr>
        <w:t xml:space="preserve"> dans les Balkans occidentaux. Elle aide en outre la région à renforcer sa </w:t>
      </w:r>
      <w:r>
        <w:rPr>
          <w:b/>
          <w:rFonts w:ascii="Times New Roman" w:hAnsi="Times New Roman"/>
        </w:rPr>
        <w:t xml:space="preserve">cyberrésilience</w:t>
      </w:r>
      <w:r>
        <w:rPr>
          <w:rFonts w:ascii="Times New Roman" w:hAnsi="Times New Roman"/>
        </w:rPr>
        <w:t xml:space="preserve">.</w:t>
      </w:r>
      <w:r>
        <w:rPr>
          <w:rFonts w:ascii="Times New Roman" w:hAnsi="Times New Roman"/>
        </w:rPr>
        <w:t xml:space="preserve"> </w:t>
      </w:r>
      <w:r>
        <w:rPr>
          <w:rFonts w:ascii="Times New Roman" w:hAnsi="Times New Roman"/>
        </w:rPr>
        <w:t xml:space="preserve">Les Balkans occidentaux seront également inclus, sur un pied d’égalité avec les États membres de l’UE, dans l’</w:t>
      </w:r>
      <w:r>
        <w:rPr>
          <w:rFonts w:ascii="Times New Roman" w:hAnsi="Times New Roman"/>
        </w:rPr>
        <w:t xml:space="preserve">initiative </w:t>
      </w:r>
      <w:r>
        <w:rPr>
          <w:b/>
          <w:rFonts w:ascii="Times New Roman" w:hAnsi="Times New Roman"/>
        </w:rPr>
        <w:t xml:space="preserve">«universités européennes»</w:t>
      </w:r>
      <w:r>
        <w:rPr>
          <w:rFonts w:ascii="Times New Roman" w:hAnsi="Times New Roman"/>
        </w:rPr>
        <w:t xml:space="preserve"> dans le cadre d’Erasmus+, afin de créer de nouvelles perspectives pour les jeunes.</w:t>
      </w:r>
    </w:p>
    <w:p w14:paraId="73C2DD2F" w14:textId="77777777" w:rsidR="00D0598D" w:rsidRPr="00B2408A" w:rsidRDefault="00D0598D" w:rsidP="00D0598D">
      <w:pPr>
        <w:pStyle w:val="Point123"/>
        <w:numPr>
          <w:ilvl w:val="0"/>
          <w:numId w:val="0"/>
        </w:numPr>
        <w:autoSpaceDE w:val="0"/>
        <w:autoSpaceDN w:val="0"/>
        <w:spacing w:before="0" w:line="240" w:lineRule="auto"/>
        <w:jc w:val="both"/>
        <w:rPr>
          <w:szCs w:val="24"/>
        </w:rPr>
      </w:pPr>
      <w:r>
        <w:t xml:space="preserve">L’Union a encouragé les partenaires des Balkans occidentaux à établir et à entretenir des relations de coopération avec le </w:t>
      </w:r>
      <w:r>
        <w:rPr>
          <w:b/>
        </w:rPr>
        <w:t xml:space="preserve">Parquet européen</w:t>
      </w:r>
      <w:r>
        <w:t xml:space="preserve"> dans le domaine de l’</w:t>
      </w:r>
      <w:r>
        <w:t xml:space="preserve">entraide judiciaire en matière pénale</w:t>
      </w:r>
      <w:r>
        <w:t xml:space="preserve">.</w:t>
      </w:r>
      <w:r>
        <w:t xml:space="preserve"> </w:t>
      </w:r>
      <w:r>
        <w:t xml:space="preserve">La Commission se félicite des </w:t>
      </w:r>
      <w:r>
        <w:t xml:space="preserve">accords de travail</w:t>
      </w:r>
      <w:r>
        <w:t xml:space="preserve"> déjà conclus entre le Parquet européen et certains partenaires des Balkans occidentaux, et encourage les autres partenaires à établir une coopération similaire dès que possible (</w:t>
      </w:r>
      <w:r>
        <w:rPr>
          <w:i/>
        </w:rPr>
        <w:t xml:space="preserve">paragraphes g, i et as</w:t>
      </w:r>
      <w:r>
        <w:t xml:space="preserve">).</w:t>
      </w:r>
    </w:p>
    <w:p w14:paraId="15AC44D8" w14:textId="77777777" w:rsidR="00D0598D" w:rsidRPr="00361718" w:rsidRDefault="00D0598D" w:rsidP="00D0598D">
      <w:pPr>
        <w:autoSpaceDE w:val="0"/>
        <w:autoSpaceDN w:val="0"/>
        <w:spacing w:after="120"/>
        <w:rPr>
          <w:i/>
          <w:szCs w:val="24"/>
          <w:rFonts w:ascii="Times New Roman" w:hAnsi="Times New Roman"/>
        </w:rPr>
      </w:pPr>
      <w:r>
        <w:rPr>
          <w:color w:val="000000"/>
          <w:rFonts w:ascii="Times New Roman" w:hAnsi="Times New Roman"/>
        </w:rPr>
        <w:t xml:space="preserve">Conformément à l’article 17 du </w:t>
      </w:r>
      <w:r>
        <w:rPr>
          <w:color w:val="000000"/>
          <w:rFonts w:ascii="Times New Roman" w:hAnsi="Times New Roman"/>
        </w:rPr>
        <w:t xml:space="preserve">règlement commun de mise en œuvre</w:t>
      </w:r>
      <w:r>
        <w:rPr>
          <w:color w:val="000000"/>
          <w:rFonts w:ascii="Times New Roman" w:hAnsi="Times New Roman"/>
        </w:rPr>
        <w:t xml:space="preserve">, la Commission procède à l’</w:t>
      </w:r>
      <w:r>
        <w:rPr>
          <w:color w:val="000000"/>
          <w:b/>
          <w:rFonts w:ascii="Times New Roman" w:hAnsi="Times New Roman"/>
        </w:rPr>
        <w:t xml:space="preserve">évaluation finale de l’IAP II (instrument d’aide de préadhésion)</w:t>
      </w:r>
      <w:r>
        <w:rPr>
          <w:color w:val="000000"/>
          <w:rFonts w:ascii="Times New Roman" w:hAnsi="Times New Roman"/>
        </w:rPr>
        <w:t xml:space="preserve"> ainsi qu’à l’</w:t>
      </w:r>
      <w:r>
        <w:rPr>
          <w:color w:val="000000"/>
          <w:b/>
          <w:rFonts w:ascii="Times New Roman" w:hAnsi="Times New Roman"/>
        </w:rPr>
        <w:t xml:space="preserve">évaluation à mi-parcours de l’IAP III</w:t>
      </w:r>
      <w:r>
        <w:rPr>
          <w:color w:val="000000"/>
          <w:rFonts w:ascii="Times New Roman" w:hAnsi="Times New Roman"/>
        </w:rPr>
        <w:t xml:space="preserve">.</w:t>
      </w:r>
      <w:r>
        <w:rPr>
          <w:color w:val="000000"/>
          <w:rFonts w:ascii="Times New Roman" w:hAnsi="Times New Roman"/>
        </w:rPr>
        <w:t xml:space="preserve"> </w:t>
      </w:r>
      <w:r>
        <w:rPr>
          <w:color w:val="000000"/>
          <w:rFonts w:ascii="Times New Roman" w:hAnsi="Times New Roman"/>
        </w:rPr>
        <w:t xml:space="preserve">L’exercice comprendra également l’</w:t>
      </w:r>
      <w:r>
        <w:rPr>
          <w:color w:val="000000"/>
          <w:b/>
          <w:rFonts w:ascii="Times New Roman" w:hAnsi="Times New Roman"/>
        </w:rPr>
        <w:t xml:space="preserve">évaluation à mi-parcours de l’</w:t>
      </w:r>
      <w:r>
        <w:rPr>
          <w:color w:val="000000"/>
          <w:b/>
          <w:rFonts w:ascii="Times New Roman" w:hAnsi="Times New Roman"/>
        </w:rPr>
        <w:t xml:space="preserve">IVCDCI</w:t>
      </w:r>
      <w:r>
        <w:rPr>
          <w:color w:val="000000"/>
          <w:rFonts w:ascii="Times New Roman" w:hAnsi="Times New Roman"/>
        </w:rPr>
        <w:t xml:space="preserve"> (instrument de voisinage, de coopération au développement et de coopération internationale) ainsi que l’évaluation finale de ses prédécesseurs du précédent </w:t>
      </w:r>
      <w:r>
        <w:rPr>
          <w:color w:val="000000"/>
          <w:rFonts w:ascii="Times New Roman" w:hAnsi="Times New Roman"/>
        </w:rPr>
        <w:t xml:space="preserve">cadre financier pluriannuel</w:t>
      </w:r>
      <w:r>
        <w:rPr>
          <w:color w:val="000000"/>
          <w:rFonts w:ascii="Times New Roman" w:hAnsi="Times New Roman"/>
        </w:rPr>
        <w:t xml:space="preserve"> (</w:t>
      </w:r>
      <w:r>
        <w:rPr>
          <w:color w:val="000000"/>
          <w:i/>
          <w:rFonts w:ascii="Times New Roman" w:hAnsi="Times New Roman"/>
        </w:rPr>
        <w:t xml:space="preserve">paragraphes o, p, q, r et s</w:t>
      </w:r>
      <w:r>
        <w:rPr>
          <w:color w:val="000000"/>
          <w:rFonts w:ascii="Times New Roman" w:hAnsi="Times New Roman"/>
        </w:rPr>
        <w:t xml:space="preserve">).</w:t>
      </w:r>
    </w:p>
    <w:p w14:paraId="0CD9E292" w14:textId="77777777" w:rsidR="00D0598D" w:rsidRPr="00167122" w:rsidRDefault="00D0598D" w:rsidP="00D0598D">
      <w:pPr>
        <w:widowControl w:val="0"/>
        <w:spacing w:after="120"/>
        <w:rPr>
          <w:i/>
          <w:szCs w:val="24"/>
          <w:rFonts w:ascii="Times New Roman" w:hAnsi="Times New Roman"/>
        </w:rPr>
      </w:pPr>
      <w:r>
        <w:rPr>
          <w:rFonts w:ascii="Times New Roman" w:hAnsi="Times New Roman"/>
        </w:rPr>
        <w:t xml:space="preserve">En ce qui concerne </w:t>
      </w:r>
      <w:r>
        <w:rPr>
          <w:b/>
          <w:rFonts w:ascii="Times New Roman" w:hAnsi="Times New Roman"/>
        </w:rPr>
        <w:t xml:space="preserve">l’Ukraine, la République de Moldavie et la Géorgie</w:t>
      </w:r>
      <w:r>
        <w:rPr>
          <w:rFonts w:ascii="Times New Roman" w:hAnsi="Times New Roman"/>
        </w:rPr>
        <w:t xml:space="preserve">, la Commission rendra compte de la réalisation des étapes/priorités définies dans ses avis sur les différentes demandes d’adhésion dans le cadre de son paquet «élargissement» régulier, dont feront désormais partie les trois pays à compter de 2023.</w:t>
      </w:r>
    </w:p>
    <w:p w14:paraId="1DD5B530" w14:textId="77777777" w:rsidR="00D0598D" w:rsidRPr="00B2408A" w:rsidRDefault="00D0598D" w:rsidP="00D0598D">
      <w:pPr>
        <w:spacing w:after="120"/>
        <w:ind w:right="-57"/>
        <w:rPr>
          <w:bCs/>
          <w:szCs w:val="24"/>
          <w:rFonts w:ascii="Times New Roman" w:hAnsi="Times New Roman"/>
        </w:rPr>
      </w:pPr>
      <w:r>
        <w:rPr>
          <w:rFonts w:ascii="Times New Roman" w:hAnsi="Times New Roman"/>
        </w:rPr>
        <w:t xml:space="preserve">L’objectif de la coopération avec ces trois pays repose déjà sur leur alignement sur les normes de l’UE et sur leur rapprochement avec la législation et les politiques de l’UE, conformément aux </w:t>
      </w:r>
      <w:r>
        <w:rPr>
          <w:rFonts w:ascii="Times New Roman" w:hAnsi="Times New Roman"/>
        </w:rPr>
        <w:t xml:space="preserve">accords d’association</w:t>
      </w:r>
      <w:r>
        <w:rPr>
          <w:rFonts w:ascii="Times New Roman" w:hAnsi="Times New Roman"/>
        </w:rPr>
        <w:t xml:space="preserve">/</w:t>
      </w:r>
      <w:r>
        <w:rPr>
          <w:rFonts w:ascii="Times New Roman" w:hAnsi="Times New Roman"/>
        </w:rPr>
        <w:t xml:space="preserve">zones de libre-échange approfondi et complet</w:t>
      </w:r>
      <w:r>
        <w:rPr>
          <w:rFonts w:ascii="Times New Roman" w:hAnsi="Times New Roman"/>
        </w:rPr>
        <w:t xml:space="preserve">, ainsi que sur leur adhésion à la Communauté de l’énergie.</w:t>
      </w:r>
      <w:r>
        <w:rPr>
          <w:rFonts w:ascii="Times New Roman" w:hAnsi="Times New Roman"/>
        </w:rPr>
        <w:t xml:space="preserve"> </w:t>
      </w:r>
      <w:r>
        <w:rPr>
          <w:rFonts w:ascii="Times New Roman" w:hAnsi="Times New Roman"/>
        </w:rPr>
        <w:t xml:space="preserve">L’intégration des trois pays est également soutenue par leur participation aux programmes et agences de l’UE, par le </w:t>
      </w:r>
      <w:r>
        <w:rPr>
          <w:rFonts w:ascii="Times New Roman" w:hAnsi="Times New Roman"/>
        </w:rPr>
        <w:t xml:space="preserve">plan économique et d’investissement pour le Partenariat oriental</w:t>
      </w:r>
      <w:r>
        <w:rPr>
          <w:rFonts w:ascii="Times New Roman" w:hAnsi="Times New Roman"/>
        </w:rPr>
        <w:t xml:space="preserve"> et par des cadres de coopération régionale, tels que la </w:t>
      </w:r>
      <w:r>
        <w:rPr>
          <w:rFonts w:ascii="Times New Roman" w:hAnsi="Times New Roman"/>
        </w:rPr>
        <w:t xml:space="preserve">stratégie de l’UE pour la mer Noire</w:t>
      </w:r>
      <w:r>
        <w:rPr>
          <w:rFonts w:ascii="Times New Roman" w:hAnsi="Times New Roman"/>
        </w:rPr>
        <w:t xml:space="preserve">.</w:t>
      </w:r>
      <w:r>
        <w:rPr>
          <w:rFonts w:ascii="Times New Roman" w:hAnsi="Times New Roman"/>
        </w:rPr>
        <w:t xml:space="preserve"> </w:t>
      </w:r>
      <w:r>
        <w:rPr>
          <w:rFonts w:ascii="Times New Roman" w:hAnsi="Times New Roman"/>
        </w:rPr>
        <w:t xml:space="preserve">Dans son annexe I, le </w:t>
      </w:r>
      <w:r>
        <w:rPr>
          <w:rFonts w:ascii="Times New Roman" w:hAnsi="Times New Roman"/>
        </w:rPr>
        <w:t xml:space="preserve">règlement IAP III</w:t>
      </w:r>
      <w:r>
        <w:rPr>
          <w:rFonts w:ascii="Times New Roman" w:hAnsi="Times New Roman"/>
        </w:rPr>
        <w:t xml:space="preserve"> mentionne spécifiquement les </w:t>
      </w:r>
      <w:r>
        <w:rPr>
          <w:rFonts w:ascii="Times New Roman" w:hAnsi="Times New Roman"/>
        </w:rPr>
        <w:t xml:space="preserve">partenaires couverts</w:t>
      </w:r>
      <w:r>
        <w:rPr>
          <w:rFonts w:ascii="Times New Roman" w:hAnsi="Times New Roman"/>
        </w:rPr>
        <w:t xml:space="preserve">, et les trois nouveaux pays candidats n’en font pas partie (</w:t>
      </w:r>
      <w:r>
        <w:rPr>
          <w:i/>
          <w:rFonts w:ascii="Times New Roman" w:hAnsi="Times New Roman"/>
        </w:rPr>
        <w:t xml:space="preserve">paragraphes t, u, v, w, x, y et af</w:t>
      </w:r>
      <w:r>
        <w:rPr>
          <w:rFonts w:ascii="Times New Roman" w:hAnsi="Times New Roman"/>
        </w:rPr>
        <w:t xml:space="preserve">).</w:t>
      </w:r>
    </w:p>
    <w:p w14:paraId="46E70573" w14:textId="2A94A41E" w:rsidR="00405EEB" w:rsidRPr="00D0598D" w:rsidRDefault="00D0598D" w:rsidP="00D0598D">
      <w:pPr>
        <w:rPr>
          <w:rFonts w:ascii="Times New Roman" w:hAnsi="Times New Roman"/>
        </w:rPr>
      </w:pPr>
      <w:r>
        <w:rPr>
          <w:rFonts w:ascii="Times New Roman" w:hAnsi="Times New Roman"/>
        </w:rPr>
        <w:t xml:space="preserve">L’Ukraine, la Moldavie et la Géorgie bénéficient d’un soutien au titre de l’IVCDCI - Europe dans le monde, par exemple au moyen de programmes thématiques, de </w:t>
      </w:r>
      <w:r>
        <w:rPr>
          <w:rFonts w:ascii="Times New Roman" w:hAnsi="Times New Roman"/>
        </w:rPr>
        <w:t xml:space="preserve">TAIEX </w:t>
      </w:r>
      <w:r>
        <w:rPr>
          <w:rFonts w:ascii="Times New Roman" w:hAnsi="Times New Roman"/>
        </w:rPr>
        <w:t xml:space="preserve">(instrument d’assistance technique et d’échange d’informations) et de l’OCDE/</w:t>
      </w:r>
      <w:r>
        <w:rPr>
          <w:rFonts w:ascii="Times New Roman" w:hAnsi="Times New Roman"/>
        </w:rPr>
        <w:t xml:space="preserve">SIGMA </w:t>
      </w:r>
      <w:r>
        <w:rPr>
          <w:rFonts w:ascii="Times New Roman" w:hAnsi="Times New Roman"/>
        </w:rPr>
        <w:t xml:space="preserve">(Organisation de coopération et de développement économiques/soutien à l’amélioration de l’administration et </w:t>
      </w:r>
      <w:r>
        <w:rPr>
          <w:rFonts w:ascii="Times New Roman" w:hAnsi="Times New Roman"/>
        </w:rPr>
        <w:t xml:space="preserve">de </w:t>
      </w:r>
      <w:r>
        <w:rPr>
          <w:rFonts w:ascii="Times New Roman" w:hAnsi="Times New Roman"/>
        </w:rPr>
        <w:t xml:space="preserve">la gestion).</w:t>
      </w:r>
      <w:r>
        <w:rPr>
          <w:rFonts w:ascii="Times New Roman" w:hAnsi="Times New Roman"/>
        </w:rPr>
        <w:t xml:space="preserve"> </w:t>
      </w:r>
      <w:r>
        <w:rPr>
          <w:rFonts w:ascii="Times New Roman" w:hAnsi="Times New Roman"/>
        </w:rPr>
        <w:t xml:space="preserve">La Commission a exposé ses propositions concernant la reconstruction de l’Ukraine dans sa communication intitulée «</w:t>
      </w:r>
      <w:r>
        <w:rPr>
          <w:rFonts w:ascii="Times New Roman" w:hAnsi="Times New Roman"/>
        </w:rPr>
        <w:t xml:space="preserve">Aide immédiate et aide à la reconstruction de l’Ukraine</w:t>
      </w:r>
      <w:r>
        <w:rPr>
          <w:rFonts w:ascii="Times New Roman" w:hAnsi="Times New Roman"/>
        </w:rPr>
        <w:t xml:space="preserve">» - COM(2022) 233 final (</w:t>
      </w:r>
      <w:r>
        <w:rPr>
          <w:i/>
          <w:rFonts w:ascii="Times New Roman" w:hAnsi="Times New Roman"/>
        </w:rPr>
        <w:t xml:space="preserve">paragraphes aa, ab, ac, ad, ae et af</w:t>
      </w:r>
      <w:r>
        <w:rPr>
          <w:rFonts w:ascii="Times New Roman" w:hAnsi="Times New Roman"/>
        </w:rPr>
        <w:t xml:space="preserve">).</w:t>
      </w:r>
    </w:p>
    <w:sectPr w:rsidR="00405EEB" w:rsidRPr="00D0598D" w:rsidSect="00812321">
      <w:headerReference w:type="even" r:id="rId12"/>
      <w:headerReference w:type="default" r:id="rId13"/>
      <w:footerReference w:type="even" r:id="rId14"/>
      <w:footerReference w:type="default" r:id="rId15"/>
      <w:headerReference w:type="first" r:id="rId16"/>
      <w:footerReference w:type="first" r:id="rId17"/>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217F" w14:textId="77777777" w:rsidR="00EC1C28" w:rsidRDefault="00EC1C28">
      <w:r>
        <w:separator/>
      </w:r>
    </w:p>
  </w:endnote>
  <w:endnote w:type="continuationSeparator" w:id="0">
    <w:p w14:paraId="1CB0C828" w14:textId="77777777" w:rsidR="00EC1C28" w:rsidRDefault="00EC1C28">
      <w:r>
        <w:continuationSeparator/>
      </w:r>
    </w:p>
  </w:endnote>
  <w:endnote w:type="continuationNotice" w:id="1">
    <w:p w14:paraId="7DE3406A" w14:textId="77777777" w:rsidR="00EC1C28" w:rsidRDefault="00EC1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C80B"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35</w:t>
    </w:r>
    <w:r>
      <w:rPr>
        <w:rStyle w:val="PageNumber"/>
      </w:rPr>
      <w:fldChar w:fldCharType="end"/>
    </w:r>
  </w:p>
  <w:p w14:paraId="3B6316AD"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18EF" w14:textId="1707FC12"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4</w:t>
    </w:r>
    <w:r>
      <w:rPr>
        <w:rStyle w:val="PageNumber"/>
      </w:rPr>
      <w:fldChar w:fldCharType="end"/>
    </w:r>
  </w:p>
  <w:p w14:paraId="605A7458"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1CC5" w14:textId="31EF81A6"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1</w:t>
    </w:r>
    <w:r>
      <w:rPr>
        <w:rStyle w:val="PageNumber"/>
      </w:rPr>
      <w:fldChar w:fldCharType="end"/>
    </w:r>
  </w:p>
  <w:p w14:paraId="6FF0A9AD"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9C1A" w14:textId="77777777" w:rsidR="00EC1C28" w:rsidRDefault="00EC1C28">
      <w:r>
        <w:separator/>
      </w:r>
    </w:p>
  </w:footnote>
  <w:footnote w:type="continuationSeparator" w:id="0">
    <w:p w14:paraId="5EF06927" w14:textId="77777777" w:rsidR="00EC1C28" w:rsidRDefault="00EC1C28">
      <w:r>
        <w:continuationSeparator/>
      </w:r>
    </w:p>
  </w:footnote>
  <w:footnote w:type="continuationNotice" w:id="1">
    <w:p w14:paraId="17968D60" w14:textId="77777777" w:rsidR="00EC1C28" w:rsidRDefault="00EC1C28">
      <w:pPr>
        <w:spacing w:after="0"/>
      </w:pPr>
    </w:p>
  </w:footnote>
  <w:footnote w:id="2">
    <w:p w14:paraId="2368D6C9" w14:textId="77777777" w:rsidR="00D0598D" w:rsidRPr="00FB650F" w:rsidRDefault="00D0598D" w:rsidP="00D0598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COM(2022) 528 final.</w:t>
      </w:r>
    </w:p>
  </w:footnote>
  <w:footnote w:id="3">
    <w:p w14:paraId="0804A63A" w14:textId="77777777" w:rsidR="00D0598D" w:rsidRPr="00FB650F" w:rsidRDefault="00D0598D" w:rsidP="00D0598D">
      <w:pPr>
        <w:pStyle w:val="FootnoteText"/>
        <w:spacing w:after="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EUCO 34/22.</w:t>
      </w:r>
    </w:p>
  </w:footnote>
  <w:footnote w:id="4">
    <w:p w14:paraId="3569C44E" w14:textId="77777777" w:rsidR="00D0598D" w:rsidRPr="00FB650F" w:rsidRDefault="00D0598D" w:rsidP="00D0598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EUCO 24/22.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C8DE" w14:textId="77777777" w:rsidR="00E37C9F" w:rsidRDefault="00E37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B725" w14:textId="77777777" w:rsidR="00E37C9F" w:rsidRDefault="00E37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046B" w14:textId="77777777" w:rsidR="00E37C9F" w:rsidRDefault="00E37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16F1BD4"/>
    <w:multiLevelType w:val="hybridMultilevel"/>
    <w:tmpl w:val="65CCB7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495604"/>
    <w:multiLevelType w:val="multilevel"/>
    <w:tmpl w:val="D02252EE"/>
    <w:name w:val="Points"/>
    <w:lvl w:ilvl="0">
      <w:start w:val="1"/>
      <w:numFmt w:val="decimal"/>
      <w:lvlRestart w:val="0"/>
      <w:pStyle w:val="Point123"/>
      <w:lvlText w:val="%1."/>
      <w:lvlJc w:val="left"/>
      <w:pPr>
        <w:tabs>
          <w:tab w:val="num" w:pos="567"/>
        </w:tabs>
        <w:ind w:left="567" w:hanging="567"/>
      </w:pPr>
      <w:rPr>
        <w:b w:val="0"/>
        <w:bCs w:val="0"/>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F4825E6"/>
    <w:multiLevelType w:val="hybridMultilevel"/>
    <w:tmpl w:val="42809C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EB7D5A"/>
    <w:multiLevelType w:val="hybridMultilevel"/>
    <w:tmpl w:val="512C7A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96461"/>
    <w:multiLevelType w:val="hybridMultilevel"/>
    <w:tmpl w:val="5BF2BCB2"/>
    <w:lvl w:ilvl="0" w:tplc="CDC0FC22">
      <w:start w:val="1"/>
      <w:numFmt w:val="decimal"/>
      <w:lvlText w:val="%1."/>
      <w:lvlJc w:val="left"/>
      <w:pPr>
        <w:ind w:left="1429" w:hanging="360"/>
      </w:pPr>
      <w:rPr>
        <w:rFonts w:ascii="Times New Roman" w:eastAsia="Times New Roman" w:hAnsi="Times New Roman" w:cs="Times New Roman"/>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3"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8C2513F"/>
    <w:multiLevelType w:val="hybridMultilevel"/>
    <w:tmpl w:val="260A9976"/>
    <w:lvl w:ilvl="0" w:tplc="CCFEBA9A">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207A8"/>
    <w:multiLevelType w:val="hybridMultilevel"/>
    <w:tmpl w:val="C52A56A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1"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5" w15:restartNumberingAfterBreak="0">
    <w:nsid w:val="6F7931EF"/>
    <w:multiLevelType w:val="hybridMultilevel"/>
    <w:tmpl w:val="2798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56F7B1A"/>
    <w:multiLevelType w:val="hybridMultilevel"/>
    <w:tmpl w:val="D9682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1"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510945651">
    <w:abstractNumId w:val="9"/>
  </w:num>
  <w:num w:numId="2" w16cid:durableId="192427907">
    <w:abstractNumId w:val="1"/>
  </w:num>
  <w:num w:numId="3" w16cid:durableId="295184223">
    <w:abstractNumId w:val="40"/>
  </w:num>
  <w:num w:numId="4" w16cid:durableId="132528797">
    <w:abstractNumId w:val="15"/>
  </w:num>
  <w:num w:numId="5" w16cid:durableId="494345447">
    <w:abstractNumId w:val="34"/>
  </w:num>
  <w:num w:numId="6" w16cid:durableId="741635857">
    <w:abstractNumId w:val="12"/>
  </w:num>
  <w:num w:numId="7" w16cid:durableId="1321545225">
    <w:abstractNumId w:val="8"/>
  </w:num>
  <w:num w:numId="8" w16cid:durableId="950087918">
    <w:abstractNumId w:val="19"/>
  </w:num>
  <w:num w:numId="9" w16cid:durableId="1040278445">
    <w:abstractNumId w:val="39"/>
  </w:num>
  <w:num w:numId="10" w16cid:durableId="1374378621">
    <w:abstractNumId w:val="28"/>
  </w:num>
  <w:num w:numId="11" w16cid:durableId="267592081">
    <w:abstractNumId w:val="31"/>
  </w:num>
  <w:num w:numId="12" w16cid:durableId="1123304016">
    <w:abstractNumId w:val="14"/>
  </w:num>
  <w:num w:numId="13" w16cid:durableId="298533104">
    <w:abstractNumId w:val="20"/>
  </w:num>
  <w:num w:numId="14" w16cid:durableId="2081443434">
    <w:abstractNumId w:val="36"/>
  </w:num>
  <w:num w:numId="15" w16cid:durableId="1585185462">
    <w:abstractNumId w:val="18"/>
  </w:num>
  <w:num w:numId="16" w16cid:durableId="1575630688">
    <w:abstractNumId w:val="43"/>
  </w:num>
  <w:num w:numId="17" w16cid:durableId="1527020828">
    <w:abstractNumId w:val="38"/>
  </w:num>
  <w:num w:numId="18" w16cid:durableId="382296164">
    <w:abstractNumId w:val="25"/>
  </w:num>
  <w:num w:numId="19" w16cid:durableId="96874874">
    <w:abstractNumId w:val="26"/>
  </w:num>
  <w:num w:numId="20" w16cid:durableId="2055082058">
    <w:abstractNumId w:val="33"/>
  </w:num>
  <w:num w:numId="21" w16cid:durableId="1073308678">
    <w:abstractNumId w:val="5"/>
  </w:num>
  <w:num w:numId="22" w16cid:durableId="599989161">
    <w:abstractNumId w:val="6"/>
  </w:num>
  <w:num w:numId="23" w16cid:durableId="1902130543">
    <w:abstractNumId w:val="7"/>
  </w:num>
  <w:num w:numId="24" w16cid:durableId="10179242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9120482">
    <w:abstractNumId w:val="41"/>
  </w:num>
  <w:num w:numId="26" w16cid:durableId="175116140">
    <w:abstractNumId w:val="29"/>
  </w:num>
  <w:num w:numId="27" w16cid:durableId="984968494">
    <w:abstractNumId w:val="21"/>
  </w:num>
  <w:num w:numId="28" w16cid:durableId="2033917993">
    <w:abstractNumId w:val="42"/>
  </w:num>
  <w:num w:numId="29" w16cid:durableId="1747072411">
    <w:abstractNumId w:val="4"/>
  </w:num>
  <w:num w:numId="30" w16cid:durableId="324747279">
    <w:abstractNumId w:val="24"/>
  </w:num>
  <w:num w:numId="31" w16cid:durableId="785807903">
    <w:abstractNumId w:val="23"/>
  </w:num>
  <w:num w:numId="32" w16cid:durableId="33965915">
    <w:abstractNumId w:val="11"/>
  </w:num>
  <w:num w:numId="33" w16cid:durableId="707413948">
    <w:abstractNumId w:val="13"/>
  </w:num>
  <w:num w:numId="34" w16cid:durableId="168184087">
    <w:abstractNumId w:val="22"/>
  </w:num>
  <w:num w:numId="35" w16cid:durableId="843787233">
    <w:abstractNumId w:val="2"/>
  </w:num>
  <w:num w:numId="36" w16cid:durableId="1093940761">
    <w:abstractNumId w:val="37"/>
  </w:num>
  <w:num w:numId="37" w16cid:durableId="384763775">
    <w:abstractNumId w:val="17"/>
  </w:num>
  <w:num w:numId="38" w16cid:durableId="221140845">
    <w:abstractNumId w:val="3"/>
  </w:num>
  <w:num w:numId="39" w16cid:durableId="819154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0500906">
    <w:abstractNumId w:val="35"/>
  </w:num>
  <w:num w:numId="41" w16cid:durableId="1982031742">
    <w:abstractNumId w:val="30"/>
  </w:num>
  <w:num w:numId="42" w16cid:durableId="1398357745">
    <w:abstractNumId w:val="16"/>
  </w:num>
  <w:num w:numId="43" w16cid:durableId="1348293842">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pt-PT" w:vendorID="64" w:dllVersion="6" w:nlCheck="1" w:checkStyle="0"/>
  <w:activeWritingStyle w:appName="MSWord" w:lang="en-US" w:vendorID="64" w:dllVersion="0" w:nlCheck="1" w:checkStyle="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98"/>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4F2"/>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207"/>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0F3"/>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11F"/>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1C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4ED0"/>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01"/>
    <w:rsid w:val="000E72A8"/>
    <w:rsid w:val="000E7303"/>
    <w:rsid w:val="000E75D1"/>
    <w:rsid w:val="000E77FA"/>
    <w:rsid w:val="000E7C38"/>
    <w:rsid w:val="000E7FD0"/>
    <w:rsid w:val="000F0118"/>
    <w:rsid w:val="000F023F"/>
    <w:rsid w:val="000F0582"/>
    <w:rsid w:val="000F0603"/>
    <w:rsid w:val="000F08AF"/>
    <w:rsid w:val="000F0B16"/>
    <w:rsid w:val="000F0B77"/>
    <w:rsid w:val="000F1404"/>
    <w:rsid w:val="000F1480"/>
    <w:rsid w:val="000F1A32"/>
    <w:rsid w:val="000F24AC"/>
    <w:rsid w:val="000F255A"/>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5FF"/>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70C"/>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BDB"/>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883"/>
    <w:rsid w:val="00136D26"/>
    <w:rsid w:val="001370BE"/>
    <w:rsid w:val="00137319"/>
    <w:rsid w:val="00137470"/>
    <w:rsid w:val="00140405"/>
    <w:rsid w:val="001409FC"/>
    <w:rsid w:val="00140A06"/>
    <w:rsid w:val="00140B17"/>
    <w:rsid w:val="00140B5B"/>
    <w:rsid w:val="00140B81"/>
    <w:rsid w:val="00140C28"/>
    <w:rsid w:val="00141263"/>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A4F"/>
    <w:rsid w:val="00154E3C"/>
    <w:rsid w:val="00155050"/>
    <w:rsid w:val="00155265"/>
    <w:rsid w:val="001559B7"/>
    <w:rsid w:val="00155DAE"/>
    <w:rsid w:val="0015615D"/>
    <w:rsid w:val="001561D4"/>
    <w:rsid w:val="00156301"/>
    <w:rsid w:val="001565BD"/>
    <w:rsid w:val="00156775"/>
    <w:rsid w:val="00156BB9"/>
    <w:rsid w:val="00157383"/>
    <w:rsid w:val="001574FA"/>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4E7C"/>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122"/>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5E9A"/>
    <w:rsid w:val="00196088"/>
    <w:rsid w:val="001962D1"/>
    <w:rsid w:val="00196902"/>
    <w:rsid w:val="00196BE4"/>
    <w:rsid w:val="00196C17"/>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52"/>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87"/>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2D"/>
    <w:rsid w:val="001C7BBA"/>
    <w:rsid w:val="001C7C96"/>
    <w:rsid w:val="001C7CF5"/>
    <w:rsid w:val="001C7D31"/>
    <w:rsid w:val="001C7D9C"/>
    <w:rsid w:val="001D00BA"/>
    <w:rsid w:val="001D0217"/>
    <w:rsid w:val="001D03B9"/>
    <w:rsid w:val="001D091B"/>
    <w:rsid w:val="001D0AC4"/>
    <w:rsid w:val="001D0D78"/>
    <w:rsid w:val="001D0F86"/>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E7EEB"/>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679"/>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5BA8"/>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125"/>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543"/>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463"/>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7A4"/>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013"/>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552"/>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19E"/>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718"/>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222"/>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C4D"/>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75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8D4"/>
    <w:rsid w:val="00401A04"/>
    <w:rsid w:val="00401A6B"/>
    <w:rsid w:val="00401C60"/>
    <w:rsid w:val="00401D05"/>
    <w:rsid w:val="00401FCB"/>
    <w:rsid w:val="0040203A"/>
    <w:rsid w:val="00402B30"/>
    <w:rsid w:val="00402C69"/>
    <w:rsid w:val="0040300D"/>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5EEB"/>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112"/>
    <w:rsid w:val="004124B3"/>
    <w:rsid w:val="00412535"/>
    <w:rsid w:val="004126DB"/>
    <w:rsid w:val="00412A7B"/>
    <w:rsid w:val="00412B5E"/>
    <w:rsid w:val="00412C90"/>
    <w:rsid w:val="00412D0B"/>
    <w:rsid w:val="0041303A"/>
    <w:rsid w:val="00413097"/>
    <w:rsid w:val="004134C0"/>
    <w:rsid w:val="00413C08"/>
    <w:rsid w:val="00413FD4"/>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6B6C"/>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540"/>
    <w:rsid w:val="004229AD"/>
    <w:rsid w:val="00422C05"/>
    <w:rsid w:val="0042304A"/>
    <w:rsid w:val="004232DA"/>
    <w:rsid w:val="004238F9"/>
    <w:rsid w:val="00423967"/>
    <w:rsid w:val="00423B8D"/>
    <w:rsid w:val="00423F33"/>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6A9C"/>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CCC"/>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0D4"/>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873"/>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46"/>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ABF"/>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01"/>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9F8"/>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EAC"/>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72"/>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2B"/>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43"/>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E7"/>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4EE"/>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82E"/>
    <w:rsid w:val="005E6F07"/>
    <w:rsid w:val="005E6FF1"/>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82"/>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7CE"/>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88B"/>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E4C"/>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736"/>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422"/>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5FB4"/>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3"/>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C2B"/>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9E3"/>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91B"/>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642"/>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6F"/>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4EE"/>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1FF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542"/>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A46"/>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6F8F"/>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1AE1"/>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44"/>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B3"/>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25"/>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0EC"/>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2F3"/>
    <w:rsid w:val="009014A7"/>
    <w:rsid w:val="0090153F"/>
    <w:rsid w:val="00901EF1"/>
    <w:rsid w:val="009020C2"/>
    <w:rsid w:val="0090280E"/>
    <w:rsid w:val="0090287A"/>
    <w:rsid w:val="00902BD1"/>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37D"/>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1E25"/>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571"/>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D3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94D"/>
    <w:rsid w:val="00967A30"/>
    <w:rsid w:val="00967B58"/>
    <w:rsid w:val="00967EF5"/>
    <w:rsid w:val="00970039"/>
    <w:rsid w:val="0097003C"/>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9D4"/>
    <w:rsid w:val="00983B10"/>
    <w:rsid w:val="00983C23"/>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136"/>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230"/>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45A"/>
    <w:rsid w:val="009E3E52"/>
    <w:rsid w:val="009E3EBA"/>
    <w:rsid w:val="009E430F"/>
    <w:rsid w:val="009E449A"/>
    <w:rsid w:val="009E44BB"/>
    <w:rsid w:val="009E4A53"/>
    <w:rsid w:val="009E4C2D"/>
    <w:rsid w:val="009E4CA1"/>
    <w:rsid w:val="009E4CC5"/>
    <w:rsid w:val="009E4D3C"/>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1DF5"/>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8CD"/>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6F67"/>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0B9"/>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51D"/>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527"/>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0E"/>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EBB"/>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89B"/>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08A"/>
    <w:rsid w:val="00B241F9"/>
    <w:rsid w:val="00B24238"/>
    <w:rsid w:val="00B2436E"/>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7E"/>
    <w:rsid w:val="00B36DE3"/>
    <w:rsid w:val="00B3734C"/>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16C"/>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1CE"/>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5B4"/>
    <w:rsid w:val="00BE16AB"/>
    <w:rsid w:val="00BE17BF"/>
    <w:rsid w:val="00BE1CB8"/>
    <w:rsid w:val="00BE1EB7"/>
    <w:rsid w:val="00BE2334"/>
    <w:rsid w:val="00BE2550"/>
    <w:rsid w:val="00BE2748"/>
    <w:rsid w:val="00BE2A26"/>
    <w:rsid w:val="00BE2A83"/>
    <w:rsid w:val="00BE2A90"/>
    <w:rsid w:val="00BE2C59"/>
    <w:rsid w:val="00BE3137"/>
    <w:rsid w:val="00BE3459"/>
    <w:rsid w:val="00BE350C"/>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2D7"/>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592"/>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C7B"/>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D34"/>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A40"/>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C11"/>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50"/>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CCD"/>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2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98D"/>
    <w:rsid w:val="00D05F13"/>
    <w:rsid w:val="00D05F34"/>
    <w:rsid w:val="00D062BC"/>
    <w:rsid w:val="00D0659A"/>
    <w:rsid w:val="00D065A0"/>
    <w:rsid w:val="00D0712F"/>
    <w:rsid w:val="00D07276"/>
    <w:rsid w:val="00D0742A"/>
    <w:rsid w:val="00D07497"/>
    <w:rsid w:val="00D07682"/>
    <w:rsid w:val="00D07760"/>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6B"/>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11"/>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5D7C"/>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3CAA"/>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394"/>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29"/>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D4D"/>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6E50"/>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6F02"/>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556"/>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AE0"/>
    <w:rsid w:val="00DE7F68"/>
    <w:rsid w:val="00DF0007"/>
    <w:rsid w:val="00DF0008"/>
    <w:rsid w:val="00DF00A2"/>
    <w:rsid w:val="00DF0387"/>
    <w:rsid w:val="00DF047E"/>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624"/>
    <w:rsid w:val="00DF3705"/>
    <w:rsid w:val="00DF3D7C"/>
    <w:rsid w:val="00DF3FB0"/>
    <w:rsid w:val="00DF40BD"/>
    <w:rsid w:val="00DF43A7"/>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5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BB6"/>
    <w:rsid w:val="00E37C9F"/>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3E0"/>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B90"/>
    <w:rsid w:val="00E54D11"/>
    <w:rsid w:val="00E550BE"/>
    <w:rsid w:val="00E55275"/>
    <w:rsid w:val="00E552C2"/>
    <w:rsid w:val="00E553FE"/>
    <w:rsid w:val="00E55679"/>
    <w:rsid w:val="00E55F2E"/>
    <w:rsid w:val="00E561B5"/>
    <w:rsid w:val="00E5640A"/>
    <w:rsid w:val="00E56599"/>
    <w:rsid w:val="00E568A7"/>
    <w:rsid w:val="00E56C87"/>
    <w:rsid w:val="00E56F06"/>
    <w:rsid w:val="00E57331"/>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1AC7"/>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C28"/>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95F"/>
    <w:rsid w:val="00ED1CD0"/>
    <w:rsid w:val="00ED20AB"/>
    <w:rsid w:val="00ED20C8"/>
    <w:rsid w:val="00ED21AB"/>
    <w:rsid w:val="00ED2824"/>
    <w:rsid w:val="00ED2C72"/>
    <w:rsid w:val="00ED3295"/>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218"/>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834"/>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4FE1"/>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29"/>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5C6"/>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932"/>
    <w:rsid w:val="00F82BA1"/>
    <w:rsid w:val="00F82F93"/>
    <w:rsid w:val="00F834DC"/>
    <w:rsid w:val="00F835CA"/>
    <w:rsid w:val="00F83BAB"/>
    <w:rsid w:val="00F840B5"/>
    <w:rsid w:val="00F8419D"/>
    <w:rsid w:val="00F84D8D"/>
    <w:rsid w:val="00F84E62"/>
    <w:rsid w:val="00F84EA8"/>
    <w:rsid w:val="00F84EF1"/>
    <w:rsid w:val="00F850D7"/>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2C0"/>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08C"/>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50F"/>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0D2"/>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2F0"/>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23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fr-FR"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fr-FR"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fr-FR"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FR"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FR"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FR"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fr-FR"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fr-FR"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fr-FR"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fr-FR"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fr-FR" w:eastAsia="en-US"/>
    </w:rPr>
  </w:style>
  <w:style w:type="paragraph" w:customStyle="1" w:styleId="CharCharChar0">
    <w:name w:val="Char Char Char"/>
    <w:basedOn w:val="Normal"/>
    <w:uiPriority w:val="99"/>
    <w:rsid w:val="000E7201"/>
    <w:pPr>
      <w:spacing w:after="160" w:line="240" w:lineRule="exact"/>
      <w:jc w:val="left"/>
    </w:pPr>
    <w:rPr>
      <w:rFonts w:ascii="Tahoma" w:hAnsi="Tahoma"/>
      <w:sz w:val="20"/>
      <w:lang w:val="fr-FR"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fr-FR" w:eastAsia="en-US"/>
    </w:rPr>
  </w:style>
  <w:style w:type="paragraph" w:customStyle="1" w:styleId="Char1">
    <w:name w:val="Char1"/>
    <w:basedOn w:val="Normal"/>
    <w:rsid w:val="00F47B73"/>
    <w:pPr>
      <w:spacing w:after="160" w:line="240" w:lineRule="exact"/>
      <w:jc w:val="left"/>
    </w:pPr>
    <w:rPr>
      <w:rFonts w:ascii="Tahoma" w:hAnsi="Tahoma"/>
      <w:sz w:val="20"/>
      <w:lang w:val="fr-FR" w:eastAsia="en-US"/>
    </w:rPr>
  </w:style>
  <w:style w:type="paragraph" w:customStyle="1" w:styleId="Char">
    <w:name w:val="Char"/>
    <w:basedOn w:val="Normal"/>
    <w:rsid w:val="00124A7A"/>
    <w:pPr>
      <w:spacing w:after="160" w:line="240" w:lineRule="exact"/>
      <w:jc w:val="left"/>
    </w:pPr>
    <w:rPr>
      <w:rFonts w:ascii="Tahoma" w:hAnsi="Tahoma"/>
      <w:sz w:val="20"/>
      <w:lang w:val="fr-FR"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fr-FR"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fr-FR"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fr-FR"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val="fr-FR" w:eastAsia="en-US"/>
    </w:rPr>
  </w:style>
  <w:style w:type="paragraph" w:customStyle="1" w:styleId="Car">
    <w:name w:val="Car"/>
    <w:basedOn w:val="Normal"/>
    <w:rsid w:val="00F02465"/>
    <w:pPr>
      <w:spacing w:after="160" w:line="240" w:lineRule="exact"/>
      <w:jc w:val="left"/>
    </w:pPr>
    <w:rPr>
      <w:rFonts w:ascii="Arial" w:hAnsi="Arial" w:cs="Arial"/>
      <w:sz w:val="28"/>
      <w:szCs w:val="28"/>
      <w:lang w:val="fr-FR"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fr-FR"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fr-FR" w:eastAsia="en-US"/>
    </w:rPr>
  </w:style>
  <w:style w:type="paragraph" w:customStyle="1" w:styleId="Znak">
    <w:name w:val="Znak"/>
    <w:basedOn w:val="Normal"/>
    <w:rsid w:val="00A76EE9"/>
    <w:pPr>
      <w:spacing w:after="160" w:line="240" w:lineRule="exact"/>
      <w:jc w:val="left"/>
    </w:pPr>
    <w:rPr>
      <w:rFonts w:ascii="Tahoma" w:hAnsi="Tahoma"/>
      <w:sz w:val="20"/>
      <w:lang w:val="fr-FR"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fr-FR"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Conclusion de partie,2,E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fr-FR"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fr-FR"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fr-FR"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link w:val="Briefinglist1Char"/>
    <w:uiPriority w:val="1"/>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fr-FR"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val="fr-FR"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fr-FR"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fr-FR" w:eastAsia="en-US"/>
    </w:rPr>
  </w:style>
  <w:style w:type="paragraph" w:customStyle="1" w:styleId="MediumGrid21">
    <w:name w:val="Medium Grid 21"/>
    <w:link w:val="MediumGrid2Char"/>
    <w:uiPriority w:val="1"/>
    <w:qFormat/>
    <w:rsid w:val="007C5D8A"/>
    <w:rPr>
      <w:rFonts w:ascii="Arial" w:hAnsi="Arial"/>
      <w:sz w:val="22"/>
      <w:szCs w:val="22"/>
      <w:lang w:val="fr-FR"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fr-FR" w:eastAsia="en-GB"/>
    </w:rPr>
  </w:style>
  <w:style w:type="paragraph" w:customStyle="1" w:styleId="CM3">
    <w:name w:val="CM3"/>
    <w:basedOn w:val="Default"/>
    <w:next w:val="Default"/>
    <w:uiPriority w:val="99"/>
    <w:rsid w:val="007C5D8A"/>
    <w:rPr>
      <w:rFonts w:ascii="EUAlbertina" w:hAnsi="EUAlbertina"/>
      <w:color w:val="auto"/>
      <w:lang w:val="fr-FR" w:eastAsia="en-GB"/>
    </w:rPr>
  </w:style>
  <w:style w:type="paragraph" w:customStyle="1" w:styleId="CM4">
    <w:name w:val="CM4"/>
    <w:basedOn w:val="Default"/>
    <w:next w:val="Default"/>
    <w:uiPriority w:val="99"/>
    <w:rsid w:val="007C5D8A"/>
    <w:rPr>
      <w:rFonts w:ascii="EUAlbertina" w:hAnsi="EUAlbertina"/>
      <w:color w:val="auto"/>
      <w:lang w:val="fr-FR"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fr-FR"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fr-FR"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fr-FR" w:eastAsia="en-GB"/>
    </w:rPr>
  </w:style>
  <w:style w:type="character" w:customStyle="1" w:styleId="Briefinglist1Char">
    <w:name w:val="Briefing list 1 Char"/>
    <w:link w:val="Briefinglist1"/>
    <w:uiPriority w:val="1"/>
    <w:qFormat/>
    <w:rsid w:val="00BE350C"/>
    <w:rPr>
      <w:sz w:val="24"/>
      <w:szCs w:val="24"/>
    </w:rPr>
  </w:style>
  <w:style w:type="paragraph" w:customStyle="1" w:styleId="Pointabc">
    <w:name w:val="Point abc"/>
    <w:basedOn w:val="Normal"/>
    <w:rsid w:val="00741223"/>
    <w:pPr>
      <w:numPr>
        <w:ilvl w:val="1"/>
        <w:numId w:val="38"/>
      </w:numPr>
      <w:tabs>
        <w:tab w:val="clear" w:pos="567"/>
      </w:tabs>
      <w:spacing w:before="120" w:after="120" w:line="360" w:lineRule="auto"/>
      <w:ind w:left="1440" w:hanging="360"/>
      <w:jc w:val="left"/>
    </w:pPr>
    <w:rPr>
      <w:rFonts w:ascii="Times New Roman" w:eastAsia="Calibri" w:hAnsi="Times New Roman"/>
      <w:szCs w:val="22"/>
      <w:lang w:eastAsia="en-US"/>
    </w:rPr>
  </w:style>
  <w:style w:type="paragraph" w:customStyle="1" w:styleId="Pointabc1">
    <w:name w:val="Point abc (1)"/>
    <w:basedOn w:val="Normal"/>
    <w:rsid w:val="00741223"/>
    <w:pPr>
      <w:numPr>
        <w:ilvl w:val="3"/>
        <w:numId w:val="38"/>
      </w:numPr>
      <w:tabs>
        <w:tab w:val="clear" w:pos="1134"/>
      </w:tabs>
      <w:spacing w:before="120" w:after="120" w:line="360" w:lineRule="auto"/>
      <w:ind w:left="2880" w:hanging="360"/>
      <w:jc w:val="left"/>
    </w:pPr>
    <w:rPr>
      <w:rFonts w:ascii="Times New Roman" w:eastAsia="Calibri" w:hAnsi="Times New Roman"/>
      <w:szCs w:val="22"/>
      <w:lang w:eastAsia="en-US"/>
    </w:rPr>
  </w:style>
  <w:style w:type="paragraph" w:customStyle="1" w:styleId="Pointabc2">
    <w:name w:val="Point abc (2)"/>
    <w:basedOn w:val="Normal"/>
    <w:rsid w:val="00741223"/>
    <w:pPr>
      <w:numPr>
        <w:ilvl w:val="5"/>
        <w:numId w:val="38"/>
      </w:numPr>
      <w:tabs>
        <w:tab w:val="clear" w:pos="1701"/>
      </w:tabs>
      <w:spacing w:before="120" w:after="120" w:line="360" w:lineRule="auto"/>
      <w:ind w:left="4320" w:hanging="360"/>
      <w:jc w:val="left"/>
    </w:pPr>
    <w:rPr>
      <w:rFonts w:ascii="Times New Roman" w:eastAsia="Calibri" w:hAnsi="Times New Roman"/>
      <w:szCs w:val="22"/>
      <w:lang w:eastAsia="en-US"/>
    </w:rPr>
  </w:style>
  <w:style w:type="paragraph" w:customStyle="1" w:styleId="Pointabc3">
    <w:name w:val="Point abc (3)"/>
    <w:basedOn w:val="Normal"/>
    <w:rsid w:val="00741223"/>
    <w:pPr>
      <w:numPr>
        <w:ilvl w:val="7"/>
        <w:numId w:val="38"/>
      </w:numPr>
      <w:tabs>
        <w:tab w:val="clear" w:pos="2268"/>
      </w:tabs>
      <w:spacing w:before="120" w:after="120" w:line="360" w:lineRule="auto"/>
      <w:ind w:left="5760" w:hanging="360"/>
      <w:jc w:val="left"/>
    </w:pPr>
    <w:rPr>
      <w:rFonts w:ascii="Times New Roman" w:eastAsia="Calibri" w:hAnsi="Times New Roman"/>
      <w:szCs w:val="22"/>
      <w:lang w:eastAsia="en-US"/>
    </w:rPr>
  </w:style>
  <w:style w:type="paragraph" w:customStyle="1" w:styleId="Pointabc4">
    <w:name w:val="Point abc (4)"/>
    <w:basedOn w:val="Normal"/>
    <w:rsid w:val="00741223"/>
    <w:pPr>
      <w:numPr>
        <w:ilvl w:val="8"/>
        <w:numId w:val="38"/>
      </w:numPr>
      <w:tabs>
        <w:tab w:val="clear" w:pos="2835"/>
      </w:tabs>
      <w:spacing w:before="120" w:after="120" w:line="360" w:lineRule="auto"/>
      <w:ind w:left="6480" w:hanging="360"/>
      <w:jc w:val="left"/>
    </w:pPr>
    <w:rPr>
      <w:rFonts w:ascii="Times New Roman" w:eastAsia="Calibri" w:hAnsi="Times New Roman"/>
      <w:szCs w:val="22"/>
      <w:lang w:eastAsia="en-US"/>
    </w:rPr>
  </w:style>
  <w:style w:type="paragraph" w:customStyle="1" w:styleId="Point123">
    <w:name w:val="Point 123"/>
    <w:basedOn w:val="Normal"/>
    <w:rsid w:val="00741223"/>
    <w:pPr>
      <w:numPr>
        <w:numId w:val="38"/>
      </w:numPr>
      <w:tabs>
        <w:tab w:val="clear" w:pos="567"/>
      </w:tabs>
      <w:spacing w:before="120" w:after="120" w:line="360" w:lineRule="auto"/>
      <w:ind w:left="720" w:hanging="360"/>
      <w:jc w:val="left"/>
    </w:pPr>
    <w:rPr>
      <w:rFonts w:ascii="Times New Roman" w:eastAsia="Calibri" w:hAnsi="Times New Roman"/>
      <w:szCs w:val="22"/>
      <w:lang w:eastAsia="en-US"/>
    </w:rPr>
  </w:style>
  <w:style w:type="paragraph" w:customStyle="1" w:styleId="Point1231">
    <w:name w:val="Point 123 (1)"/>
    <w:basedOn w:val="Normal"/>
    <w:rsid w:val="00741223"/>
    <w:pPr>
      <w:numPr>
        <w:ilvl w:val="2"/>
        <w:numId w:val="38"/>
      </w:numPr>
      <w:tabs>
        <w:tab w:val="clear" w:pos="1134"/>
      </w:tabs>
      <w:spacing w:before="120" w:after="120" w:line="360" w:lineRule="auto"/>
      <w:ind w:left="2160" w:hanging="360"/>
      <w:jc w:val="left"/>
    </w:pPr>
    <w:rPr>
      <w:rFonts w:ascii="Times New Roman" w:eastAsia="Calibri" w:hAnsi="Times New Roman"/>
      <w:szCs w:val="22"/>
      <w:lang w:eastAsia="en-US"/>
    </w:rPr>
  </w:style>
  <w:style w:type="paragraph" w:customStyle="1" w:styleId="Point1232">
    <w:name w:val="Point 123 (2)"/>
    <w:basedOn w:val="Normal"/>
    <w:rsid w:val="00741223"/>
    <w:pPr>
      <w:numPr>
        <w:ilvl w:val="4"/>
        <w:numId w:val="38"/>
      </w:numPr>
      <w:tabs>
        <w:tab w:val="clear" w:pos="1701"/>
      </w:tabs>
      <w:spacing w:before="120" w:after="120" w:line="360" w:lineRule="auto"/>
      <w:ind w:left="3600" w:hanging="360"/>
      <w:jc w:val="left"/>
    </w:pPr>
    <w:rPr>
      <w:rFonts w:ascii="Times New Roman" w:eastAsia="Calibri" w:hAnsi="Times New Roman"/>
      <w:szCs w:val="22"/>
      <w:lang w:eastAsia="en-US"/>
    </w:rPr>
  </w:style>
  <w:style w:type="paragraph" w:customStyle="1" w:styleId="Point1233">
    <w:name w:val="Point 123 (3)"/>
    <w:basedOn w:val="Normal"/>
    <w:rsid w:val="00741223"/>
    <w:pPr>
      <w:numPr>
        <w:ilvl w:val="6"/>
        <w:numId w:val="38"/>
      </w:numPr>
      <w:tabs>
        <w:tab w:val="clear" w:pos="2268"/>
      </w:tabs>
      <w:spacing w:before="120" w:after="120" w:line="360" w:lineRule="auto"/>
      <w:ind w:left="5040" w:hanging="360"/>
      <w:jc w:val="left"/>
    </w:pPr>
    <w:rPr>
      <w:rFonts w:ascii="Times New Roman" w:eastAsia="Calibri" w:hAnsi="Times New Roman"/>
      <w:szCs w:val="22"/>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1B4287"/>
    <w:rPr>
      <w:rFonts w:ascii="Calibri" w:eastAsia="Calibri" w:hAnsi="Calibri"/>
      <w:sz w:val="22"/>
      <w:szCs w:val="22"/>
      <w:lang w:val="fr-FR" w:eastAsia="en-US"/>
    </w:rPr>
  </w:style>
  <w:style w:type="paragraph" w:customStyle="1" w:styleId="LTTSoundbite">
    <w:name w:val="LTT Sound bite"/>
    <w:basedOn w:val="Normal"/>
    <w:rsid w:val="001B4287"/>
    <w:pPr>
      <w:spacing w:after="0"/>
      <w:jc w:val="left"/>
    </w:pPr>
    <w:rPr>
      <w:rFonts w:ascii="Calibri" w:eastAsia="Calibri" w:hAnsi="Calibri" w:cs="Calibri"/>
      <w:b/>
      <w:bCs/>
      <w:sz w:val="28"/>
      <w:szCs w:val="28"/>
      <w:lang w:val="fr-FR" w:eastAsia="en-IE"/>
    </w:rPr>
  </w:style>
  <w:style w:type="paragraph" w:customStyle="1" w:styleId="title-bold">
    <w:name w:val="title-bold"/>
    <w:basedOn w:val="Normal"/>
    <w:rsid w:val="00195E9A"/>
    <w:pPr>
      <w:spacing w:before="100" w:beforeAutospacing="1" w:after="100" w:afterAutospacing="1"/>
      <w:jc w:val="left"/>
    </w:pPr>
    <w:rPr>
      <w:rFonts w:ascii="Times New Roman" w:hAnsi="Times New Roman"/>
      <w:szCs w:val="24"/>
      <w:lang w:val="fr-FR"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9755">
      <w:bodyDiv w:val="1"/>
      <w:marLeft w:val="0"/>
      <w:marRight w:val="0"/>
      <w:marTop w:val="0"/>
      <w:marBottom w:val="0"/>
      <w:divBdr>
        <w:top w:val="none" w:sz="0" w:space="0" w:color="auto"/>
        <w:left w:val="none" w:sz="0" w:space="0" w:color="auto"/>
        <w:bottom w:val="none" w:sz="0" w:space="0" w:color="auto"/>
        <w:right w:val="none" w:sz="0" w:space="0" w:color="auto"/>
      </w:divBdr>
    </w:div>
    <w:div w:id="502664926">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962929970">
      <w:bodyDiv w:val="1"/>
      <w:marLeft w:val="0"/>
      <w:marRight w:val="0"/>
      <w:marTop w:val="0"/>
      <w:marBottom w:val="0"/>
      <w:divBdr>
        <w:top w:val="none" w:sz="0" w:space="0" w:color="auto"/>
        <w:left w:val="none" w:sz="0" w:space="0" w:color="auto"/>
        <w:bottom w:val="none" w:sz="0" w:space="0" w:color="auto"/>
        <w:right w:val="none" w:sz="0" w:space="0" w:color="auto"/>
      </w:divBdr>
    </w:div>
    <w:div w:id="110218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d263b782-df17-406e-a14d-23f02ff98c36">Not Started</EC_Collab_Status>
    <EC_Collab_Reference xmlns="d263b782-df17-406e-a14d-23f02ff98c36" xsi:nil="true"/>
    <EC_ARES_TRANSFERRED_BY xmlns="d263b782-df17-406e-a14d-23f02ff98c36" xsi:nil="true"/>
    <EC_ARES_DATE_TRANSFERRED xmlns="d263b782-df17-406e-a14d-23f02ff98c36" xsi:nil="true"/>
    <EC_ARES_NUMBER xmlns="d263b782-df17-406e-a14d-23f02ff98c36">
      <Url xsi:nil="true"/>
      <Description xsi:nil="true"/>
    </EC_ARES_NUMBER>
    <EC_Collab_DocumentLanguage xmlns="d263b782-df17-406e-a14d-23f02ff98c36">EN</EC_Collab_DocumentLanguage>
    <_dlc_DocId xmlns="b9a1bbf4-3872-40cb-a1a3-b88a292b9176">NHRUTF4F6DR2-1057533941-8100</_dlc_DocId>
    <_dlc_DocIdUrl xmlns="b9a1bbf4-3872-40cb-a1a3-b88a292b9176">
      <Url>https://myintracomm-collab.ec.europa.eu/dg/budg/GRIfiches/_layouts/15/DocIdRedir.aspx?ID=NHRUTF4F6DR2-1057533941-8100</Url>
      <Description>NHRUTF4F6DR2-1057533941-8100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6AD53B0573632408C97076259666C45" ma:contentTypeVersion="7" ma:contentTypeDescription="Create a new document in this library." ma:contentTypeScope="" ma:versionID="5472e6050a6a080c610c8f7d23129982">
  <xsd:schema xmlns:xsd="http://www.w3.org/2001/XMLSchema" xmlns:xs="http://www.w3.org/2001/XMLSchema" xmlns:p="http://schemas.microsoft.com/office/2006/metadata/properties" xmlns:ns3="d263b782-df17-406e-a14d-23f02ff98c36" xmlns:ns4="b9a1bbf4-3872-40cb-a1a3-b88a292b9176" xmlns:ns5="118d912a-375e-4e59-9f78-0e591e440620" targetNamespace="http://schemas.microsoft.com/office/2006/metadata/properties" ma:root="true" ma:fieldsID="b4613647f9118e14c930fea0a21af656" ns3:_="" ns4:_="" ns5:_="">
    <xsd:import namespace="d263b782-df17-406e-a14d-23f02ff98c36"/>
    <xsd:import namespace="b9a1bbf4-3872-40cb-a1a3-b88a292b9176"/>
    <xsd:import namespace="118d912a-375e-4e59-9f78-0e591e440620"/>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b782-df17-406e-a14d-23f02ff98c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d912a-375e-4e59-9f78-0e591e4406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3059E-6704-47A5-AF72-BBD3C074FF43}">
  <ds:schemaRefs>
    <ds:schemaRef ds:uri="http://purl.org/dc/terms/"/>
    <ds:schemaRef ds:uri="d263b782-df17-406e-a14d-23f02ff98c3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118d912a-375e-4e59-9f78-0e591e440620"/>
    <ds:schemaRef ds:uri="b9a1bbf4-3872-40cb-a1a3-b88a292b9176"/>
    <ds:schemaRef ds:uri="http://purl.org/dc/dcmitype/"/>
  </ds:schemaRefs>
</ds:datastoreItem>
</file>

<file path=customXml/itemProps2.xml><?xml version="1.0" encoding="utf-8"?>
<ds:datastoreItem xmlns:ds="http://schemas.openxmlformats.org/officeDocument/2006/customXml" ds:itemID="{C56131DC-CECE-412B-9C83-263C9A708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b782-df17-406e-a14d-23f02ff98c36"/>
    <ds:schemaRef ds:uri="b9a1bbf4-3872-40cb-a1a3-b88a292b9176"/>
    <ds:schemaRef ds:uri="118d912a-375e-4e59-9f78-0e591e44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F247F-4FC6-42CF-8C69-A7B9280ECD26}">
  <ds:schemaRefs>
    <ds:schemaRef ds:uri="http://schemas.microsoft.com/sharepoint/events"/>
  </ds:schemaRefs>
</ds:datastoreItem>
</file>

<file path=customXml/itemProps4.xml><?xml version="1.0" encoding="utf-8"?>
<ds:datastoreItem xmlns:ds="http://schemas.openxmlformats.org/officeDocument/2006/customXml" ds:itemID="{1E98251A-1CF3-40F3-9BCF-D01EF09A1AED}">
  <ds:schemaRefs>
    <ds:schemaRef ds:uri="http://schemas.openxmlformats.org/officeDocument/2006/bibliography"/>
  </ds:schemaRefs>
</ds:datastoreItem>
</file>

<file path=customXml/itemProps5.xml><?xml version="1.0" encoding="utf-8"?>
<ds:datastoreItem xmlns:ds="http://schemas.openxmlformats.org/officeDocument/2006/customXml" ds:itemID="{B18EE9A9-126F-4992-ACBB-D576DA811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10841</Characters>
  <Application>Microsoft Office Word</Application>
  <DocSecurity>0</DocSecurity>
  <PresentationFormat>Microsoft Word 8.0b</PresentationFormat>
  <Lines>161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2023-02-06T11:11:00Z</dcterms:created>
  <dcterms:modified xsi:type="dcterms:W3CDTF">2023-02-10T11:01:00Z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0x010100258AA79CEB83498886A3A086811232500056AD53B0573632408C97076259666C45</vt:lpwstr>
  </property>
  <property fmtid="{D5CDD505-2E9C-101B-9397-08002B2CF9AE}" pid="3" name="_dlc_DocIdItemGuid">
    <vt:lpwstr>8ed79503-1b27-4964-9f2b-543116034892</vt:lpwstr>
  </property>
  <property fmtid="{D5CDD505-2E9C-101B-9397-08002B2CF9AE}" pid="4" name="MSIP_Label_6bd9ddd1-4d20-43f6-abfa-fc3c07406f94_Enabled">
    <vt:lpwstr>true</vt:lpwstr>
  </property>
  <property fmtid="{D5CDD505-2E9C-101B-9397-08002B2CF9AE}" pid="5" name="MSIP_Label_6bd9ddd1-4d20-43f6-abfa-fc3c07406f94_SetDate">
    <vt:lpwstr>2023-01-12T15:26:19Z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6b7ba174-2709-4bd4-9a9f-de7be71cc01f</vt:lpwstr>
  </property>
  <property fmtid="{D5CDD505-2E9C-101B-9397-08002B2CF9AE}" pid="10" name="MSIP_Label_6bd9ddd1-4d20-43f6-abfa-fc3c07406f94_ContentBits">
    <vt:lpwstr>0</vt:lpwstr>
  </property>
</Properties>
</file>