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6CE9" w14:textId="2E84950D" w:rsidR="004A26F7" w:rsidRPr="00EE3CE5" w:rsidRDefault="004A26F7" w:rsidP="00663A3B">
      <w:pPr>
        <w:spacing w:after="600"/>
        <w:jc w:val="center"/>
        <w:rPr>
          <w:b/>
          <w:sz w:val="24"/>
          <w:szCs w:val="24"/>
          <w:rFonts w:ascii="Times New Roman" w:hAnsi="Times New Roman" w:cs="Times New Roman"/>
        </w:rPr>
      </w:pPr>
      <w:r>
        <w:rPr>
          <w:b/>
          <w:sz w:val="24"/>
          <w:rFonts w:ascii="Times New Roman" w:hAnsi="Times New Roman"/>
        </w:rPr>
        <w:t xml:space="preserve">Suite donnée à la résolution non législative du Parlement européen sur l’amélioration des règlements de l’Union relatifs aux animaux sauvages et exotiques pouvant être détenus en tant qu’animaux de compagnie au sein de l’Union européenne, au moyen d’une liste positive de l’Union</w:t>
      </w:r>
    </w:p>
    <w:p w14:paraId="1309194A" w14:textId="68400498" w:rsidR="004A26F7" w:rsidRPr="005A52B2" w:rsidRDefault="004A26F7" w:rsidP="00662E7A">
      <w:pPr>
        <w:numPr>
          <w:ilvl w:val="0"/>
          <w:numId w:val="6"/>
        </w:numPr>
        <w:spacing w:after="240"/>
        <w:ind w:left="567" w:hanging="567"/>
        <w:jc w:val="both"/>
        <w:rPr>
          <w:b/>
          <w:sz w:val="24"/>
          <w:szCs w:val="24"/>
          <w:rFonts w:ascii="Times New Roman" w:hAnsi="Times New Roman" w:cs="Times New Roman"/>
        </w:rPr>
      </w:pPr>
      <w:r>
        <w:rPr>
          <w:b/>
          <w:sz w:val="24"/>
          <w:rFonts w:ascii="Times New Roman" w:hAnsi="Times New Roman"/>
        </w:rPr>
        <w:t xml:space="preserve">Résolution présentée, conformément à l’article 227, paragraphe 2, du règlement intérieur du Parlement européen</w:t>
      </w:r>
      <w:r>
        <w:rPr>
          <w:b/>
          <w:sz w:val="24"/>
          <w:rFonts w:ascii="Times New Roman" w:hAnsi="Times New Roman"/>
        </w:rPr>
        <w:t xml:space="preserve"> </w:t>
      </w:r>
    </w:p>
    <w:p w14:paraId="5F1BDC0F" w14:textId="69225E7D" w:rsidR="004A26F7" w:rsidRPr="005A52B2" w:rsidRDefault="004A26F7" w:rsidP="00662E7A">
      <w:pPr>
        <w:numPr>
          <w:ilvl w:val="0"/>
          <w:numId w:val="6"/>
        </w:numPr>
        <w:spacing w:after="240"/>
        <w:ind w:left="567" w:hanging="567"/>
        <w:jc w:val="both"/>
        <w:rPr>
          <w:i/>
          <w:sz w:val="24"/>
          <w:szCs w:val="24"/>
          <w:rFonts w:ascii="Times New Roman" w:hAnsi="Times New Roman" w:cs="Times New Roman"/>
        </w:rPr>
      </w:pPr>
      <w:r>
        <w:rPr>
          <w:sz w:val="24"/>
          <w:b/>
          <w:rFonts w:ascii="Times New Roman" w:hAnsi="Times New Roman"/>
        </w:rPr>
        <w:t xml:space="preserve">Numéros de référence:</w:t>
      </w:r>
      <w:r>
        <w:rPr>
          <w:sz w:val="24"/>
          <w:b/>
          <w:rFonts w:ascii="Times New Roman" w:hAnsi="Times New Roman"/>
        </w:rPr>
        <w:t xml:space="preserve"> </w:t>
      </w:r>
      <w:r>
        <w:rPr>
          <w:sz w:val="24"/>
          <w:rFonts w:ascii="Times New Roman" w:hAnsi="Times New Roman"/>
        </w:rPr>
        <w:t xml:space="preserve"> </w:t>
      </w:r>
      <w:r>
        <w:rPr>
          <w:sz w:val="24"/>
          <w:rFonts w:ascii="Times New Roman" w:hAnsi="Times New Roman"/>
        </w:rPr>
        <w:t xml:space="preserve">2022/2809 (RSP) / B9-0489 / 2022_P9_TA(2022)0425</w:t>
      </w:r>
    </w:p>
    <w:p w14:paraId="4AD623C9" w14:textId="627E72CC" w:rsidR="004A26F7" w:rsidRPr="005A52B2" w:rsidRDefault="004A26F7" w:rsidP="00662E7A">
      <w:pPr>
        <w:numPr>
          <w:ilvl w:val="0"/>
          <w:numId w:val="6"/>
        </w:numPr>
        <w:spacing w:after="240"/>
        <w:ind w:left="567" w:hanging="567"/>
        <w:jc w:val="both"/>
        <w:rPr>
          <w:sz w:val="24"/>
          <w:szCs w:val="24"/>
          <w:rFonts w:ascii="Times New Roman" w:hAnsi="Times New Roman" w:cs="Times New Roman"/>
        </w:rPr>
      </w:pPr>
      <w:r>
        <w:rPr>
          <w:sz w:val="24"/>
          <w:b/>
          <w:rFonts w:ascii="Times New Roman" w:hAnsi="Times New Roman"/>
        </w:rPr>
        <w:t xml:space="preserve">Date d'adoption de la résolution:</w:t>
      </w:r>
      <w:r>
        <w:rPr>
          <w:sz w:val="24"/>
          <w:b/>
          <w:rFonts w:ascii="Times New Roman" w:hAnsi="Times New Roman"/>
        </w:rPr>
        <w:t xml:space="preserve"> </w:t>
      </w:r>
      <w:r>
        <w:rPr>
          <w:sz w:val="24"/>
          <w:rFonts w:ascii="Times New Roman" w:hAnsi="Times New Roman"/>
        </w:rPr>
        <w:t xml:space="preserve">24 novembre 2022</w:t>
      </w:r>
    </w:p>
    <w:p w14:paraId="64ADF1AB" w14:textId="798E6918" w:rsidR="00C24B4F" w:rsidRPr="005A52B2" w:rsidRDefault="004A26F7" w:rsidP="00662E7A">
      <w:pPr>
        <w:numPr>
          <w:ilvl w:val="0"/>
          <w:numId w:val="6"/>
        </w:numPr>
        <w:spacing w:after="240"/>
        <w:ind w:left="567" w:hanging="567"/>
        <w:jc w:val="both"/>
        <w:rPr>
          <w:sz w:val="24"/>
          <w:szCs w:val="24"/>
          <w:rFonts w:ascii="Times New Roman" w:hAnsi="Times New Roman" w:cs="Times New Roman"/>
        </w:rPr>
      </w:pPr>
      <w:r>
        <w:rPr>
          <w:sz w:val="24"/>
          <w:b/>
          <w:rFonts w:ascii="Times New Roman" w:hAnsi="Times New Roman"/>
        </w:rPr>
        <w:t xml:space="preserve">Commission parlementaire compétente:</w:t>
      </w:r>
      <w:r>
        <w:rPr>
          <w:sz w:val="24"/>
          <w:rFonts w:ascii="Times New Roman" w:hAnsi="Times New Roman"/>
        </w:rPr>
        <w:t xml:space="preserve"> </w:t>
      </w:r>
      <w:r>
        <w:rPr>
          <w:sz w:val="24"/>
          <w:rFonts w:ascii="Times New Roman" w:hAnsi="Times New Roman"/>
        </w:rPr>
        <w:t xml:space="preserve">Commission des pétitions (PETI)</w:t>
      </w:r>
      <w:r>
        <w:rPr>
          <w:sz w:val="24"/>
          <w:b/>
          <w:rFonts w:ascii="Times New Roman" w:hAnsi="Times New Roman"/>
        </w:rPr>
        <w:t xml:space="preserve"> </w:t>
      </w:r>
    </w:p>
    <w:p w14:paraId="4FEEAF7A" w14:textId="52DD8172" w:rsidR="004A26F7" w:rsidRPr="00EE3CE5" w:rsidRDefault="004A26F7" w:rsidP="00662E7A">
      <w:pPr>
        <w:numPr>
          <w:ilvl w:val="0"/>
          <w:numId w:val="6"/>
        </w:numPr>
        <w:spacing w:after="240"/>
        <w:ind w:left="567" w:hanging="567"/>
        <w:jc w:val="both"/>
        <w:rPr>
          <w:sz w:val="24"/>
          <w:szCs w:val="24"/>
          <w:rFonts w:ascii="Times New Roman" w:hAnsi="Times New Roman" w:cs="Times New Roman"/>
        </w:rPr>
      </w:pPr>
      <w:r>
        <w:rPr>
          <w:sz w:val="24"/>
          <w:b/>
          <w:rFonts w:ascii="Times New Roman" w:hAnsi="Times New Roman"/>
        </w:rPr>
        <w:t xml:space="preserve">Analyse/évaluation succincte de la résolution et des demandes qu’elle contient:</w:t>
      </w:r>
      <w:r>
        <w:rPr>
          <w:sz w:val="24"/>
          <w:rFonts w:ascii="Times New Roman" w:hAnsi="Times New Roman"/>
        </w:rPr>
        <w:t xml:space="preserve"> </w:t>
      </w:r>
    </w:p>
    <w:p w14:paraId="0EC49E0E" w14:textId="4CB90041" w:rsidR="00CB0485" w:rsidRPr="00EE3CE5" w:rsidRDefault="00E21121" w:rsidP="00662E7A">
      <w:pPr>
        <w:spacing w:after="120" w:line="240" w:lineRule="auto"/>
        <w:jc w:val="both"/>
        <w:rPr>
          <w:sz w:val="24"/>
          <w:szCs w:val="24"/>
          <w:rFonts w:ascii="Times New Roman" w:hAnsi="Times New Roman" w:cs="Times New Roman"/>
        </w:rPr>
      </w:pPr>
      <w:r>
        <w:rPr>
          <w:sz w:val="24"/>
          <w:rFonts w:ascii="Times New Roman" w:hAnsi="Times New Roman"/>
        </w:rPr>
        <w:t xml:space="preserve">Dans sa résolution, le Parlement européen attire l’attention sur le fait que le commerce d’animaux exotiques peut mettre en danger non seulement le bien-être des animaux, mais aussi la santé humaine du fait de possibles zoonoses et entraîne le déclin de la biodiversité, tant dans l’habitat dont proviennent les espèces que dans les écosystèmes de l’Union.</w:t>
      </w:r>
      <w:r>
        <w:rPr>
          <w:sz w:val="24"/>
          <w:rFonts w:ascii="Times New Roman" w:hAnsi="Times New Roman"/>
        </w:rPr>
        <w:t xml:space="preserve"> </w:t>
      </w:r>
      <w:r>
        <w:rPr>
          <w:sz w:val="24"/>
          <w:rFonts w:ascii="Times New Roman" w:hAnsi="Times New Roman"/>
        </w:rPr>
        <w:t xml:space="preserve">La résolution invite la Commission à réaliser «une analyse d’impact de l’établissement d’une [...] liste [positive] pour ce qui est de la valeur ajoutée et de la faisabilité, en utilisant un ensemble de critères fondés sur des données scientifiques, afin de décider quelles espèces conviennent en tant qu’animal de compagnie; cette analyse devrait inclure une évaluation minutieuse des différents critères déjà utilisés dans les listes positives nationales afin de déterminer les critères les plus efficaces pouvant éventuellement être adoptés dans une liste positive à l’échelle de l’Union, sur le fondement des meilleures pratiques des États membres, des expériences existantes et des enseignements tirés».</w:t>
      </w:r>
      <w:r>
        <w:rPr>
          <w:sz w:val="24"/>
          <w:rFonts w:ascii="Times New Roman" w:hAnsi="Times New Roman"/>
        </w:rPr>
        <w:t xml:space="preserve"> </w:t>
      </w:r>
    </w:p>
    <w:p w14:paraId="78E0CFCC" w14:textId="60B4ADAF" w:rsidR="005918AE" w:rsidRPr="00EE3CE5" w:rsidRDefault="005918AE" w:rsidP="00663A3B">
      <w:pPr>
        <w:numPr>
          <w:ilvl w:val="0"/>
          <w:numId w:val="6"/>
        </w:numPr>
        <w:spacing w:after="240"/>
        <w:ind w:left="567" w:hanging="567"/>
        <w:jc w:val="both"/>
        <w:rPr>
          <w:sz w:val="24"/>
          <w:szCs w:val="24"/>
          <w:rFonts w:ascii="Times New Roman" w:hAnsi="Times New Roman" w:cs="Times New Roman"/>
        </w:rPr>
      </w:pPr>
      <w:r>
        <w:rPr>
          <w:sz w:val="24"/>
          <w:b/>
          <w:rFonts w:ascii="Times New Roman" w:hAnsi="Times New Roman"/>
        </w:rPr>
        <w:t xml:space="preserve">Réponse à ces demandes et aperçu des mesures que la Commission a prises ou envisage de prendre:</w:t>
      </w:r>
      <w:r>
        <w:rPr>
          <w:sz w:val="24"/>
          <w:rFonts w:ascii="Times New Roman" w:hAnsi="Times New Roman"/>
        </w:rPr>
        <w:t xml:space="preserve"> </w:t>
      </w:r>
    </w:p>
    <w:p w14:paraId="5662491F" w14:textId="27E278AE" w:rsidR="00675393" w:rsidRPr="00EE3CE5" w:rsidRDefault="00675393" w:rsidP="00663A3B">
      <w:pPr>
        <w:spacing w:after="120" w:line="240" w:lineRule="auto"/>
        <w:jc w:val="both"/>
        <w:rPr>
          <w:sz w:val="24"/>
          <w:szCs w:val="24"/>
          <w:rFonts w:ascii="Times New Roman" w:hAnsi="Times New Roman" w:cs="Times New Roman"/>
        </w:rPr>
      </w:pPr>
      <w:r>
        <w:rPr>
          <w:sz w:val="24"/>
          <w:rFonts w:ascii="Times New Roman" w:hAnsi="Times New Roman"/>
        </w:rPr>
        <w:t xml:space="preserve">La Commission reconnaît que la lutte contre le trafic d’espèces sauvages est un élément essentiel des efforts déployés pour enrayer la perte de biodiversité.</w:t>
      </w:r>
      <w:r>
        <w:rPr>
          <w:sz w:val="24"/>
          <w:rFonts w:ascii="Times New Roman" w:hAnsi="Times New Roman"/>
        </w:rPr>
        <w:t xml:space="preserve"> </w:t>
      </w:r>
      <w:r>
        <w:rPr>
          <w:sz w:val="24"/>
          <w:rFonts w:ascii="Times New Roman" w:hAnsi="Times New Roman"/>
        </w:rPr>
        <w:t xml:space="preserve">Comme l’a souligné la plateforme intergouvernementale scientifique et politique sur la biodiversité et les services écosystémiques, l’utilisation durable des espèces sauvages est cruciale pour répondre aux besoins des générations actuelles et futures.</w:t>
      </w:r>
      <w:r>
        <w:rPr>
          <w:sz w:val="24"/>
          <w:rFonts w:ascii="Times New Roman" w:hAnsi="Times New Roman"/>
        </w:rPr>
        <w:t xml:space="preserve"> </w:t>
      </w:r>
      <w:r>
        <w:rPr>
          <w:sz w:val="24"/>
          <w:rFonts w:ascii="Times New Roman" w:hAnsi="Times New Roman"/>
        </w:rPr>
        <w:t xml:space="preserve">Elle peut contribuer à empêcher l’apparition de nouvelles pandémies et à fournir des moyens de subsistance durables aux populations locales et autochtones et aider au rétablissement et au maintien de la biodiversité.</w:t>
      </w:r>
      <w:r>
        <w:rPr>
          <w:sz w:val="24"/>
          <w:rFonts w:ascii="Times New Roman" w:hAnsi="Times New Roman"/>
        </w:rPr>
        <w:t xml:space="preserve"> </w:t>
      </w:r>
      <w:r>
        <w:rPr>
          <w:sz w:val="24"/>
          <w:rFonts w:ascii="Times New Roman" w:hAnsi="Times New Roman"/>
        </w:rPr>
        <w:t xml:space="preserve">La Commission est également consciente des risques que le commerce d’animaux de compagnie présente pour la santé et le bien-être tant des animaux que de leur propriétaire, ainsi que des retombées potentielles de ce commerce sur les écosystèmes indigènes.</w:t>
      </w:r>
      <w:r>
        <w:rPr>
          <w:sz w:val="24"/>
          <w:rFonts w:ascii="Times New Roman" w:hAnsi="Times New Roman"/>
        </w:rPr>
        <w:t xml:space="preserve"> </w:t>
      </w:r>
      <w:r>
        <w:rPr>
          <w:sz w:val="24"/>
          <w:rFonts w:ascii="Times New Roman" w:hAnsi="Times New Roman"/>
        </w:rPr>
        <w:t xml:space="preserve">Un grand nombre de règles sont en vigueur dans l’UE pour répondre à ces préoccupations. Ces règles sont fondées sur les bases juridiques pertinentes et sont conformes aux obligations et normes internationales.</w:t>
      </w:r>
      <w:r>
        <w:rPr>
          <w:sz w:val="24"/>
          <w:rFonts w:ascii="Times New Roman" w:hAnsi="Times New Roman"/>
        </w:rPr>
        <w:t xml:space="preserve"> </w:t>
      </w:r>
      <w:r>
        <w:rPr>
          <w:sz w:val="24"/>
          <w:rFonts w:ascii="Times New Roman" w:hAnsi="Times New Roman"/>
        </w:rPr>
        <w:t xml:space="preserve">De plus, certains États membres ont choisi d’adopter des listes positives relatives au commerce et à la détention d’animaux exotiques.</w:t>
      </w:r>
    </w:p>
    <w:p w14:paraId="78E301F0" w14:textId="22FAF0A0" w:rsidR="009F6B87" w:rsidRPr="00EE3CE5" w:rsidRDefault="00405152" w:rsidP="00663A3B">
      <w:pPr>
        <w:spacing w:after="120" w:line="240" w:lineRule="auto"/>
        <w:jc w:val="both"/>
        <w:rPr>
          <w:sz w:val="24"/>
          <w:szCs w:val="24"/>
          <w:rFonts w:ascii="Times New Roman" w:hAnsi="Times New Roman" w:cs="Times New Roman"/>
        </w:rPr>
      </w:pPr>
      <w:r>
        <w:rPr>
          <w:sz w:val="24"/>
          <w:rFonts w:ascii="Times New Roman" w:hAnsi="Times New Roman"/>
        </w:rPr>
        <w:t xml:space="preserve">Après consultations des parties prenantes et à la demande du Parlement européen [résolution du 5 octobre 2022 sur les objectifs stratégiques de l’Union en vue de la 19</w:t>
      </w:r>
      <w:r>
        <w:rPr>
          <w:sz w:val="24"/>
          <w:vertAlign w:val="superscript"/>
          <w:rFonts w:ascii="Times New Roman" w:hAnsi="Times New Roman"/>
        </w:rPr>
        <w:t xml:space="preserve">e </w:t>
      </w:r>
      <w:r>
        <w:rPr>
          <w:sz w:val="24"/>
          <w:rFonts w:ascii="Times New Roman" w:hAnsi="Times New Roman"/>
        </w:rPr>
        <w:t xml:space="preserve">réunion de la conférence des parties à la Convention sur le commerce international des espèces de faune et de flore sauvages menacées d’extinction (CITES), qui s'est tenue du 14 au 25 novembre 2022 au Panama (2022/2681 (RSP))], la Commission s’est engagée, dans le </w:t>
      </w:r>
      <w:hyperlink r:id="rId10" w:history="1">
        <w:r>
          <w:rPr>
            <w:rStyle w:val="Hyperlink"/>
            <w:sz w:val="24"/>
            <w:rFonts w:ascii="Times New Roman" w:hAnsi="Times New Roman"/>
          </w:rPr>
          <w:t xml:space="preserve">plan d’action révisé de l’UE contre le trafic d’espèces sauvages</w:t>
        </w:r>
      </w:hyperlink>
      <w:r>
        <w:rPr>
          <w:sz w:val="24"/>
          <w:rStyle w:val="Hyperlink"/>
          <w:rFonts w:ascii="Times New Roman" w:hAnsi="Times New Roman"/>
        </w:rPr>
        <w:t xml:space="preserve"> </w:t>
      </w:r>
      <w:r>
        <w:rPr>
          <w:sz w:val="24"/>
          <w:rStyle w:val="Hyperlink"/>
          <w:color w:val="auto"/>
          <w:rFonts w:ascii="Times New Roman" w:hAnsi="Times New Roman"/>
        </w:rPr>
        <w:t xml:space="preserve">(COM/2022/581)</w:t>
      </w:r>
      <w:r>
        <w:rPr>
          <w:sz w:val="24"/>
          <w:rFonts w:ascii="Times New Roman" w:hAnsi="Times New Roman"/>
        </w:rPr>
        <w:t xml:space="preserve"> adopté le 9 novembre 2022, à examiner la faisabilité et la valeur ajoutée d’un durcissement des règlementations européennes en matière de commerce des espèces sauvages, notamment au moyen d’une liste positive d’espèces pouvant être commercialisées et détenues en tant qu’animaux de compagnie.</w:t>
      </w:r>
      <w:r>
        <w:rPr>
          <w:sz w:val="24"/>
          <w:rFonts w:ascii="Times New Roman" w:hAnsi="Times New Roman"/>
        </w:rPr>
        <w:t xml:space="preserve"> </w:t>
      </w:r>
      <w:r>
        <w:rPr>
          <w:sz w:val="24"/>
          <w:rFonts w:ascii="Times New Roman" w:hAnsi="Times New Roman"/>
        </w:rPr>
        <w:t xml:space="preserve">Comme le Parlement européen l’a également fait remarquer, l’idée doit être soigneusement analysée, étant donné qu’il s’agit d’une question complexe qui concerne le bien-être des animaux, la santé humaine et animale, le commerce et d’autres domaines et qui pourrait avoir des répercussions sur chacun de ces aspects.</w:t>
      </w:r>
      <w:r>
        <w:rPr>
          <w:sz w:val="24"/>
          <w:rFonts w:ascii="Times New Roman" w:hAnsi="Times New Roman"/>
        </w:rPr>
        <w:t xml:space="preserve"> </w:t>
      </w:r>
      <w:r>
        <w:rPr>
          <w:sz w:val="24"/>
          <w:rFonts w:ascii="Times New Roman" w:hAnsi="Times New Roman"/>
        </w:rPr>
        <w:t xml:space="preserve">Dans le cadre de cette étude, la Commission tiendra compte des règles de la CITES et de l’OMC, ainsi que des règles de santé publique et animale mises en place dans l’UE pour prévenir l’apparition et la propagation de maladies animales et de zoonoses lors du transport d’animaux vivants, y compris d’animaux sauvages.</w:t>
      </w:r>
      <w:r>
        <w:rPr>
          <w:sz w:val="24"/>
          <w:rFonts w:ascii="Times New Roman" w:hAnsi="Times New Roman"/>
        </w:rPr>
        <w:t xml:space="preserve"> </w:t>
      </w:r>
      <w:r>
        <w:rPr>
          <w:sz w:val="24"/>
          <w:rFonts w:ascii="Times New Roman" w:hAnsi="Times New Roman"/>
        </w:rPr>
        <w:t xml:space="preserve">Le </w:t>
      </w:r>
      <w:hyperlink r:id="rId11" w:anchor="" w:history="1">
        <w:r>
          <w:rPr>
            <w:rStyle w:val="Hyperlink"/>
            <w:sz w:val="24"/>
            <w:rFonts w:ascii="Times New Roman" w:hAnsi="Times New Roman"/>
          </w:rPr>
          <w:t xml:space="preserve">règlement (UE) 2016/429 (législation sur la santé animale)</w:t>
        </w:r>
      </w:hyperlink>
      <w:r>
        <w:rPr>
          <w:sz w:val="24"/>
          <w:rFonts w:ascii="Times New Roman" w:hAnsi="Times New Roman"/>
        </w:rPr>
        <w:t xml:space="preserve">, notamment, prévoit un cadre juridique souple mais solide au niveau de l’UE, qui permet une application plus systématique de l’approche </w:t>
      </w:r>
      <w:hyperlink r:id="rId12" w:history="1">
        <w:r>
          <w:rPr>
            <w:rStyle w:val="Hyperlink"/>
            <w:sz w:val="24"/>
            <w:rFonts w:ascii="Times New Roman" w:hAnsi="Times New Roman"/>
          </w:rPr>
          <w:t xml:space="preserve">«Une seule santé»</w:t>
        </w:r>
      </w:hyperlink>
      <w:r>
        <w:rPr>
          <w:sz w:val="24"/>
          <w:rFonts w:ascii="Times New Roman" w:hAnsi="Times New Roman"/>
        </w:rPr>
        <w:t xml:space="preserve"> et une réaction rapide et proportionnée aux problèmes sanitaires existants ou émergents chez les animaux ou dont ceux-ci pourraient être la cause.</w:t>
      </w:r>
      <w:r>
        <w:rPr>
          <w:sz w:val="24"/>
          <w:rFonts w:ascii="Times New Roman" w:hAnsi="Times New Roman"/>
        </w:rPr>
        <w:t xml:space="preserve"> </w:t>
      </w:r>
      <w:r>
        <w:rPr>
          <w:sz w:val="24"/>
          <w:rFonts w:ascii="Times New Roman" w:hAnsi="Times New Roman"/>
        </w:rPr>
        <w:t xml:space="preserve">En outre, les animaux de compagnie sont définis dans le </w:t>
      </w:r>
      <w:hyperlink r:id="rId13" w:history="1">
        <w:r>
          <w:rPr>
            <w:rStyle w:val="Hyperlink"/>
            <w:sz w:val="24"/>
            <w:rFonts w:ascii="Times New Roman" w:hAnsi="Times New Roman"/>
          </w:rPr>
          <w:t xml:space="preserve">règlement (UE) n° 576/2013</w:t>
        </w:r>
      </w:hyperlink>
      <w:r>
        <w:rPr>
          <w:sz w:val="24"/>
          <w:rFonts w:ascii="Times New Roman" w:hAnsi="Times New Roman"/>
        </w:rPr>
        <w:t xml:space="preserve"> et leurs mouvements sont régis par des règles établies dans ce règlement exclusivement à des fins non commerciales.</w:t>
      </w:r>
      <w:r>
        <w:rPr>
          <w:sz w:val="24"/>
          <w:rFonts w:ascii="Times New Roman" w:hAnsi="Times New Roman"/>
        </w:rPr>
        <w:t xml:space="preserve"> </w:t>
      </w:r>
      <w:r>
        <w:rPr>
          <w:sz w:val="24"/>
          <w:rFonts w:ascii="Times New Roman" w:hAnsi="Times New Roman"/>
        </w:rPr>
        <w:t xml:space="preserve">Les règles prévues par la directive «Habitats» et le </w:t>
      </w:r>
      <w:hyperlink r:id="rId14" w:history="1">
        <w:r>
          <w:rPr>
            <w:rStyle w:val="Hyperlink"/>
            <w:sz w:val="24"/>
            <w:rFonts w:ascii="Times New Roman" w:hAnsi="Times New Roman"/>
          </w:rPr>
          <w:t xml:space="preserve">règlement (UE) n° 1143/2014 relatif aux espèces exotiques envahissantes (règlement EEE)</w:t>
        </w:r>
      </w:hyperlink>
      <w:r>
        <w:rPr>
          <w:sz w:val="24"/>
          <w:rFonts w:ascii="Times New Roman" w:hAnsi="Times New Roman"/>
        </w:rPr>
        <w:t xml:space="preserve"> seront également considérés.</w:t>
      </w:r>
      <w:r>
        <w:rPr>
          <w:sz w:val="24"/>
          <w:rFonts w:ascii="Times New Roman" w:hAnsi="Times New Roman"/>
        </w:rPr>
        <w:t xml:space="preserve"> </w:t>
      </w:r>
      <w:r>
        <w:rPr>
          <w:sz w:val="24"/>
          <w:rFonts w:ascii="Times New Roman" w:hAnsi="Times New Roman"/>
        </w:rPr>
        <w:t xml:space="preserve">Enfin, la Commission tiendra compte de l’expérience des États membres qui ont établi de telles listes à l’échelle nationale.</w:t>
      </w:r>
    </w:p>
    <w:sectPr w:rsidR="009F6B87" w:rsidRPr="00EE3C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1C19" w14:textId="77777777" w:rsidR="00515597" w:rsidRDefault="00515597" w:rsidP="002B7864">
      <w:pPr>
        <w:spacing w:after="0" w:line="240" w:lineRule="auto"/>
      </w:pPr>
      <w:r>
        <w:separator/>
      </w:r>
    </w:p>
  </w:endnote>
  <w:endnote w:type="continuationSeparator" w:id="0">
    <w:p w14:paraId="7FEE9204" w14:textId="77777777" w:rsidR="00515597" w:rsidRDefault="00515597" w:rsidP="002B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0DF0" w14:textId="77777777" w:rsidR="00515597" w:rsidRDefault="00515597" w:rsidP="002B7864">
      <w:pPr>
        <w:spacing w:after="0" w:line="240" w:lineRule="auto"/>
      </w:pPr>
      <w:r>
        <w:separator/>
      </w:r>
    </w:p>
  </w:footnote>
  <w:footnote w:type="continuationSeparator" w:id="0">
    <w:p w14:paraId="2D487357" w14:textId="77777777" w:rsidR="00515597" w:rsidRDefault="00515597" w:rsidP="002B7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2458"/>
    <w:multiLevelType w:val="hybridMultilevel"/>
    <w:tmpl w:val="532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73D2"/>
    <w:multiLevelType w:val="hybridMultilevel"/>
    <w:tmpl w:val="212AD058"/>
    <w:lvl w:ilvl="0" w:tplc="5DD40BC2">
      <w:start w:val="1"/>
      <w:numFmt w:val="decimal"/>
      <w:lvlText w:val="%1."/>
      <w:lvlJc w:val="left"/>
      <w:pPr>
        <w:ind w:left="720" w:hanging="720"/>
      </w:pPr>
      <w:rPr>
        <w:rFonts w:ascii="Times New Roman" w:hAnsi="Times New Roman" w:cs="Times New Roman" w:hint="default"/>
        <w:b/>
        <w:i w:val="0"/>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43C23B53"/>
    <w:multiLevelType w:val="multilevel"/>
    <w:tmpl w:val="364A2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ACE491C"/>
    <w:multiLevelType w:val="hybridMultilevel"/>
    <w:tmpl w:val="17D0E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575475"/>
    <w:multiLevelType w:val="multilevel"/>
    <w:tmpl w:val="A586B7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CE853E8"/>
    <w:multiLevelType w:val="multilevel"/>
    <w:tmpl w:val="8836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4166347">
    <w:abstractNumId w:val="5"/>
  </w:num>
  <w:num w:numId="2" w16cid:durableId="990250838">
    <w:abstractNumId w:val="2"/>
  </w:num>
  <w:num w:numId="3" w16cid:durableId="1513110372">
    <w:abstractNumId w:val="4"/>
  </w:num>
  <w:num w:numId="4" w16cid:durableId="1826966146">
    <w:abstractNumId w:val="0"/>
  </w:num>
  <w:num w:numId="5" w16cid:durableId="214006809">
    <w:abstractNumId w:val="3"/>
  </w:num>
  <w:num w:numId="6" w16cid:durableId="4622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3721D"/>
    <w:rsid w:val="0009009A"/>
    <w:rsid w:val="00095F02"/>
    <w:rsid w:val="000F3BA2"/>
    <w:rsid w:val="00146D2D"/>
    <w:rsid w:val="00150C5E"/>
    <w:rsid w:val="001A770E"/>
    <w:rsid w:val="001B5FF8"/>
    <w:rsid w:val="001D6148"/>
    <w:rsid w:val="001D7D99"/>
    <w:rsid w:val="002230A7"/>
    <w:rsid w:val="002A75F1"/>
    <w:rsid w:val="002B7864"/>
    <w:rsid w:val="00367DB0"/>
    <w:rsid w:val="003B16D7"/>
    <w:rsid w:val="00405152"/>
    <w:rsid w:val="004721C5"/>
    <w:rsid w:val="004A26F7"/>
    <w:rsid w:val="004E5E21"/>
    <w:rsid w:val="004F772C"/>
    <w:rsid w:val="00511943"/>
    <w:rsid w:val="005141C3"/>
    <w:rsid w:val="00515597"/>
    <w:rsid w:val="005918AE"/>
    <w:rsid w:val="005A52B2"/>
    <w:rsid w:val="005E7486"/>
    <w:rsid w:val="00602259"/>
    <w:rsid w:val="00606500"/>
    <w:rsid w:val="00662E7A"/>
    <w:rsid w:val="00663857"/>
    <w:rsid w:val="00663A3B"/>
    <w:rsid w:val="00675393"/>
    <w:rsid w:val="0069656C"/>
    <w:rsid w:val="006A055F"/>
    <w:rsid w:val="00722A09"/>
    <w:rsid w:val="00740F0A"/>
    <w:rsid w:val="0078005D"/>
    <w:rsid w:val="00781C06"/>
    <w:rsid w:val="007A086E"/>
    <w:rsid w:val="007A1C69"/>
    <w:rsid w:val="007A55A3"/>
    <w:rsid w:val="0083721D"/>
    <w:rsid w:val="008430BA"/>
    <w:rsid w:val="008452B2"/>
    <w:rsid w:val="008837E4"/>
    <w:rsid w:val="008B093B"/>
    <w:rsid w:val="008B7A6F"/>
    <w:rsid w:val="008D5DA7"/>
    <w:rsid w:val="00957160"/>
    <w:rsid w:val="00961FCA"/>
    <w:rsid w:val="0096235D"/>
    <w:rsid w:val="009D6634"/>
    <w:rsid w:val="009D73B1"/>
    <w:rsid w:val="009F6B87"/>
    <w:rsid w:val="00A10D61"/>
    <w:rsid w:val="00AB6597"/>
    <w:rsid w:val="00BB57FA"/>
    <w:rsid w:val="00C24B4F"/>
    <w:rsid w:val="00CB0485"/>
    <w:rsid w:val="00D47456"/>
    <w:rsid w:val="00D63C04"/>
    <w:rsid w:val="00D71C23"/>
    <w:rsid w:val="00E1396D"/>
    <w:rsid w:val="00E21121"/>
    <w:rsid w:val="00EE3CE5"/>
    <w:rsid w:val="00F22EBA"/>
    <w:rsid w:val="00F64302"/>
    <w:rsid w:val="00F7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89C1"/>
  <w15:chartTrackingRefBased/>
  <w15:docId w15:val="{FDE3CB80-9ADE-4732-9654-E5B977AF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5A3"/>
    <w:rPr>
      <w:color w:val="0563C1" w:themeColor="hyperlink"/>
      <w:u w:val="single"/>
    </w:rPr>
  </w:style>
  <w:style w:type="character" w:styleId="FollowedHyperlink">
    <w:name w:val="FollowedHyperlink"/>
    <w:basedOn w:val="DefaultParagraphFont"/>
    <w:uiPriority w:val="99"/>
    <w:semiHidden/>
    <w:unhideWhenUsed/>
    <w:rsid w:val="00F77053"/>
    <w:rPr>
      <w:color w:val="954F72" w:themeColor="followedHyperlink"/>
      <w:u w:val="single"/>
    </w:rPr>
  </w:style>
  <w:style w:type="character" w:customStyle="1" w:styleId="footnotereference">
    <w:name w:val="footnotereference"/>
    <w:basedOn w:val="DefaultParagraphFont"/>
    <w:rsid w:val="00F77053"/>
  </w:style>
  <w:style w:type="character" w:styleId="CommentReference">
    <w:name w:val="annotation reference"/>
    <w:basedOn w:val="DefaultParagraphFont"/>
    <w:uiPriority w:val="99"/>
    <w:semiHidden/>
    <w:unhideWhenUsed/>
    <w:rsid w:val="00F77053"/>
    <w:rPr>
      <w:sz w:val="16"/>
      <w:szCs w:val="16"/>
    </w:rPr>
  </w:style>
  <w:style w:type="paragraph" w:styleId="CommentText">
    <w:name w:val="annotation text"/>
    <w:basedOn w:val="Normal"/>
    <w:link w:val="CommentTextChar"/>
    <w:uiPriority w:val="99"/>
    <w:semiHidden/>
    <w:unhideWhenUsed/>
    <w:rsid w:val="00F77053"/>
    <w:pPr>
      <w:spacing w:line="240" w:lineRule="auto"/>
    </w:pPr>
    <w:rPr>
      <w:sz w:val="20"/>
      <w:szCs w:val="20"/>
    </w:rPr>
  </w:style>
  <w:style w:type="character" w:customStyle="1" w:styleId="CommentTextChar">
    <w:name w:val="Comment Text Char"/>
    <w:basedOn w:val="DefaultParagraphFont"/>
    <w:link w:val="CommentText"/>
    <w:uiPriority w:val="99"/>
    <w:semiHidden/>
    <w:rsid w:val="00F77053"/>
    <w:rPr>
      <w:sz w:val="20"/>
      <w:szCs w:val="20"/>
      <w:lang w:val="fr-FR"/>
    </w:rPr>
  </w:style>
  <w:style w:type="paragraph" w:styleId="CommentSubject">
    <w:name w:val="annotation subject"/>
    <w:basedOn w:val="CommentText"/>
    <w:next w:val="CommentText"/>
    <w:link w:val="CommentSubjectChar"/>
    <w:uiPriority w:val="99"/>
    <w:semiHidden/>
    <w:unhideWhenUsed/>
    <w:rsid w:val="00F77053"/>
    <w:rPr>
      <w:b/>
      <w:bCs/>
    </w:rPr>
  </w:style>
  <w:style w:type="character" w:customStyle="1" w:styleId="CommentSubjectChar">
    <w:name w:val="Comment Subject Char"/>
    <w:basedOn w:val="CommentTextChar"/>
    <w:link w:val="CommentSubject"/>
    <w:uiPriority w:val="99"/>
    <w:semiHidden/>
    <w:rsid w:val="00F77053"/>
    <w:rPr>
      <w:b/>
      <w:bCs/>
      <w:sz w:val="20"/>
      <w:szCs w:val="20"/>
      <w:lang w:val="fr-FR"/>
    </w:rPr>
  </w:style>
  <w:style w:type="paragraph" w:styleId="BalloonText">
    <w:name w:val="Balloon Text"/>
    <w:basedOn w:val="Normal"/>
    <w:link w:val="BalloonTextChar"/>
    <w:uiPriority w:val="99"/>
    <w:semiHidden/>
    <w:unhideWhenUsed/>
    <w:rsid w:val="00F77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053"/>
    <w:rPr>
      <w:rFonts w:ascii="Segoe UI" w:hAnsi="Segoe UI" w:cs="Segoe UI"/>
      <w:sz w:val="18"/>
      <w:szCs w:val="18"/>
      <w:lang w:val="fr-FR"/>
    </w:rPr>
  </w:style>
  <w:style w:type="paragraph" w:styleId="FootnoteText">
    <w:name w:val="footnote text"/>
    <w:basedOn w:val="Normal"/>
    <w:link w:val="FootnoteTextChar"/>
    <w:uiPriority w:val="99"/>
    <w:unhideWhenUsed/>
    <w:rsid w:val="002B7864"/>
    <w:pPr>
      <w:spacing w:after="0" w:line="240" w:lineRule="auto"/>
    </w:pPr>
    <w:rPr>
      <w:sz w:val="20"/>
      <w:szCs w:val="20"/>
    </w:rPr>
  </w:style>
  <w:style w:type="character" w:customStyle="1" w:styleId="FootnoteTextChar">
    <w:name w:val="Footnote Text Char"/>
    <w:basedOn w:val="DefaultParagraphFont"/>
    <w:link w:val="FootnoteText"/>
    <w:uiPriority w:val="99"/>
    <w:rsid w:val="002B7864"/>
    <w:rPr>
      <w:sz w:val="20"/>
      <w:szCs w:val="20"/>
      <w:lang w:val="fr-FR"/>
    </w:rPr>
  </w:style>
  <w:style w:type="character" w:styleId="FootnoteReference0">
    <w:name w:val="footnote reference"/>
    <w:uiPriority w:val="99"/>
    <w:rsid w:val="002B7864"/>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ListParagraph">
    <w:name w:val="List Paragraph"/>
    <w:basedOn w:val="Normal"/>
    <w:uiPriority w:val="34"/>
    <w:qFormat/>
    <w:rsid w:val="00675393"/>
    <w:pPr>
      <w:ind w:left="720"/>
      <w:contextualSpacing/>
    </w:pPr>
  </w:style>
  <w:style w:type="paragraph" w:styleId="Revision">
    <w:name w:val="Revision"/>
    <w:hidden/>
    <w:uiPriority w:val="99"/>
    <w:semiHidden/>
    <w:rsid w:val="009F6B87"/>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2611">
      <w:bodyDiv w:val="1"/>
      <w:marLeft w:val="0"/>
      <w:marRight w:val="0"/>
      <w:marTop w:val="0"/>
      <w:marBottom w:val="0"/>
      <w:divBdr>
        <w:top w:val="none" w:sz="0" w:space="0" w:color="auto"/>
        <w:left w:val="none" w:sz="0" w:space="0" w:color="auto"/>
        <w:bottom w:val="none" w:sz="0" w:space="0" w:color="auto"/>
        <w:right w:val="none" w:sz="0" w:space="0" w:color="auto"/>
      </w:divBdr>
    </w:div>
    <w:div w:id="1260872792">
      <w:bodyDiv w:val="1"/>
      <w:marLeft w:val="0"/>
      <w:marRight w:val="0"/>
      <w:marTop w:val="0"/>
      <w:marBottom w:val="0"/>
      <w:divBdr>
        <w:top w:val="none" w:sz="0" w:space="0" w:color="auto"/>
        <w:left w:val="none" w:sz="0" w:space="0" w:color="auto"/>
        <w:bottom w:val="none" w:sz="0" w:space="0" w:color="auto"/>
        <w:right w:val="none" w:sz="0" w:space="0" w:color="auto"/>
      </w:divBdr>
      <w:divsChild>
        <w:div w:id="465856304">
          <w:marLeft w:val="0"/>
          <w:marRight w:val="0"/>
          <w:marTop w:val="0"/>
          <w:marBottom w:val="0"/>
          <w:divBdr>
            <w:top w:val="none" w:sz="0" w:space="0" w:color="auto"/>
            <w:left w:val="none" w:sz="0" w:space="0" w:color="auto"/>
            <w:bottom w:val="none" w:sz="0" w:space="0" w:color="auto"/>
            <w:right w:val="none" w:sz="0" w:space="0" w:color="auto"/>
          </w:divBdr>
        </w:div>
        <w:div w:id="412241911">
          <w:marLeft w:val="0"/>
          <w:marRight w:val="0"/>
          <w:marTop w:val="0"/>
          <w:marBottom w:val="0"/>
          <w:divBdr>
            <w:top w:val="none" w:sz="0" w:space="0" w:color="auto"/>
            <w:left w:val="none" w:sz="0" w:space="0" w:color="auto"/>
            <w:bottom w:val="none" w:sz="0" w:space="0" w:color="auto"/>
            <w:right w:val="none" w:sz="0" w:space="0" w:color="auto"/>
          </w:divBdr>
        </w:div>
        <w:div w:id="1357001093">
          <w:marLeft w:val="0"/>
          <w:marRight w:val="0"/>
          <w:marTop w:val="0"/>
          <w:marBottom w:val="0"/>
          <w:divBdr>
            <w:top w:val="none" w:sz="0" w:space="0" w:color="auto"/>
            <w:left w:val="none" w:sz="0" w:space="0" w:color="auto"/>
            <w:bottom w:val="none" w:sz="0" w:space="0" w:color="auto"/>
            <w:right w:val="none" w:sz="0" w:space="0" w:color="auto"/>
          </w:divBdr>
        </w:div>
      </w:divsChild>
    </w:div>
    <w:div w:id="20575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FR/TXT/?uri=CELEX:32013R057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ah.org/fr/une-seule-san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FR/TXT/?uri=CELEX:32018R1629%23:~:%20text=Le%20r%C3%A8glement%20(UE)%202016/429%20%C3%A9tablit%20des%20dispositions%20en%20mati%C3%A8re%20de%20pr%C3%A9vention%20des%20maladies%20animales%20transmissibles%20aux%20animaux%20ou%20aux%20%C3%AAtres%20humains%20et%20de%20lutte%20contre%20ces%20maladies%2C%20dont%20des%20r%C3%A8gles%20de%20hi%C3%A9rarchisation%20et%20de%20classification%20des%20maladies%20int%C3%A9ressant%20l%27Un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lex.europa.eu/legal-content/FR/TXT/?uri=COM%3A2022%3A581%3AFIN&amp;qid=16679894381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FR/TXT/?uri=CELEX:32014R1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2" ma:contentTypeDescription="Create a new document." ma:contentTypeScope="" ma:versionID="099f1837a6db5a48f7c729e5401561fa">
  <xsd:schema xmlns:xsd="http://www.w3.org/2001/XMLSchema" xmlns:xs="http://www.w3.org/2001/XMLSchema" xmlns:p="http://schemas.microsoft.com/office/2006/metadata/properties" xmlns:ns2="a4c6cd38-953d-409e-8266-a7703513a0a4" targetNamespace="http://schemas.microsoft.com/office/2006/metadata/properties" ma:root="true" ma:fieldsID="7de762f4c59692d507a952520d78b794" ns2:_="">
    <xsd:import namespace="a4c6cd38-953d-409e-8266-a7703513a0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86E86-4D22-4C60-B2B5-3CE76D0404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76C8F-F510-401C-8CBA-96BC7443D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F8D93-F997-415D-B117-DE872B616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4209</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ISIKOVA Nadiya (ENV)</dc:creator>
  <cp:keywords/>
  <dc:description/>
  <cp:lastModifiedBy>Maria Jose ALMEIDA</cp:lastModifiedBy>
  <cp:revision>3</cp:revision>
  <dcterms:created xsi:type="dcterms:W3CDTF">2023-02-07T13:32:00Z</dcterms:created>
  <dcterms:modified xsi:type="dcterms:W3CDTF">2023-02-07T13:35:00Z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2022-12-12T12:09:16Z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218ee36b-f6ce-4ae1-8e98-360394871189</vt:lpwstr>
  </property>
  <property fmtid="{D5CDD505-2E9C-101B-9397-08002B2CF9AE}" pid="8" name="MSIP_Label_6bd9ddd1-4d20-43f6-abfa-fc3c07406f94_ContentBits">
    <vt:lpwstr>0</vt:lpwstr>
  </property>
  <property fmtid="{D5CDD505-2E9C-101B-9397-08002B2CF9AE}" pid="9" name="ContentTypeId">
    <vt:lpwstr>0x0101003F53AE254540994BBD772E5BCBE11F29</vt:lpwstr>
  </property>
</Properties>
</file>