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BCB16" w14:textId="77777777" w:rsidR="00067CBF" w:rsidRPr="00C33439" w:rsidRDefault="00067CBF" w:rsidP="00067CBF">
      <w:pPr>
        <w:spacing w:after="600"/>
        <w:jc w:val="center"/>
        <w:rPr>
          <w:rFonts w:ascii="Times New Roman" w:hAnsi="Times New Roman"/>
          <w:b/>
          <w:bCs/>
          <w:szCs w:val="24"/>
        </w:rPr>
      </w:pPr>
      <w:bookmarkStart w:id="0" w:name="ES"/>
      <w:r>
        <w:rPr>
          <w:rFonts w:ascii="Times New Roman" w:hAnsi="Times New Roman"/>
          <w:b/>
        </w:rPr>
        <w:t xml:space="preserve">Suite donnée à la résolution non législative du Parlement européen sur le système des écoles européennes – état des lieux, enjeux et perspectives </w:t>
      </w:r>
    </w:p>
    <w:bookmarkEnd w:id="0"/>
    <w:p w14:paraId="5B5AF4F1" w14:textId="77777777" w:rsidR="00067CBF" w:rsidRPr="0084310E" w:rsidRDefault="00067CBF" w:rsidP="00067CBF">
      <w:pPr>
        <w:numPr>
          <w:ilvl w:val="0"/>
          <w:numId w:val="23"/>
        </w:numPr>
        <w:ind w:left="567" w:hanging="567"/>
        <w:rPr>
          <w:rFonts w:ascii="Times New Roman" w:hAnsi="Times New Roman"/>
          <w:i/>
          <w:szCs w:val="24"/>
        </w:rPr>
      </w:pPr>
      <w:r>
        <w:rPr>
          <w:rFonts w:ascii="Times New Roman" w:hAnsi="Times New Roman"/>
          <w:b/>
        </w:rPr>
        <w:t>Rapporteure:</w:t>
      </w:r>
      <w:r>
        <w:rPr>
          <w:rFonts w:ascii="Times New Roman" w:hAnsi="Times New Roman"/>
        </w:rPr>
        <w:t xml:space="preserve"> Ilana CICUREL (Renew/FR)</w:t>
      </w:r>
    </w:p>
    <w:p w14:paraId="4B739565" w14:textId="77777777" w:rsidR="00067CBF" w:rsidRPr="00A0010B" w:rsidRDefault="00067CBF" w:rsidP="00067CBF">
      <w:pPr>
        <w:pStyle w:val="Default"/>
        <w:numPr>
          <w:ilvl w:val="0"/>
          <w:numId w:val="23"/>
        </w:numPr>
        <w:spacing w:after="240"/>
        <w:ind w:left="567" w:hanging="567"/>
        <w:jc w:val="both"/>
        <w:rPr>
          <w:color w:val="auto"/>
        </w:rPr>
      </w:pPr>
      <w:r>
        <w:rPr>
          <w:b/>
          <w:color w:val="auto"/>
        </w:rPr>
        <w:t xml:space="preserve">Numéro de référence: </w:t>
      </w:r>
      <w:r>
        <w:t>2022/2149 (INI) / A9-0205/2023 / P9_TA(2023)0306</w:t>
      </w:r>
    </w:p>
    <w:p w14:paraId="2C372759" w14:textId="77777777" w:rsidR="00067CBF" w:rsidRDefault="00067CBF" w:rsidP="00067CBF">
      <w:pPr>
        <w:numPr>
          <w:ilvl w:val="0"/>
          <w:numId w:val="23"/>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12 septembre 2023</w:t>
      </w:r>
    </w:p>
    <w:p w14:paraId="5AED4B23" w14:textId="77777777" w:rsidR="00067CBF" w:rsidRPr="002D4885" w:rsidRDefault="00067CBF" w:rsidP="00067CBF">
      <w:pPr>
        <w:numPr>
          <w:ilvl w:val="0"/>
          <w:numId w:val="23"/>
        </w:numPr>
        <w:ind w:left="567" w:hanging="567"/>
        <w:rPr>
          <w:rFonts w:ascii="Times New Roman" w:hAnsi="Times New Roman"/>
          <w:iCs/>
          <w:szCs w:val="24"/>
        </w:rPr>
      </w:pPr>
      <w:r>
        <w:rPr>
          <w:rFonts w:ascii="Times New Roman" w:hAnsi="Times New Roman"/>
          <w:b/>
        </w:rPr>
        <w:t xml:space="preserve">Commission parlementaire compétente: </w:t>
      </w:r>
      <w:r>
        <w:rPr>
          <w:rFonts w:ascii="Times New Roman" w:hAnsi="Times New Roman"/>
        </w:rPr>
        <w:t>commission de la culture et de l’éducation (CULT)</w:t>
      </w:r>
    </w:p>
    <w:p w14:paraId="5C685455" w14:textId="77777777" w:rsidR="00067CBF" w:rsidRDefault="00067CBF" w:rsidP="00067CBF">
      <w:pPr>
        <w:widowControl w:val="0"/>
        <w:numPr>
          <w:ilvl w:val="0"/>
          <w:numId w:val="23"/>
        </w:numPr>
        <w:ind w:left="567" w:hanging="567"/>
        <w:rPr>
          <w:rFonts w:ascii="Times New Roman" w:hAnsi="Times New Roman"/>
          <w:b/>
          <w:szCs w:val="24"/>
        </w:rPr>
      </w:pPr>
      <w:r>
        <w:rPr>
          <w:rFonts w:ascii="Times New Roman" w:hAnsi="Times New Roman"/>
          <w:b/>
        </w:rPr>
        <w:t>Analyse/évaluation succincte de la résolution et des demandes qu’elle contient:</w:t>
      </w:r>
    </w:p>
    <w:p w14:paraId="297819D2" w14:textId="77777777" w:rsidR="00067CBF" w:rsidRPr="002E15B4" w:rsidRDefault="00067CBF" w:rsidP="00067CBF">
      <w:pPr>
        <w:widowControl w:val="0"/>
        <w:spacing w:after="120"/>
        <w:rPr>
          <w:rFonts w:ascii="Times New Roman" w:hAnsi="Times New Roman"/>
          <w:bCs/>
          <w:szCs w:val="24"/>
        </w:rPr>
      </w:pPr>
      <w:r>
        <w:rPr>
          <w:rFonts w:ascii="Times New Roman" w:hAnsi="Times New Roman"/>
        </w:rPr>
        <w:t>La présente résolution du Parlement européen faite suite au rapport Cavada et à la résolution 2011/2036 (INI) du 27 septembre 2011 sur le même sujet. Dans la présente résolution, le Parlement réaffirme les qualités des écoles européennes, soulignant leur potentiel unique en tant que laboratoire et source d’expérience pour réformer tous les systèmes nationaux. Il considère qu’investir dans les écoles européennes, c’est un investissement dans l’Union européenne dans son ensemble et recommande vivement que les écoles européennes jouent un rôle central dans la mise en place d’un espace européen de l’éducation.</w:t>
      </w:r>
    </w:p>
    <w:p w14:paraId="7F835810" w14:textId="29493AF7" w:rsidR="00067CBF" w:rsidRPr="002E15B4" w:rsidRDefault="00067CBF" w:rsidP="00067CBF">
      <w:pPr>
        <w:widowControl w:val="0"/>
        <w:spacing w:after="120"/>
        <w:rPr>
          <w:rFonts w:ascii="Times New Roman" w:hAnsi="Times New Roman"/>
          <w:bCs/>
          <w:szCs w:val="24"/>
        </w:rPr>
      </w:pPr>
      <w:r>
        <w:rPr>
          <w:rFonts w:ascii="Times New Roman" w:hAnsi="Times New Roman"/>
        </w:rPr>
        <w:t>Parallèlement, le Parlement européen souligne dans sa résolution que la gouvernance actuelle des écoles européennes a atteint ses limites et n’est plus adaptée à l’objectif visé. À cet égard, plusieurs recommandations sont formulées, allant de modifications ponctuelles du cadre juridique en vigueur à l’adoption d’un nouveau modèle de gouvernance pour les écoles européennes, avec la possibilité de remplacer leur statut juridique à caractère intergouvernemental par un modèle européen supranational. En outre, le Parlement souhaite renforcer son contrôle et son examen sur les écoles européennes, lesquels vont de rapports annuels à lui présenter au vœu d’être représenté au conseil supérieur des Écoles européennes.</w:t>
      </w:r>
    </w:p>
    <w:p w14:paraId="6CD668A7" w14:textId="77777777" w:rsidR="00067CBF" w:rsidRDefault="00067CBF" w:rsidP="00067CBF">
      <w:pPr>
        <w:widowControl w:val="0"/>
        <w:numPr>
          <w:ilvl w:val="0"/>
          <w:numId w:val="23"/>
        </w:numPr>
        <w:ind w:left="567" w:hanging="567"/>
        <w:rPr>
          <w:rFonts w:ascii="Times New Roman" w:hAnsi="Times New Roman"/>
          <w:b/>
          <w:szCs w:val="24"/>
        </w:rPr>
      </w:pPr>
      <w:r>
        <w:rPr>
          <w:rFonts w:ascii="Times New Roman" w:hAnsi="Times New Roman"/>
          <w:b/>
        </w:rPr>
        <w:t xml:space="preserve">Réponse à ces demandes et aperçu des mesures que la Commission a prises ou envisage de prendre: </w:t>
      </w:r>
    </w:p>
    <w:p w14:paraId="7879BED5" w14:textId="77777777" w:rsidR="00067CBF" w:rsidRPr="002E15B4" w:rsidRDefault="00067CBF" w:rsidP="00067CBF">
      <w:pPr>
        <w:widowControl w:val="0"/>
        <w:spacing w:after="120"/>
        <w:rPr>
          <w:rFonts w:ascii="Times New Roman" w:hAnsi="Times New Roman"/>
          <w:bCs/>
          <w:szCs w:val="24"/>
        </w:rPr>
      </w:pPr>
      <w:r>
        <w:rPr>
          <w:rFonts w:ascii="Times New Roman" w:hAnsi="Times New Roman"/>
        </w:rPr>
        <w:t>La Commission salue l’initiative prise par le Parlement européen de présenter une résolution d’initiative sur les écoles européennes. Ces écoles ont beaucoup évolué depuis le rapport Cavada en 2011, tout comme le contexte. La Commission est surtout reconnaissante au Parlement européen de reconnaître comme il convient leurs forces et leurs qualités.</w:t>
      </w:r>
    </w:p>
    <w:p w14:paraId="719AEE6E" w14:textId="77777777" w:rsidR="00067CBF" w:rsidRDefault="00067CBF" w:rsidP="00067CBF">
      <w:pPr>
        <w:widowControl w:val="0"/>
        <w:spacing w:after="120"/>
        <w:rPr>
          <w:rFonts w:ascii="Times New Roman" w:hAnsi="Times New Roman"/>
          <w:bCs/>
          <w:szCs w:val="24"/>
        </w:rPr>
      </w:pPr>
      <w:r>
        <w:rPr>
          <w:rFonts w:ascii="Times New Roman" w:hAnsi="Times New Roman"/>
        </w:rPr>
        <w:t>La Commission se félicite du fait que le Parlement européen considère qu’investir dans les écoles européennes, c’est un investissement dans l’Union européenne dans son ensemble. En effet, grâce à leurs caractéristiques uniques, elles peuvent jouer un rôle dans l’établissement d’un espace européen de l’éducation et la Commission examine déjà la manière de mettre cela en pratique.</w:t>
      </w:r>
    </w:p>
    <w:p w14:paraId="5FB9F84E" w14:textId="339A0B8F" w:rsidR="00067CBF" w:rsidRPr="002E15B4" w:rsidRDefault="00067CBF" w:rsidP="00067CBF">
      <w:pPr>
        <w:widowControl w:val="0"/>
        <w:spacing w:after="120"/>
        <w:rPr>
          <w:rFonts w:ascii="Times New Roman" w:hAnsi="Times New Roman"/>
          <w:bCs/>
          <w:szCs w:val="24"/>
        </w:rPr>
      </w:pPr>
      <w:r>
        <w:rPr>
          <w:rFonts w:ascii="Times New Roman" w:hAnsi="Times New Roman"/>
        </w:rPr>
        <w:t xml:space="preserve">Même si les écoles européennes ont un caractère intergouvernemental et que la Commission n’est qu’un membre du conseil supérieur parmi d’autres, elle se montre proactive dans de nombreux domaines relatifs au soutien du système des écoles européennes. S’agissant plus précisément de l’infrastructure des écoles et de la création de la cinquième école européenne à Bruxelles, la Commission travaille en étroite collaboration avec les autorités belges et le secrétaire général des écoles européennes au sein d’un groupe de travail spécifique, auquel participe personnellement le commissaire chargé du budget et de l’administration. En outre, la Commission soutient les écoles européennes dans leur gestion financière. En vue d’aider le secrétaire général des écoles à améliorer et à moderniser son système de gestion </w:t>
      </w:r>
      <w:r>
        <w:rPr>
          <w:rFonts w:ascii="Times New Roman" w:hAnsi="Times New Roman"/>
        </w:rPr>
        <w:lastRenderedPageBreak/>
        <w:t>financière, la Commission a détaché des experts auprès du bureau du secrétaire général. Lors de la pandémie de COVID-19, l’ensemble du personnel des écoles européennes basé à Bruxelles a été vacciné par le service médical de la Commission. Par ailleurs, la Commission est favorable à une augmentation du nombre d’écoles agréées et coopère avec les États membres désireux d’ouvrir de nouveaux établissements, en leur apportant son soutien, ses conseils et son expertise.</w:t>
      </w:r>
    </w:p>
    <w:p w14:paraId="7C77BC66" w14:textId="6EF32442" w:rsidR="00067CBF" w:rsidRDefault="00067CBF" w:rsidP="00067CBF">
      <w:pPr>
        <w:widowControl w:val="0"/>
        <w:spacing w:after="120"/>
        <w:rPr>
          <w:rFonts w:ascii="Times New Roman" w:hAnsi="Times New Roman"/>
          <w:bCs/>
          <w:szCs w:val="24"/>
        </w:rPr>
      </w:pPr>
      <w:r>
        <w:rPr>
          <w:rFonts w:ascii="Times New Roman" w:hAnsi="Times New Roman"/>
        </w:rPr>
        <w:t>La Commission, tout comme les autres membres du conseil supérieur, s’est engagée à donner suite aux recommandations du Parlement européen. Même si elle salue la résolution du Parlement, elle reconnaît qu’il appartient au conseil supérieur de décider du suivi des différentes recommandations formulées. Une réunion extraordinaire du conseil, entièrement consacrée à la résolution en question, s’est tenue le 20 octobre 2023. En outre, le bureau du secrétaire général a organisé deux réunions supplémentaires du «groupe de travail Présidence élargie», en décembre 2023 et en janvier 2024, auxquelles la Commission européenne a participé. À l’issue des discussions, le bureau du secrétaire général a élaboré un plan d’actions et un calendrier détaillés, précisant les actions à entreprendre pour répondre à chacune des recommandations du Parlement. Ce document devrait être soumis à l’approbation du conseil supérieur en avril 2024. La commission CULT du Parlement européen a organisé le 13 février un échange de vues sur la suite donnée à son rapport d’initiative; la Commission y a participé et le secrétaire général des écoles a présenté à cette occasion les éléments clés du projet de plan d’action.</w:t>
      </w:r>
    </w:p>
    <w:p w14:paraId="18837CC2" w14:textId="77777777" w:rsidR="00067CBF" w:rsidRPr="00C562EB" w:rsidRDefault="00067CBF" w:rsidP="00067CBF">
      <w:pPr>
        <w:widowControl w:val="0"/>
        <w:spacing w:after="120"/>
        <w:rPr>
          <w:rFonts w:ascii="Times New Roman" w:hAnsi="Times New Roman"/>
          <w:bCs/>
          <w:szCs w:val="24"/>
        </w:rPr>
      </w:pPr>
      <w:r>
        <w:rPr>
          <w:rFonts w:ascii="Times New Roman" w:hAnsi="Times New Roman"/>
        </w:rPr>
        <w:t xml:space="preserve">Concrètement, le projet de plan d’action regroupe des actions visant à répondre aux recommandations du Parlement européen (plus de 40 au total) dans les trois domaines thématiques suivants: la pédagogie, l’administration et la gouvernance, et les ressources. On peut notamment citer les actions ci-après: </w:t>
      </w:r>
    </w:p>
    <w:p w14:paraId="0755E0F1" w14:textId="77777777" w:rsidR="00067CBF" w:rsidRDefault="00067CBF" w:rsidP="00067CBF">
      <w:pPr>
        <w:widowControl w:val="0"/>
        <w:numPr>
          <w:ilvl w:val="0"/>
          <w:numId w:val="34"/>
        </w:numPr>
        <w:spacing w:after="120"/>
        <w:ind w:left="360"/>
        <w:rPr>
          <w:rFonts w:ascii="Times New Roman" w:hAnsi="Times New Roman"/>
          <w:bCs/>
          <w:szCs w:val="24"/>
        </w:rPr>
      </w:pPr>
      <w:r>
        <w:rPr>
          <w:rFonts w:ascii="Times New Roman" w:hAnsi="Times New Roman"/>
          <w:u w:val="single"/>
        </w:rPr>
        <w:t>Pédagogie</w:t>
      </w:r>
    </w:p>
    <w:p w14:paraId="04A33574" w14:textId="77777777" w:rsidR="00067CBF" w:rsidRDefault="00067CBF" w:rsidP="00067CBF">
      <w:pPr>
        <w:widowControl w:val="0"/>
        <w:spacing w:after="120"/>
        <w:rPr>
          <w:rFonts w:ascii="Times New Roman" w:hAnsi="Times New Roman"/>
          <w:bCs/>
          <w:szCs w:val="24"/>
        </w:rPr>
      </w:pPr>
      <w:r>
        <w:rPr>
          <w:rFonts w:ascii="Times New Roman" w:hAnsi="Times New Roman"/>
        </w:rPr>
        <w:t>Élaborer la mission et la vision du système des écoles européennes, qui exposera clairement ses principes, ses valeurs, ses caractéristiques et ses fonctions fondamentales ainsi que d’autres aspects pertinents. La Commission est favorable à une définition claire des caractéristiques distinctives des écoles européennes afin de garantir l’identité et les valeurs uniques de ce système et de le différencier des autres systèmes éducatifs.</w:t>
      </w:r>
    </w:p>
    <w:p w14:paraId="04464397" w14:textId="77777777" w:rsidR="00067CBF" w:rsidRDefault="00067CBF" w:rsidP="00067CBF">
      <w:pPr>
        <w:widowControl w:val="0"/>
        <w:spacing w:after="120"/>
        <w:rPr>
          <w:rFonts w:ascii="Times New Roman" w:hAnsi="Times New Roman"/>
          <w:bCs/>
          <w:szCs w:val="24"/>
        </w:rPr>
      </w:pPr>
      <w:r>
        <w:rPr>
          <w:rFonts w:ascii="Times New Roman" w:hAnsi="Times New Roman"/>
        </w:rPr>
        <w:t xml:space="preserve">Renforcer la participation des représentants des écoles européennes aux échanges avec les représentants des systèmes scolaires nationaux et à la création de l’espace européen de l’éducation. Il est proposé que la Commission s’engage davantage pour faciliter l’échange d’informations et le partage des meilleures pratiques entre les parties prenantes des écoles européennes et nationales. La Commission soutient cette initiative, reconnaissant l’excellence unique de l’enseignement dispensé par les écoles européennes. </w:t>
      </w:r>
    </w:p>
    <w:p w14:paraId="169B9DEC" w14:textId="77777777" w:rsidR="00067CBF" w:rsidRDefault="00067CBF" w:rsidP="00067CBF">
      <w:pPr>
        <w:widowControl w:val="0"/>
        <w:spacing w:after="120"/>
        <w:rPr>
          <w:rFonts w:ascii="Times New Roman" w:hAnsi="Times New Roman"/>
          <w:bCs/>
          <w:szCs w:val="24"/>
        </w:rPr>
      </w:pPr>
      <w:r>
        <w:rPr>
          <w:rFonts w:ascii="Times New Roman" w:hAnsi="Times New Roman"/>
        </w:rPr>
        <w:t>Renforcer le caractère inclusif des écoles européennes: dans un souci d’inclusion, le plan d’action prévoit d’étudier les possibilités d’élargir l’accès aux écoles européennes à un plus grand nombre de catégories d’élèves et d’améliorer la stabilité des petites sections linguistiques. Bien que, la Commission approuve cette initiative, sur le principe, le problème de surpopulation à Bruxelles limite sa faisabilité pour l’instant. Un concept d’école hybride à Bruxelles, actuellement examiné par le gouvernement belge et soutenu par la Commission, représente certainement un projet intéressant permettant de dispenser un enseignement européen dans un environnement caractérisé par une mixité sociale et économique.</w:t>
      </w:r>
    </w:p>
    <w:p w14:paraId="6B0624B3" w14:textId="77777777" w:rsidR="00067CBF" w:rsidRDefault="00067CBF" w:rsidP="00067CBF">
      <w:pPr>
        <w:widowControl w:val="0"/>
        <w:spacing w:after="120"/>
        <w:rPr>
          <w:rFonts w:ascii="Times New Roman" w:hAnsi="Times New Roman"/>
          <w:bCs/>
          <w:szCs w:val="24"/>
        </w:rPr>
      </w:pPr>
      <w:r>
        <w:rPr>
          <w:rFonts w:ascii="Times New Roman" w:hAnsi="Times New Roman"/>
        </w:rPr>
        <w:t xml:space="preserve">Des activités promotionnelles, telles que l’organisation d’une manifestation annuelle de célébration ainsi que la valorisation et le soutien du réseau d’anciens élèves des écoles européennes, permettront de faire connaître les écoles européennes et le baccalauréat européen, ce que soutient la Commission. Cette reconnaissance accrue s’inscrit dans le cadre d’objectifs plus larges consistant à renforcer l’attrait des écoles européennes et à en </w:t>
      </w:r>
      <w:r>
        <w:rPr>
          <w:rFonts w:ascii="Times New Roman" w:hAnsi="Times New Roman"/>
        </w:rPr>
        <w:lastRenderedPageBreak/>
        <w:t>faire des modèles d’excellence au sein des systèmes nationaux.</w:t>
      </w:r>
    </w:p>
    <w:p w14:paraId="65BAC92E" w14:textId="77777777" w:rsidR="00067CBF" w:rsidRDefault="00067CBF" w:rsidP="00067CBF">
      <w:pPr>
        <w:widowControl w:val="0"/>
        <w:spacing w:after="120"/>
        <w:rPr>
          <w:rFonts w:ascii="Times New Roman" w:hAnsi="Times New Roman"/>
          <w:bCs/>
          <w:szCs w:val="24"/>
        </w:rPr>
      </w:pPr>
      <w:r>
        <w:rPr>
          <w:rFonts w:ascii="Times New Roman" w:hAnsi="Times New Roman"/>
        </w:rPr>
        <w:t xml:space="preserve">2. </w:t>
      </w:r>
      <w:r>
        <w:rPr>
          <w:rFonts w:ascii="Times New Roman" w:hAnsi="Times New Roman"/>
          <w:u w:val="single"/>
        </w:rPr>
        <w:t>Administration et gouvernance</w:t>
      </w:r>
    </w:p>
    <w:p w14:paraId="49C4E81D" w14:textId="77777777" w:rsidR="00067CBF" w:rsidRDefault="00067CBF" w:rsidP="00067CBF">
      <w:pPr>
        <w:widowControl w:val="0"/>
        <w:spacing w:after="120"/>
        <w:rPr>
          <w:rFonts w:ascii="Times New Roman" w:hAnsi="Times New Roman"/>
          <w:bCs/>
          <w:szCs w:val="24"/>
        </w:rPr>
      </w:pPr>
      <w:r>
        <w:rPr>
          <w:rFonts w:ascii="Times New Roman" w:hAnsi="Times New Roman"/>
        </w:rPr>
        <w:t xml:space="preserve">Pour faire suite à la recommandation de réaliser un examen approfondi des structures de gouvernance des écoles européennes, le plan d’action comprend un engagement à réexaminer les structures et pratiques actuelles, notamment l’organisation et le suivi des organes de décision, ainsi que d’autres réunions et pratiques de travail. La Commission soutient cet engagement qui permettra au système des écoles européennes de chercher à améliorer son efficience et son efficacité. </w:t>
      </w:r>
    </w:p>
    <w:p w14:paraId="22098AC9" w14:textId="77777777" w:rsidR="00067CBF" w:rsidRDefault="00067CBF" w:rsidP="00067CBF">
      <w:pPr>
        <w:widowControl w:val="0"/>
        <w:spacing w:after="120"/>
        <w:rPr>
          <w:rFonts w:ascii="Times New Roman" w:hAnsi="Times New Roman"/>
          <w:bCs/>
          <w:szCs w:val="24"/>
        </w:rPr>
      </w:pPr>
      <w:r>
        <w:rPr>
          <w:rFonts w:ascii="Times New Roman" w:hAnsi="Times New Roman"/>
        </w:rPr>
        <w:t>Le plan d’action aborde la question de l’attractivité et de l’évolution de carrière du personnel enseignant des écoles européennes, en améliorant les possibilités de formation et de développement, en mettant en place une évaluation régulière du corps enseignant et en étudiant la nécessité de créer des postes d’encadrement intermédiaire. La Commission se félicite de cette initiative visant à examiner ces questions importantes et à créer un environnement de travail attrayant dans les écoles européennes pour le personnel enseignant.</w:t>
      </w:r>
    </w:p>
    <w:p w14:paraId="631E0A39" w14:textId="77777777" w:rsidR="00067CBF" w:rsidRDefault="00067CBF" w:rsidP="00067CBF">
      <w:pPr>
        <w:widowControl w:val="0"/>
        <w:spacing w:after="120"/>
        <w:rPr>
          <w:rFonts w:ascii="Times New Roman" w:hAnsi="Times New Roman"/>
          <w:bCs/>
          <w:szCs w:val="24"/>
        </w:rPr>
      </w:pPr>
      <w:r>
        <w:rPr>
          <w:rFonts w:ascii="Times New Roman" w:hAnsi="Times New Roman"/>
        </w:rPr>
        <w:t>Afin d’améliorer la communication avec le Parlement européen et le Conseil, le plan d’action prévoit que le secrétaire général des écoles européennes communiquera son rapport annuel d’activités global au Parlement européen et au Conseil européen. De même, le secrétaire général informera le Parlement européen des progrès accomplis dans la mise en œuvre du plan d’action. La Commission salue l’engagement du bureau du secrétaire général en vue d’encourager une plus grande coopération avec l’autorité budgétaire.</w:t>
      </w:r>
    </w:p>
    <w:p w14:paraId="127B184F" w14:textId="77777777" w:rsidR="00067CBF" w:rsidRDefault="00067CBF" w:rsidP="00067CBF">
      <w:pPr>
        <w:widowControl w:val="0"/>
        <w:spacing w:after="120"/>
        <w:rPr>
          <w:rFonts w:ascii="Times New Roman" w:hAnsi="Times New Roman"/>
          <w:bCs/>
          <w:szCs w:val="24"/>
        </w:rPr>
      </w:pPr>
      <w:r>
        <w:rPr>
          <w:rFonts w:ascii="Times New Roman" w:hAnsi="Times New Roman"/>
        </w:rPr>
        <w:t xml:space="preserve">3. </w:t>
      </w:r>
      <w:r>
        <w:rPr>
          <w:rFonts w:ascii="Times New Roman" w:hAnsi="Times New Roman"/>
          <w:u w:val="single"/>
        </w:rPr>
        <w:t>Ressources</w:t>
      </w:r>
    </w:p>
    <w:p w14:paraId="17603BE2" w14:textId="77777777" w:rsidR="00067CBF" w:rsidRDefault="00067CBF" w:rsidP="00067CBF">
      <w:pPr>
        <w:widowControl w:val="0"/>
        <w:spacing w:after="120"/>
        <w:rPr>
          <w:rFonts w:ascii="Times New Roman" w:hAnsi="Times New Roman"/>
          <w:bCs/>
          <w:szCs w:val="24"/>
        </w:rPr>
      </w:pPr>
      <w:r>
        <w:rPr>
          <w:rFonts w:ascii="Times New Roman" w:hAnsi="Times New Roman"/>
        </w:rPr>
        <w:t>Pour faire suite à la demande de clarifier l’applicabilité au système des écoles européennes du droit primaire et du droit dérivé de l’Union, les compétences de la chambre de recours seront réexaminées. En outre, la création d’une fonction de médiateur indépendant chargé de traiter les plaintes pour mauvaise administration et d’arbitrer les conflits sera évaluée. La Commission soutient ces actions dans la mesure où elle considère qu’il est essentiel de clarifier les mécanismes du système pouvant être sollicités dans le cas de questions en suspens.</w:t>
      </w:r>
    </w:p>
    <w:p w14:paraId="494E2ACE" w14:textId="61E614E2" w:rsidR="008F18B1" w:rsidRPr="00067CBF" w:rsidRDefault="00067CBF" w:rsidP="00067CBF">
      <w:r>
        <w:rPr>
          <w:rFonts w:ascii="Times New Roman" w:hAnsi="Times New Roman"/>
        </w:rPr>
        <w:t>Le plan d’action est cohérent avec la recommandation faite aux États membres de remplir leurs obligations à l’égard du système des écoles européennes en mettant à disposition des équipements appropriés et un personnel enseignant qualifié, y compris en instaurant un système contraignant de contributions financières directes et en intégrant les infrastructures des écoles européennes dans les plans nationaux d’infrastructures scolaires. La Commission se félicite de cet engagement, dans la mesure où les discussions en cours sur le maintien des infrastructures scolaires se sont révélées difficiles, en particulier avec certains États membres.</w:t>
      </w:r>
    </w:p>
    <w:sectPr w:rsidR="008F18B1" w:rsidRPr="00067CBF" w:rsidSect="00812321">
      <w:footerReference w:type="even" r:id="rId8"/>
      <w:footerReference w:type="default" r:id="rId9"/>
      <w:footerReference w:type="first" r:id="rId10"/>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A2ED" w14:textId="77777777" w:rsidR="00683FA5" w:rsidRDefault="00683FA5">
      <w:r>
        <w:separator/>
      </w:r>
    </w:p>
  </w:endnote>
  <w:endnote w:type="continuationSeparator" w:id="0">
    <w:p w14:paraId="58C5B448" w14:textId="77777777" w:rsidR="00683FA5" w:rsidRDefault="0068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E85D" w14:textId="77777777" w:rsidR="00683FA5" w:rsidRDefault="00683FA5">
      <w:r>
        <w:separator/>
      </w:r>
    </w:p>
  </w:footnote>
  <w:footnote w:type="continuationSeparator" w:id="0">
    <w:p w14:paraId="4398E113" w14:textId="77777777" w:rsidR="00683FA5" w:rsidRDefault="00683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2EC34F5"/>
    <w:multiLevelType w:val="hybridMultilevel"/>
    <w:tmpl w:val="B21EB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401CBF"/>
    <w:multiLevelType w:val="hybridMultilevel"/>
    <w:tmpl w:val="2C74AD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98101B"/>
    <w:multiLevelType w:val="hybridMultilevel"/>
    <w:tmpl w:val="07103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5053D"/>
    <w:multiLevelType w:val="hybridMultilevel"/>
    <w:tmpl w:val="5226D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15:restartNumberingAfterBreak="0">
    <w:nsid w:val="170A122C"/>
    <w:multiLevelType w:val="hybridMultilevel"/>
    <w:tmpl w:val="BBC65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6936F09"/>
    <w:multiLevelType w:val="hybridMultilevel"/>
    <w:tmpl w:val="945286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5C706C1F"/>
    <w:multiLevelType w:val="hybridMultilevel"/>
    <w:tmpl w:val="823E2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7EA4EA6"/>
    <w:multiLevelType w:val="hybridMultilevel"/>
    <w:tmpl w:val="FBF223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82C35EE"/>
    <w:multiLevelType w:val="hybridMultilevel"/>
    <w:tmpl w:val="15547E96"/>
    <w:lvl w:ilvl="0" w:tplc="77C89EEA">
      <w:start w:val="3"/>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E096ADC"/>
    <w:multiLevelType w:val="hybridMultilevel"/>
    <w:tmpl w:val="F39418AC"/>
    <w:lvl w:ilvl="0" w:tplc="0ABC2C0A">
      <w:start w:val="2"/>
      <w:numFmt w:val="bullet"/>
      <w:lvlText w:val="-"/>
      <w:lvlJc w:val="left"/>
      <w:pPr>
        <w:ind w:left="428" w:hanging="360"/>
      </w:pPr>
      <w:rPr>
        <w:rFonts w:ascii="Arial" w:eastAsia="Calibri" w:hAnsi="Arial" w:cs="Arial" w:hint="default"/>
      </w:rPr>
    </w:lvl>
    <w:lvl w:ilvl="1" w:tplc="18090003" w:tentative="1">
      <w:start w:val="1"/>
      <w:numFmt w:val="bullet"/>
      <w:lvlText w:val="o"/>
      <w:lvlJc w:val="left"/>
      <w:pPr>
        <w:ind w:left="1148" w:hanging="360"/>
      </w:pPr>
      <w:rPr>
        <w:rFonts w:ascii="Courier New" w:hAnsi="Courier New" w:cs="Courier New" w:hint="default"/>
      </w:rPr>
    </w:lvl>
    <w:lvl w:ilvl="2" w:tplc="18090005" w:tentative="1">
      <w:start w:val="1"/>
      <w:numFmt w:val="bullet"/>
      <w:lvlText w:val=""/>
      <w:lvlJc w:val="left"/>
      <w:pPr>
        <w:ind w:left="1868" w:hanging="360"/>
      </w:pPr>
      <w:rPr>
        <w:rFonts w:ascii="Wingdings" w:hAnsi="Wingdings" w:hint="default"/>
      </w:rPr>
    </w:lvl>
    <w:lvl w:ilvl="3" w:tplc="18090001" w:tentative="1">
      <w:start w:val="1"/>
      <w:numFmt w:val="bullet"/>
      <w:lvlText w:val=""/>
      <w:lvlJc w:val="left"/>
      <w:pPr>
        <w:ind w:left="2588" w:hanging="360"/>
      </w:pPr>
      <w:rPr>
        <w:rFonts w:ascii="Symbol" w:hAnsi="Symbol" w:hint="default"/>
      </w:rPr>
    </w:lvl>
    <w:lvl w:ilvl="4" w:tplc="18090003" w:tentative="1">
      <w:start w:val="1"/>
      <w:numFmt w:val="bullet"/>
      <w:lvlText w:val="o"/>
      <w:lvlJc w:val="left"/>
      <w:pPr>
        <w:ind w:left="3308" w:hanging="360"/>
      </w:pPr>
      <w:rPr>
        <w:rFonts w:ascii="Courier New" w:hAnsi="Courier New" w:cs="Courier New" w:hint="default"/>
      </w:rPr>
    </w:lvl>
    <w:lvl w:ilvl="5" w:tplc="18090005" w:tentative="1">
      <w:start w:val="1"/>
      <w:numFmt w:val="bullet"/>
      <w:lvlText w:val=""/>
      <w:lvlJc w:val="left"/>
      <w:pPr>
        <w:ind w:left="4028" w:hanging="360"/>
      </w:pPr>
      <w:rPr>
        <w:rFonts w:ascii="Wingdings" w:hAnsi="Wingdings" w:hint="default"/>
      </w:rPr>
    </w:lvl>
    <w:lvl w:ilvl="6" w:tplc="18090001" w:tentative="1">
      <w:start w:val="1"/>
      <w:numFmt w:val="bullet"/>
      <w:lvlText w:val=""/>
      <w:lvlJc w:val="left"/>
      <w:pPr>
        <w:ind w:left="4748" w:hanging="360"/>
      </w:pPr>
      <w:rPr>
        <w:rFonts w:ascii="Symbol" w:hAnsi="Symbol" w:hint="default"/>
      </w:rPr>
    </w:lvl>
    <w:lvl w:ilvl="7" w:tplc="18090003" w:tentative="1">
      <w:start w:val="1"/>
      <w:numFmt w:val="bullet"/>
      <w:lvlText w:val="o"/>
      <w:lvlJc w:val="left"/>
      <w:pPr>
        <w:ind w:left="5468" w:hanging="360"/>
      </w:pPr>
      <w:rPr>
        <w:rFonts w:ascii="Courier New" w:hAnsi="Courier New" w:cs="Courier New" w:hint="default"/>
      </w:rPr>
    </w:lvl>
    <w:lvl w:ilvl="8" w:tplc="18090005" w:tentative="1">
      <w:start w:val="1"/>
      <w:numFmt w:val="bullet"/>
      <w:lvlText w:val=""/>
      <w:lvlJc w:val="left"/>
      <w:pPr>
        <w:ind w:left="6188" w:hanging="360"/>
      </w:pPr>
      <w:rPr>
        <w:rFonts w:ascii="Wingdings" w:hAnsi="Wingdings" w:hint="default"/>
      </w:rPr>
    </w:lvl>
  </w:abstractNum>
  <w:abstractNum w:abstractNumId="34"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abstractNum w:abstractNumId="35" w15:restartNumberingAfterBreak="0">
    <w:nsid w:val="7FA06622"/>
    <w:multiLevelType w:val="hybridMultilevel"/>
    <w:tmpl w:val="ED6498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9342734">
    <w:abstractNumId w:val="9"/>
  </w:num>
  <w:num w:numId="2" w16cid:durableId="148182179">
    <w:abstractNumId w:val="1"/>
  </w:num>
  <w:num w:numId="3" w16cid:durableId="505511010">
    <w:abstractNumId w:val="32"/>
  </w:num>
  <w:num w:numId="4" w16cid:durableId="580018736">
    <w:abstractNumId w:val="14"/>
  </w:num>
  <w:num w:numId="5" w16cid:durableId="221647625">
    <w:abstractNumId w:val="28"/>
  </w:num>
  <w:num w:numId="6" w16cid:durableId="298344620">
    <w:abstractNumId w:val="12"/>
  </w:num>
  <w:num w:numId="7" w16cid:durableId="58093387">
    <w:abstractNumId w:val="8"/>
  </w:num>
  <w:num w:numId="8" w16cid:durableId="1122530581">
    <w:abstractNumId w:val="16"/>
  </w:num>
  <w:num w:numId="9" w16cid:durableId="1479684095">
    <w:abstractNumId w:val="31"/>
  </w:num>
  <w:num w:numId="10" w16cid:durableId="340007303">
    <w:abstractNumId w:val="22"/>
  </w:num>
  <w:num w:numId="11" w16cid:durableId="346519941">
    <w:abstractNumId w:val="24"/>
  </w:num>
  <w:num w:numId="12" w16cid:durableId="691036718">
    <w:abstractNumId w:val="13"/>
  </w:num>
  <w:num w:numId="13" w16cid:durableId="1452093781">
    <w:abstractNumId w:val="18"/>
  </w:num>
  <w:num w:numId="14" w16cid:durableId="906961314">
    <w:abstractNumId w:val="29"/>
  </w:num>
  <w:num w:numId="15" w16cid:durableId="1388455259">
    <w:abstractNumId w:val="15"/>
  </w:num>
  <w:num w:numId="16" w16cid:durableId="1677533267">
    <w:abstractNumId w:val="34"/>
  </w:num>
  <w:num w:numId="17" w16cid:durableId="961619330">
    <w:abstractNumId w:val="30"/>
  </w:num>
  <w:num w:numId="18" w16cid:durableId="1095638383">
    <w:abstractNumId w:val="20"/>
  </w:num>
  <w:num w:numId="19" w16cid:durableId="357776219">
    <w:abstractNumId w:val="21"/>
  </w:num>
  <w:num w:numId="20" w16cid:durableId="1481578588">
    <w:abstractNumId w:val="27"/>
  </w:num>
  <w:num w:numId="21" w16cid:durableId="1812137613">
    <w:abstractNumId w:val="5"/>
  </w:num>
  <w:num w:numId="22" w16cid:durableId="370300677">
    <w:abstractNumId w:val="6"/>
  </w:num>
  <w:num w:numId="23" w16cid:durableId="1322079617">
    <w:abstractNumId w:val="19"/>
  </w:num>
  <w:num w:numId="24" w16cid:durableId="1272006016">
    <w:abstractNumId w:val="3"/>
  </w:num>
  <w:num w:numId="25" w16cid:durableId="1251039440">
    <w:abstractNumId w:val="25"/>
  </w:num>
  <w:num w:numId="26" w16cid:durableId="23412360">
    <w:abstractNumId w:val="10"/>
  </w:num>
  <w:num w:numId="27" w16cid:durableId="922106229">
    <w:abstractNumId w:val="4"/>
  </w:num>
  <w:num w:numId="28" w16cid:durableId="1792430525">
    <w:abstractNumId w:val="35"/>
  </w:num>
  <w:num w:numId="29" w16cid:durableId="29696422">
    <w:abstractNumId w:val="2"/>
  </w:num>
  <w:num w:numId="30" w16cid:durableId="1670592332">
    <w:abstractNumId w:val="7"/>
  </w:num>
  <w:num w:numId="31" w16cid:durableId="371424403">
    <w:abstractNumId w:val="23"/>
  </w:num>
  <w:num w:numId="32" w16cid:durableId="1613659811">
    <w:abstractNumId w:val="33"/>
  </w:num>
  <w:num w:numId="33" w16cid:durableId="580066079">
    <w:abstractNumId w:val="26"/>
  </w:num>
  <w:num w:numId="34" w16cid:durableId="55027162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094"/>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33E"/>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3F5"/>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4E06"/>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50"/>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6B9"/>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CBF"/>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D41"/>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1F46"/>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A2E"/>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1FF9"/>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B7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C11"/>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404"/>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4885"/>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5B4"/>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9C"/>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11"/>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333"/>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BAA"/>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43A"/>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3FA5"/>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47"/>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778"/>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C7A"/>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72E"/>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59F"/>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3FA5"/>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0FE2"/>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B97"/>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0FB"/>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2EF3"/>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3E1"/>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66"/>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427"/>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12"/>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248"/>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B81"/>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53B"/>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B1"/>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BE6"/>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926"/>
    <w:rsid w:val="009A2BEA"/>
    <w:rsid w:val="009A2C73"/>
    <w:rsid w:val="009A2EA3"/>
    <w:rsid w:val="009A302F"/>
    <w:rsid w:val="009A3191"/>
    <w:rsid w:val="009A39B2"/>
    <w:rsid w:val="009A3DA0"/>
    <w:rsid w:val="009A402B"/>
    <w:rsid w:val="009A41F0"/>
    <w:rsid w:val="009A4321"/>
    <w:rsid w:val="009A43E3"/>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2C9E"/>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2F88"/>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189"/>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30"/>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4C5"/>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5DF6"/>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2EB"/>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E5A"/>
    <w:rsid w:val="00C60E6E"/>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2EB"/>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AA"/>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38E"/>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9D"/>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0B5"/>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84"/>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2A9"/>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884"/>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18E"/>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A6"/>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12E"/>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0D92"/>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5B6"/>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3</Pages>
  <Words>1506</Words>
  <Characters>8886</Characters>
  <Application>Microsoft Office Word</Application>
  <DocSecurity>0</DocSecurity>
  <PresentationFormat>Microsoft Word 8.0b</PresentationFormat>
  <Lines>132</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10362</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2</cp:revision>
  <cp:lastPrinted>2017-11-23T08:27:00Z</cp:lastPrinted>
  <dcterms:created xsi:type="dcterms:W3CDTF">2024-03-13T08:31:00Z</dcterms:created>
  <dcterms:modified xsi:type="dcterms:W3CDTF">2024-03-13T08:31:00Z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ies>
</file>