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05176" w14:textId="77777777" w:rsidR="00074C5D" w:rsidRPr="00074C5D" w:rsidRDefault="00074C5D" w:rsidP="00074C5D">
      <w:pPr>
        <w:spacing w:after="600"/>
        <w:jc w:val="center"/>
        <w:rPr>
          <w:rFonts w:ascii="Times New Roman" w:hAnsi="Times New Roman"/>
          <w:b/>
        </w:rPr>
      </w:pPr>
      <w:bookmarkStart w:id="0" w:name="COP"/>
      <w:r>
        <w:rPr>
          <w:rFonts w:ascii="Times New Roman" w:hAnsi="Times New Roman"/>
          <w:b/>
        </w:rPr>
        <w:t>Suite donnée à la résolution non législative du Parlement européen sur la conférence des Nations unies sur le changement climatique de 2023 (COP28) à Dubaï, Émirats arabes unis</w:t>
      </w:r>
      <w:bookmarkEnd w:id="0"/>
    </w:p>
    <w:p w14:paraId="1111FC9A" w14:textId="77777777" w:rsidR="00074C5D" w:rsidRPr="00074C5D" w:rsidRDefault="00074C5D" w:rsidP="00074C5D">
      <w:pPr>
        <w:numPr>
          <w:ilvl w:val="0"/>
          <w:numId w:val="27"/>
        </w:numPr>
        <w:ind w:left="567" w:hanging="567"/>
        <w:rPr>
          <w:rFonts w:ascii="Times New Roman" w:hAnsi="Times New Roman"/>
          <w:b/>
          <w:szCs w:val="24"/>
        </w:rPr>
      </w:pPr>
      <w:r>
        <w:rPr>
          <w:rFonts w:ascii="Times New Roman" w:hAnsi="Times New Roman"/>
          <w:b/>
        </w:rPr>
        <w:t>Résolution présentée conformément à l’article 136, paragraphe 5, du règlement intérieur du Parlement européen</w:t>
      </w:r>
    </w:p>
    <w:p w14:paraId="7A146686" w14:textId="77777777" w:rsidR="00074C5D" w:rsidRPr="00074C5D" w:rsidRDefault="00074C5D" w:rsidP="00074C5D">
      <w:pPr>
        <w:numPr>
          <w:ilvl w:val="0"/>
          <w:numId w:val="27"/>
        </w:numPr>
        <w:ind w:left="567" w:hanging="567"/>
        <w:rPr>
          <w:rFonts w:ascii="Times New Roman" w:hAnsi="Times New Roman"/>
          <w:i/>
          <w:szCs w:val="24"/>
        </w:rPr>
      </w:pPr>
      <w:r>
        <w:rPr>
          <w:rFonts w:ascii="Times New Roman" w:hAnsi="Times New Roman"/>
          <w:b/>
        </w:rPr>
        <w:t xml:space="preserve">Numéros de référence: </w:t>
      </w:r>
      <w:r>
        <w:rPr>
          <w:rFonts w:ascii="Times New Roman" w:hAnsi="Times New Roman"/>
        </w:rPr>
        <w:t>2023/2636 (RSP) / B9-0458/2023 / P9_TA(2023)0407</w:t>
      </w:r>
    </w:p>
    <w:p w14:paraId="7BAE26ED" w14:textId="77777777" w:rsidR="00074C5D" w:rsidRPr="00074C5D" w:rsidRDefault="00074C5D" w:rsidP="00074C5D">
      <w:pPr>
        <w:numPr>
          <w:ilvl w:val="0"/>
          <w:numId w:val="27"/>
        </w:numPr>
        <w:ind w:left="567" w:hanging="567"/>
        <w:rPr>
          <w:rFonts w:ascii="Times New Roman" w:hAnsi="Times New Roman"/>
          <w:szCs w:val="24"/>
        </w:rPr>
      </w:pPr>
      <w:r>
        <w:rPr>
          <w:rFonts w:ascii="Times New Roman" w:hAnsi="Times New Roman"/>
          <w:b/>
        </w:rPr>
        <w:t xml:space="preserve">Date d'adoption de la résolution: </w:t>
      </w:r>
      <w:r>
        <w:rPr>
          <w:rFonts w:ascii="Times New Roman" w:hAnsi="Times New Roman"/>
        </w:rPr>
        <w:t>21 novembre 2023</w:t>
      </w:r>
    </w:p>
    <w:p w14:paraId="631842DD" w14:textId="77777777" w:rsidR="00074C5D" w:rsidRPr="00074C5D" w:rsidRDefault="00074C5D" w:rsidP="00074C5D">
      <w:pPr>
        <w:numPr>
          <w:ilvl w:val="0"/>
          <w:numId w:val="27"/>
        </w:numPr>
        <w:ind w:left="567" w:hanging="567"/>
        <w:rPr>
          <w:rFonts w:ascii="Times New Roman" w:hAnsi="Times New Roman"/>
          <w:i/>
          <w:szCs w:val="24"/>
        </w:rPr>
      </w:pPr>
      <w:r>
        <w:rPr>
          <w:rFonts w:ascii="Times New Roman" w:hAnsi="Times New Roman"/>
          <w:b/>
        </w:rPr>
        <w:t>Commission parlementaire compétente</w:t>
      </w:r>
      <w:r>
        <w:rPr>
          <w:b/>
        </w:rPr>
        <w:t>:</w:t>
      </w:r>
      <w:r>
        <w:t xml:space="preserve"> </w:t>
      </w:r>
      <w:r>
        <w:rPr>
          <w:rFonts w:ascii="Times New Roman" w:hAnsi="Times New Roman"/>
        </w:rPr>
        <w:t>commission de l’environnement, de la santé publique et de la sécurité alimentaire (ENVI)</w:t>
      </w:r>
    </w:p>
    <w:p w14:paraId="34CA005D" w14:textId="77777777" w:rsidR="00074C5D" w:rsidRPr="00074C5D" w:rsidRDefault="00074C5D" w:rsidP="00074C5D">
      <w:pPr>
        <w:widowControl w:val="0"/>
        <w:numPr>
          <w:ilvl w:val="0"/>
          <w:numId w:val="27"/>
        </w:numPr>
        <w:ind w:left="567" w:hanging="567"/>
        <w:rPr>
          <w:rFonts w:ascii="Times New Roman" w:hAnsi="Times New Roman"/>
          <w:szCs w:val="24"/>
        </w:rPr>
      </w:pPr>
      <w:r>
        <w:rPr>
          <w:rFonts w:ascii="Times New Roman" w:hAnsi="Times New Roman"/>
          <w:b/>
        </w:rPr>
        <w:t>Analyse/évaluation succincte de la résolution et des demandes qu’elle contient</w:t>
      </w:r>
    </w:p>
    <w:p w14:paraId="447CAEBA" w14:textId="77777777" w:rsidR="00074C5D" w:rsidRPr="00074C5D" w:rsidRDefault="00074C5D" w:rsidP="00074C5D">
      <w:pPr>
        <w:widowControl w:val="0"/>
        <w:spacing w:after="120"/>
        <w:rPr>
          <w:rFonts w:ascii="Times New Roman" w:hAnsi="Times New Roman"/>
          <w:szCs w:val="24"/>
        </w:rPr>
      </w:pPr>
      <w:r>
        <w:rPr>
          <w:rFonts w:ascii="Times New Roman" w:hAnsi="Times New Roman"/>
        </w:rPr>
        <w:t>La résolution fait part de certaines préoccupations concernant la conférence des Nations unies sur le climat de 2023 à Dubaï (Émirats arabes unis) [Conférence des parties à la CCNUCC et Conférence des Parties agissant comme réunion des Parties à l’Accord de Paris (COP28/CMA5)] et formule des propositions d’engagement international dans ce domaine. Les éléments clés de la résolution sont les suivants :</w:t>
      </w:r>
    </w:p>
    <w:p w14:paraId="7E47DF39" w14:textId="77777777" w:rsidR="00074C5D" w:rsidRPr="00074C5D" w:rsidRDefault="00074C5D" w:rsidP="00074C5D">
      <w:pPr>
        <w:widowControl w:val="0"/>
        <w:spacing w:after="120"/>
        <w:rPr>
          <w:rFonts w:ascii="Times New Roman" w:hAnsi="Times New Roman"/>
          <w:b/>
          <w:bCs/>
          <w:szCs w:val="24"/>
        </w:rPr>
      </w:pPr>
      <w:r>
        <w:rPr>
          <w:rFonts w:ascii="Times New Roman" w:hAnsi="Times New Roman"/>
          <w:b/>
        </w:rPr>
        <w:t>1. Le premier bilan mondial</w:t>
      </w:r>
    </w:p>
    <w:p w14:paraId="264B7CC1" w14:textId="77777777" w:rsidR="00074C5D" w:rsidRPr="00074C5D" w:rsidRDefault="00074C5D" w:rsidP="00074C5D">
      <w:pPr>
        <w:widowControl w:val="0"/>
        <w:spacing w:after="120"/>
        <w:rPr>
          <w:rFonts w:ascii="Times New Roman" w:hAnsi="Times New Roman"/>
          <w:szCs w:val="24"/>
        </w:rPr>
      </w:pPr>
      <w:r>
        <w:rPr>
          <w:rFonts w:ascii="Times New Roman" w:hAnsi="Times New Roman"/>
        </w:rPr>
        <w:t>Le Parlement européen soutient un objectif à l’échelon mondial consistant à tripler les énergies renouvelables et à doubler l’efficacité énergétique d’ici à 2030, ainsi qu’à supprimer progressivement et dès que possible les combustibles fossiles, et demande à ce titre qu’il soit mis un terme à tout nouvel investissement dans l’extraction de combustibles fossiles.</w:t>
      </w:r>
    </w:p>
    <w:p w14:paraId="38FDB315" w14:textId="77777777" w:rsidR="00074C5D" w:rsidRPr="00074C5D" w:rsidRDefault="00074C5D" w:rsidP="00074C5D">
      <w:pPr>
        <w:widowControl w:val="0"/>
        <w:spacing w:after="120"/>
        <w:rPr>
          <w:rFonts w:ascii="Times New Roman" w:hAnsi="Times New Roman"/>
          <w:szCs w:val="24"/>
        </w:rPr>
      </w:pPr>
      <w:r>
        <w:rPr>
          <w:rFonts w:ascii="Times New Roman" w:hAnsi="Times New Roman"/>
        </w:rPr>
        <w:t>En ce qui concerne les subventions aux combustibles fossiles, un appel urgent est lancé pour mettre un terme à toutes les subventions directes et indirectes aux combustibles fossiles, tant au niveau de l’UE qu’au niveau national, «dès que possible et au plus tard en 2025», ainsi qu’aux autres subventions préjudiciables à l’environnement dès que possible et au plus tard en 2027.</w:t>
      </w:r>
    </w:p>
    <w:p w14:paraId="77CC0497" w14:textId="77777777" w:rsidR="00074C5D" w:rsidRPr="00074C5D" w:rsidRDefault="00074C5D" w:rsidP="00074C5D">
      <w:pPr>
        <w:widowControl w:val="0"/>
        <w:spacing w:after="120"/>
        <w:rPr>
          <w:rFonts w:ascii="Times New Roman" w:hAnsi="Times New Roman"/>
        </w:rPr>
      </w:pPr>
      <w:r>
        <w:rPr>
          <w:rFonts w:ascii="Times New Roman" w:hAnsi="Times New Roman"/>
        </w:rPr>
        <w:t>En outre, le Parlement européen invite toutes les parties à communiquer en 2025 une contribution déterminée au niveau national (CDN) pour 2035 qui se fonde sur la décision de la COP26 concernant des délais communs.</w:t>
      </w:r>
    </w:p>
    <w:p w14:paraId="68D91E7F" w14:textId="77777777" w:rsidR="00074C5D" w:rsidRPr="00074C5D" w:rsidRDefault="00074C5D" w:rsidP="00074C5D">
      <w:pPr>
        <w:widowControl w:val="0"/>
        <w:spacing w:after="120"/>
        <w:rPr>
          <w:rFonts w:ascii="Times New Roman" w:hAnsi="Times New Roman"/>
          <w:b/>
          <w:bCs/>
          <w:szCs w:val="24"/>
        </w:rPr>
      </w:pPr>
      <w:r>
        <w:rPr>
          <w:rFonts w:ascii="Times New Roman" w:hAnsi="Times New Roman"/>
          <w:b/>
        </w:rPr>
        <w:t>2. Financement international de la lutte contre le changement climatique et finance durable</w:t>
      </w:r>
    </w:p>
    <w:p w14:paraId="6C73E1E6" w14:textId="77777777" w:rsidR="00074C5D" w:rsidRPr="00074C5D" w:rsidRDefault="00074C5D" w:rsidP="00074C5D">
      <w:pPr>
        <w:widowControl w:val="0"/>
        <w:spacing w:after="120"/>
        <w:rPr>
          <w:rFonts w:ascii="Times New Roman" w:hAnsi="Times New Roman"/>
        </w:rPr>
      </w:pPr>
      <w:r>
        <w:rPr>
          <w:rFonts w:ascii="Times New Roman" w:hAnsi="Times New Roman"/>
        </w:rPr>
        <w:t>Le Parlement européen invite les pays développés, y compris l’Union et ses États membres, à veiller à ce que l’objectif annuel de financement de la lutte contre le changement climatique de 100 milliards de dollars soit atteint et à travailler à la définition d’un objectif ambitieux pour l’après-2025.</w:t>
      </w:r>
    </w:p>
    <w:p w14:paraId="34AE26BF" w14:textId="77777777" w:rsidR="00074C5D" w:rsidRPr="00074C5D" w:rsidRDefault="00074C5D" w:rsidP="00074C5D">
      <w:pPr>
        <w:widowControl w:val="0"/>
        <w:spacing w:after="120"/>
        <w:rPr>
          <w:rFonts w:ascii="Times New Roman" w:hAnsi="Times New Roman"/>
          <w:szCs w:val="24"/>
        </w:rPr>
      </w:pPr>
      <w:r>
        <w:rPr>
          <w:rFonts w:ascii="Times New Roman" w:hAnsi="Times New Roman"/>
        </w:rPr>
        <w:t>En outre, le Parlement a souligné la nécessité d’intensifier les mesures d’adaptation tant au sein de l’Union qu’à l’échelle mondiale et invite toutes les parties à mettre à jour leurs CDN afin d’y inclure une solide composante d’adaptation. L’objectif mondial en matière d’adaptation est considéré comme très important, et les parties sont invitées à renforcer leurs engagements et à présenter une feuille de route définitive en vue d’un objectif commun consistant à doubler le financement de l’adaptation d’ici à 2025.</w:t>
      </w:r>
    </w:p>
    <w:p w14:paraId="18114056" w14:textId="77777777" w:rsidR="00074C5D" w:rsidRPr="00074C5D" w:rsidRDefault="00074C5D" w:rsidP="00074C5D">
      <w:pPr>
        <w:widowControl w:val="0"/>
        <w:spacing w:after="120"/>
        <w:rPr>
          <w:rFonts w:ascii="Times New Roman" w:hAnsi="Times New Roman"/>
          <w:szCs w:val="24"/>
        </w:rPr>
      </w:pPr>
      <w:r>
        <w:rPr>
          <w:rFonts w:ascii="Times New Roman" w:hAnsi="Times New Roman"/>
        </w:rPr>
        <w:t xml:space="preserve">À cet égard, la Commission et les États membres sont invités à définir des pistes concrètes pour accroître leur financement de l’adaptation d’ici à 2025, y compris en </w:t>
      </w:r>
      <w:r>
        <w:rPr>
          <w:rFonts w:ascii="Times New Roman" w:hAnsi="Times New Roman"/>
        </w:rPr>
        <w:lastRenderedPageBreak/>
        <w:t>utilisant le budget de l’Union.</w:t>
      </w:r>
    </w:p>
    <w:p w14:paraId="68DDD9A3" w14:textId="77777777" w:rsidR="00074C5D" w:rsidRPr="00074C5D" w:rsidRDefault="00074C5D" w:rsidP="00074C5D">
      <w:pPr>
        <w:widowControl w:val="0"/>
        <w:spacing w:after="120"/>
        <w:rPr>
          <w:rFonts w:ascii="Times New Roman" w:hAnsi="Times New Roman"/>
          <w:szCs w:val="24"/>
        </w:rPr>
      </w:pPr>
      <w:r>
        <w:rPr>
          <w:rFonts w:ascii="Times New Roman" w:hAnsi="Times New Roman"/>
        </w:rPr>
        <w:t>Le Parlement invite également les parties à entreprendre les travaux nécessaires pour concrétiser et mettre en œuvre intégralement la décision de Charm el</w:t>
      </w:r>
      <w:r>
        <w:rPr>
          <w:rFonts w:ascii="Times New Roman" w:hAnsi="Times New Roman"/>
        </w:rPr>
        <w:noBreakHyphen/>
        <w:t>Cheikh sur la mise en place de nouvelles modalités de financement des pertes et préjudices, y compris un fonds. En particulier, la Commission et les États membres sont invités à consacrer une part des recettes du système d’échange de quotas d’émission (SEQE) au financement des pertes et préjudices.</w:t>
      </w:r>
    </w:p>
    <w:p w14:paraId="21F33D79" w14:textId="77777777" w:rsidR="00074C5D" w:rsidRPr="00074C5D" w:rsidRDefault="00074C5D" w:rsidP="00074C5D">
      <w:pPr>
        <w:keepNext/>
        <w:keepLines/>
        <w:spacing w:after="120"/>
        <w:rPr>
          <w:rFonts w:ascii="Times New Roman" w:hAnsi="Times New Roman"/>
          <w:b/>
          <w:bCs/>
          <w:szCs w:val="24"/>
        </w:rPr>
      </w:pPr>
      <w:r>
        <w:rPr>
          <w:rFonts w:ascii="Times New Roman" w:hAnsi="Times New Roman"/>
          <w:b/>
        </w:rPr>
        <w:t>3. Participation des parties prenantes à la COP28</w:t>
      </w:r>
    </w:p>
    <w:p w14:paraId="0B8A1D15" w14:textId="77777777" w:rsidR="00074C5D" w:rsidRPr="00074C5D" w:rsidRDefault="00074C5D" w:rsidP="00074C5D">
      <w:pPr>
        <w:keepNext/>
        <w:keepLines/>
        <w:spacing w:after="120"/>
        <w:rPr>
          <w:rFonts w:ascii="Times New Roman" w:hAnsi="Times New Roman"/>
          <w:szCs w:val="24"/>
        </w:rPr>
      </w:pPr>
      <w:r>
        <w:rPr>
          <w:rFonts w:ascii="Times New Roman" w:hAnsi="Times New Roman"/>
        </w:rPr>
        <w:t>En ce qui concerne la participation des parties prenantes, le secrétariat de la convention-cadre des Nations unies sur les changements climatiques (CCNUCC) est invité à élaborer des critères en matière de droits de l’homme que les pays qui accueilleront de futures COP doivent s’engager à respecter dans le cadre de la convention d’accueil. En outre, la résolution exprime son inquiétude quant à la nomination du Sultan Al Jaber à la présidence de la COP 28, entre autres, car cela constitue un risque sérieux de conflit d’intérêts.</w:t>
      </w:r>
    </w:p>
    <w:p w14:paraId="4C8A651A" w14:textId="77777777" w:rsidR="00074C5D" w:rsidRPr="00074C5D" w:rsidRDefault="00074C5D" w:rsidP="00074C5D">
      <w:pPr>
        <w:widowControl w:val="0"/>
        <w:spacing w:after="120"/>
        <w:rPr>
          <w:rFonts w:ascii="Times New Roman" w:hAnsi="Times New Roman"/>
          <w:b/>
          <w:bCs/>
          <w:szCs w:val="24"/>
        </w:rPr>
      </w:pPr>
      <w:r>
        <w:rPr>
          <w:rFonts w:ascii="Times New Roman" w:hAnsi="Times New Roman"/>
          <w:b/>
        </w:rPr>
        <w:t>4. Une politique et des efforts ambitieux de l’UE en matière de climat dans tous les secteurs</w:t>
      </w:r>
    </w:p>
    <w:p w14:paraId="7455724E" w14:textId="77777777" w:rsidR="00074C5D" w:rsidRPr="00074C5D" w:rsidRDefault="00074C5D" w:rsidP="00074C5D">
      <w:pPr>
        <w:widowControl w:val="0"/>
        <w:spacing w:after="120"/>
        <w:rPr>
          <w:rFonts w:ascii="Times New Roman" w:hAnsi="Times New Roman"/>
        </w:rPr>
      </w:pPr>
      <w:r>
        <w:rPr>
          <w:rFonts w:ascii="Times New Roman" w:hAnsi="Times New Roman"/>
        </w:rPr>
        <w:t>Le Parlement européen invite la Commission à publier, au début de l’année 2024, sa recommandation concernant les objectifs de l’Union pour l’après-2030 étayée par une analyse d’impact et à adopter sa proposition en conformité avec la loi européenne sur le climat, en tenant compte, d’une part, de la décision de la COP26 concernant les calendriers communs et, d’autre part, des recommandations du conseil scientifique consultatif européen sur le changement climatique (ESABCC).</w:t>
      </w:r>
    </w:p>
    <w:p w14:paraId="0D0F0EB4" w14:textId="77777777" w:rsidR="00074C5D" w:rsidRPr="00074C5D" w:rsidRDefault="00074C5D" w:rsidP="00074C5D">
      <w:pPr>
        <w:widowControl w:val="0"/>
        <w:spacing w:after="120"/>
        <w:rPr>
          <w:rFonts w:ascii="Times New Roman" w:hAnsi="Times New Roman"/>
        </w:rPr>
      </w:pPr>
      <w:r>
        <w:rPr>
          <w:rFonts w:ascii="Times New Roman" w:hAnsi="Times New Roman"/>
        </w:rPr>
        <w:t>La résolution se félicite aussi de la coopération en matière de mécanismes de tarification du carbone, mais invite la Commission à établir à cet égard des mesures de sauvegarde en vue de garantir que tout lien avec le SEQE de l’UE continuera à apporter une contribution supplémentaire et durable en matière d’atténuation et ne compromettra pas les engagements de l’Union à l’échelle mondiale en ce qui concerne les émissions internes de gaz à effet de serre.</w:t>
      </w:r>
    </w:p>
    <w:p w14:paraId="15B3C651" w14:textId="77777777" w:rsidR="00074C5D" w:rsidRPr="00074C5D" w:rsidRDefault="00074C5D" w:rsidP="00074C5D">
      <w:pPr>
        <w:widowControl w:val="0"/>
        <w:spacing w:after="120"/>
        <w:rPr>
          <w:rFonts w:ascii="Times New Roman" w:hAnsi="Times New Roman"/>
          <w:szCs w:val="24"/>
        </w:rPr>
      </w:pPr>
      <w:r>
        <w:rPr>
          <w:rFonts w:ascii="Times New Roman" w:hAnsi="Times New Roman"/>
        </w:rPr>
        <w:t>Le Parlement européen et ses députés rappellent que les crises du climat et de la biodiversité sont étroitement liées et que les objectifs de l’accord de Paris ne peuvent être atteints sans restaurer la nature.</w:t>
      </w:r>
    </w:p>
    <w:p w14:paraId="2CCBCA5F" w14:textId="77777777" w:rsidR="00074C5D" w:rsidRPr="00074C5D" w:rsidRDefault="00074C5D" w:rsidP="00074C5D">
      <w:pPr>
        <w:widowControl w:val="0"/>
        <w:spacing w:after="120"/>
        <w:rPr>
          <w:rFonts w:ascii="Times New Roman" w:hAnsi="Times New Roman"/>
          <w:szCs w:val="24"/>
        </w:rPr>
      </w:pPr>
      <w:r>
        <w:rPr>
          <w:rFonts w:ascii="Times New Roman" w:hAnsi="Times New Roman"/>
        </w:rPr>
        <w:t>Ils soulignent l’importance de la protection, de la conservation et de la restauration de la biodiversité, en particulier des sols, des forêts, des écosystèmes agricoles, des masses d’eau douce et des océans.</w:t>
      </w:r>
    </w:p>
    <w:p w14:paraId="211F7A27" w14:textId="77777777" w:rsidR="00074C5D" w:rsidRPr="00074C5D" w:rsidRDefault="00074C5D" w:rsidP="00074C5D">
      <w:pPr>
        <w:widowControl w:val="0"/>
        <w:spacing w:after="120"/>
        <w:rPr>
          <w:rFonts w:ascii="Times New Roman" w:hAnsi="Times New Roman"/>
          <w:b/>
          <w:bCs/>
        </w:rPr>
      </w:pPr>
      <w:r>
        <w:rPr>
          <w:rFonts w:ascii="Times New Roman" w:hAnsi="Times New Roman"/>
        </w:rPr>
        <w:t>Un appel est lancé à la Commission pour qu’elle développe la cartographie des écosystèmes à teneur élevée en carbone et poursuive ses travaux sur l’identification de méthodes solides, transparentes et fondées sur des données scientifiques pour la comptabilisation correcte des absorptions et émissions de carbone.</w:t>
      </w:r>
    </w:p>
    <w:p w14:paraId="4F9DE343" w14:textId="77777777" w:rsidR="00074C5D" w:rsidRPr="00074C5D" w:rsidRDefault="00074C5D" w:rsidP="00074C5D">
      <w:pPr>
        <w:numPr>
          <w:ilvl w:val="0"/>
          <w:numId w:val="27"/>
        </w:numPr>
        <w:ind w:left="567" w:hanging="567"/>
        <w:rPr>
          <w:rFonts w:ascii="Times New Roman" w:hAnsi="Times New Roman"/>
          <w:szCs w:val="24"/>
        </w:rPr>
      </w:pPr>
      <w:r>
        <w:rPr>
          <w:rFonts w:ascii="Times New Roman" w:hAnsi="Times New Roman"/>
          <w:b/>
        </w:rPr>
        <w:t>Réponse à ces demandes et aperçu des mesures que la Commission a prises ou envisage de prendre</w:t>
      </w:r>
    </w:p>
    <w:p w14:paraId="77246AE9" w14:textId="77777777" w:rsidR="00074C5D" w:rsidRPr="00074C5D" w:rsidRDefault="00074C5D" w:rsidP="00074C5D">
      <w:pPr>
        <w:widowControl w:val="0"/>
        <w:spacing w:after="120"/>
        <w:rPr>
          <w:rFonts w:ascii="Times New Roman" w:hAnsi="Times New Roman"/>
          <w:szCs w:val="24"/>
        </w:rPr>
      </w:pPr>
      <w:r>
        <w:rPr>
          <w:rFonts w:ascii="Times New Roman" w:hAnsi="Times New Roman"/>
        </w:rPr>
        <w:t>Les conclusions du Conseil des affaires étrangères de mars 2023 sur la diplomatie climatique et énergétique soulignent la détermination de l’UE à travailler avec ses partenaires internationaux pour mettre en œuvre l’accord de Paris, limiter l’augmentation de la température mondiale à 1,5 °C par rapport aux niveaux préindustriels, aider les pays les plus vulnérables à s’adapter aux effets du changement climatique et accroître le financement collectif de la lutte contre le changement climatique.</w:t>
      </w:r>
    </w:p>
    <w:p w14:paraId="4B266A39" w14:textId="59D35128" w:rsidR="00074C5D" w:rsidRPr="00074C5D" w:rsidRDefault="00074C5D" w:rsidP="00074C5D">
      <w:pPr>
        <w:widowControl w:val="0"/>
        <w:spacing w:after="120"/>
        <w:rPr>
          <w:rFonts w:ascii="Times New Roman" w:hAnsi="Times New Roman"/>
          <w:szCs w:val="24"/>
        </w:rPr>
      </w:pPr>
      <w:r>
        <w:rPr>
          <w:rFonts w:ascii="Times New Roman" w:hAnsi="Times New Roman"/>
        </w:rPr>
        <w:lastRenderedPageBreak/>
        <w:t>En octobre 2023, le Conseil «Environnement» a adopté des conclusions sur la préparation de la COP 28, qui mettent en évidence des éléments liés à l’objectif de 1,5 °C fixé à Paris, à l’élimination progressive des combustibles fossiles sans dispositif d’atténuation et des subventions en faveur des combustibles fossiles, ainsi qu’aux objectifs mondiaux en matière d’efficacité énergétique et d’énergies renouvelables. Il souligne également l’importance du premier bilan mondial et l’engagement pris par l’UE et ses États membres de continuer à accroître le financement international de la lutte contre le changement climatique. Les conclusions préconisent également des solutions susceptibles de faire face simultanément à plusieurs crises, y compris des solutions fondées sur la nature.</w:t>
      </w:r>
    </w:p>
    <w:p w14:paraId="1BC5F708" w14:textId="77777777" w:rsidR="00074C5D" w:rsidRPr="00074C5D" w:rsidRDefault="00074C5D" w:rsidP="00074C5D">
      <w:pPr>
        <w:widowControl w:val="0"/>
        <w:spacing w:after="120"/>
        <w:rPr>
          <w:rFonts w:ascii="Times New Roman" w:hAnsi="Times New Roman"/>
          <w:szCs w:val="24"/>
        </w:rPr>
      </w:pPr>
      <w:r>
        <w:rPr>
          <w:rFonts w:ascii="Times New Roman" w:hAnsi="Times New Roman"/>
          <w:b/>
        </w:rPr>
        <w:t>Le premier bilan mondial</w:t>
      </w:r>
    </w:p>
    <w:p w14:paraId="14A2BE15" w14:textId="77777777" w:rsidR="00074C5D" w:rsidRPr="00074C5D" w:rsidRDefault="00074C5D" w:rsidP="00074C5D">
      <w:pPr>
        <w:widowControl w:val="0"/>
        <w:spacing w:after="120"/>
        <w:rPr>
          <w:rFonts w:ascii="Times New Roman" w:hAnsi="Times New Roman"/>
          <w:szCs w:val="24"/>
        </w:rPr>
      </w:pPr>
      <w:r>
        <w:rPr>
          <w:rFonts w:ascii="Times New Roman" w:hAnsi="Times New Roman"/>
        </w:rPr>
        <w:t>[En réponse aux paragraphes 8 et 56.] Le 20 avril 2023, la présidente von der Leyen a lancé des discussions sur une nouvelle initiative visant à atteindre des objectifs mondiaux en matière d’efficacité énergétique et d’énergies renouvelables. Dans la perspective de la COP 28, l’UE et ses États membres sont également convenus que les objectifs devaient aller de pair avec les économies d’énergie et la suppression progressive de la production et de la consommation d’énergie à partir de combustibles fossiles.</w:t>
      </w:r>
    </w:p>
    <w:p w14:paraId="4262ECBE" w14:textId="77777777" w:rsidR="00074C5D" w:rsidRPr="00074C5D" w:rsidRDefault="00074C5D" w:rsidP="00074C5D">
      <w:pPr>
        <w:widowControl w:val="0"/>
        <w:spacing w:after="120"/>
        <w:rPr>
          <w:rFonts w:ascii="Times New Roman" w:hAnsi="Times New Roman"/>
          <w:szCs w:val="24"/>
        </w:rPr>
      </w:pPr>
      <w:r>
        <w:rPr>
          <w:rFonts w:ascii="Times New Roman" w:hAnsi="Times New Roman"/>
        </w:rPr>
        <w:t>La présidente Ursula von der Leyen a lancé, avec la présidence de la COP 28 des Émirats arabes unis, un engagement mondial en faveur des énergies renouvelables et de l’efficacité énergétique lors de la COP 28. 132 pays ont adhéré à cette initiative.</w:t>
      </w:r>
    </w:p>
    <w:p w14:paraId="682108F1" w14:textId="77777777" w:rsidR="00074C5D" w:rsidRPr="00074C5D" w:rsidRDefault="00074C5D" w:rsidP="00074C5D">
      <w:pPr>
        <w:widowControl w:val="0"/>
        <w:spacing w:after="120"/>
        <w:rPr>
          <w:rFonts w:ascii="Times New Roman" w:hAnsi="Times New Roman"/>
        </w:rPr>
      </w:pPr>
      <w:r>
        <w:rPr>
          <w:rFonts w:ascii="Times New Roman" w:hAnsi="Times New Roman"/>
        </w:rPr>
        <w:t>La décision de la COP28/CMA5 reflète cette ambition dans la mesure où elle invite les parties à contribuer aux efforts suivants au niveau mondial:</w:t>
      </w:r>
    </w:p>
    <w:p w14:paraId="5660F02C" w14:textId="77777777" w:rsidR="00074C5D" w:rsidRPr="00074C5D" w:rsidRDefault="00074C5D" w:rsidP="00074C5D">
      <w:pPr>
        <w:widowControl w:val="0"/>
        <w:numPr>
          <w:ilvl w:val="0"/>
          <w:numId w:val="35"/>
        </w:numPr>
        <w:spacing w:after="120"/>
        <w:rPr>
          <w:rFonts w:ascii="Times New Roman" w:hAnsi="Times New Roman"/>
        </w:rPr>
      </w:pPr>
      <w:r>
        <w:rPr>
          <w:rFonts w:ascii="Times New Roman" w:hAnsi="Times New Roman"/>
        </w:rPr>
        <w:t>tripler la capacité mondiale d’énergie renouvelable et doubler le taux annuel moyen mondial d’amélioration de l’efficacité énergétique d’ici à 2030;</w:t>
      </w:r>
    </w:p>
    <w:p w14:paraId="5FEAB408" w14:textId="77777777" w:rsidR="00074C5D" w:rsidRPr="00074C5D" w:rsidRDefault="00074C5D" w:rsidP="00074C5D">
      <w:pPr>
        <w:widowControl w:val="0"/>
        <w:numPr>
          <w:ilvl w:val="0"/>
          <w:numId w:val="35"/>
        </w:numPr>
        <w:spacing w:after="120"/>
        <w:ind w:left="714" w:hanging="357"/>
        <w:rPr>
          <w:rFonts w:ascii="Times New Roman" w:hAnsi="Times New Roman"/>
        </w:rPr>
      </w:pPr>
      <w:r>
        <w:rPr>
          <w:rFonts w:ascii="Times New Roman" w:hAnsi="Times New Roman"/>
        </w:rPr>
        <w:t>accélérer les efforts en vue de la réduction progressive de l’électricité produite à partir du charbon sans dispositif d’atténuation;</w:t>
      </w:r>
    </w:p>
    <w:p w14:paraId="4A096DE6" w14:textId="77777777" w:rsidR="00074C5D" w:rsidRPr="00074C5D" w:rsidRDefault="00074C5D" w:rsidP="00074C5D">
      <w:pPr>
        <w:widowControl w:val="0"/>
        <w:numPr>
          <w:ilvl w:val="0"/>
          <w:numId w:val="35"/>
        </w:numPr>
        <w:spacing w:after="120"/>
        <w:ind w:left="714" w:hanging="357"/>
        <w:rPr>
          <w:rFonts w:ascii="Times New Roman" w:hAnsi="Times New Roman"/>
        </w:rPr>
      </w:pPr>
      <w:r>
        <w:rPr>
          <w:rFonts w:ascii="Times New Roman" w:hAnsi="Times New Roman"/>
        </w:rPr>
        <w:t>accélérer les efforts mondiaux en faveur de systèmes énergétiques à zéro émission nette, en utilisant des carburants à émissions de carbone nulles ou à faible teneur en carbone bien avant ou vers le milieu du siècle;</w:t>
      </w:r>
    </w:p>
    <w:p w14:paraId="66C9E5F9" w14:textId="77777777" w:rsidR="00074C5D" w:rsidRPr="00074C5D" w:rsidRDefault="00074C5D" w:rsidP="00074C5D">
      <w:pPr>
        <w:widowControl w:val="0"/>
        <w:numPr>
          <w:ilvl w:val="0"/>
          <w:numId w:val="35"/>
        </w:numPr>
        <w:spacing w:after="120"/>
        <w:ind w:left="714" w:hanging="357"/>
        <w:rPr>
          <w:rFonts w:ascii="Times New Roman" w:hAnsi="Times New Roman"/>
        </w:rPr>
      </w:pPr>
      <w:r>
        <w:rPr>
          <w:rFonts w:ascii="Times New Roman" w:hAnsi="Times New Roman"/>
        </w:rPr>
        <w:t>assurer une transition pour s’éloigner des combustibles fossiles dans les systèmes énergétiques, d’une manière juste, ordonnée et équitable, en accélérant l’action au cours de cette décennie critique, de manière à atteindre l’objectif de zéro émission nette d’ici à 2050;</w:t>
      </w:r>
    </w:p>
    <w:p w14:paraId="6A885DFE" w14:textId="77777777" w:rsidR="00074C5D" w:rsidRPr="00074C5D" w:rsidRDefault="00074C5D" w:rsidP="00074C5D">
      <w:pPr>
        <w:widowControl w:val="0"/>
        <w:numPr>
          <w:ilvl w:val="0"/>
          <w:numId w:val="35"/>
        </w:numPr>
        <w:spacing w:after="120"/>
        <w:ind w:left="714" w:hanging="357"/>
        <w:rPr>
          <w:rFonts w:ascii="Times New Roman" w:hAnsi="Times New Roman"/>
        </w:rPr>
      </w:pPr>
      <w:r>
        <w:rPr>
          <w:rFonts w:ascii="Times New Roman" w:hAnsi="Times New Roman"/>
        </w:rPr>
        <w:t>accélérer les technologies à zéro émission nette ou à faibles émissions, y compris les énergies renouvelables, le nucléaire, les technologies de réduction et d’élimination, comme le captage et le stockage du CO</w:t>
      </w:r>
      <w:r>
        <w:rPr>
          <w:rFonts w:ascii="Times New Roman" w:hAnsi="Times New Roman"/>
          <w:vertAlign w:val="subscript"/>
        </w:rPr>
        <w:t>2</w:t>
      </w:r>
      <w:r>
        <w:rPr>
          <w:rFonts w:ascii="Times New Roman" w:hAnsi="Times New Roman"/>
        </w:rPr>
        <w:t>, en particulier dans les secteurs où il est difficile de réduire les émissions, et la production d’hydrogène à faible teneur en carbone;</w:t>
      </w:r>
    </w:p>
    <w:p w14:paraId="0C8ABFA1" w14:textId="77777777" w:rsidR="00074C5D" w:rsidRPr="00074C5D" w:rsidRDefault="00074C5D" w:rsidP="00074C5D">
      <w:pPr>
        <w:widowControl w:val="0"/>
        <w:numPr>
          <w:ilvl w:val="0"/>
          <w:numId w:val="35"/>
        </w:numPr>
        <w:spacing w:after="120"/>
        <w:ind w:left="714" w:hanging="357"/>
        <w:rPr>
          <w:rFonts w:ascii="Times New Roman" w:hAnsi="Times New Roman"/>
        </w:rPr>
      </w:pPr>
      <w:r>
        <w:rPr>
          <w:rFonts w:ascii="Times New Roman" w:hAnsi="Times New Roman"/>
        </w:rPr>
        <w:t>accélérer la réduction sensible des émissions autres que de dioxyde de carbone à l’échelle mondiale, et en particulier les émissions de méthane d’ici à 2030;</w:t>
      </w:r>
    </w:p>
    <w:p w14:paraId="41E63B9C" w14:textId="77777777" w:rsidR="00074C5D" w:rsidRPr="00074C5D" w:rsidRDefault="00074C5D" w:rsidP="00074C5D">
      <w:pPr>
        <w:widowControl w:val="0"/>
        <w:numPr>
          <w:ilvl w:val="0"/>
          <w:numId w:val="35"/>
        </w:numPr>
        <w:spacing w:after="120"/>
        <w:ind w:left="714" w:hanging="357"/>
        <w:rPr>
          <w:rFonts w:ascii="Times New Roman" w:hAnsi="Times New Roman"/>
        </w:rPr>
      </w:pPr>
      <w:r>
        <w:rPr>
          <w:rFonts w:ascii="Times New Roman" w:hAnsi="Times New Roman"/>
        </w:rPr>
        <w:t>accélérer la réduction des émissions du transport routier selon plusieurs axes, y compris le développement d’infrastructures et le déploiement rapide de véhicules à émission nulle ou à faibles émissions;</w:t>
      </w:r>
    </w:p>
    <w:p w14:paraId="3889AB63" w14:textId="77777777" w:rsidR="00074C5D" w:rsidRPr="00074C5D" w:rsidRDefault="00074C5D" w:rsidP="00074C5D">
      <w:pPr>
        <w:widowControl w:val="0"/>
        <w:numPr>
          <w:ilvl w:val="0"/>
          <w:numId w:val="35"/>
        </w:numPr>
        <w:spacing w:after="120"/>
        <w:ind w:left="714" w:hanging="357"/>
        <w:rPr>
          <w:rFonts w:ascii="Times New Roman" w:hAnsi="Times New Roman"/>
        </w:rPr>
      </w:pPr>
      <w:r>
        <w:rPr>
          <w:rFonts w:ascii="Times New Roman" w:hAnsi="Times New Roman"/>
        </w:rPr>
        <w:t>éliminer progressivement les subventions inefficaces aux combustibles fossiles qui ne ciblent pas la précarité énergétique ni les transitions justes, dès que possible;</w:t>
      </w:r>
    </w:p>
    <w:p w14:paraId="1480B508" w14:textId="77777777" w:rsidR="00074C5D" w:rsidRPr="00074C5D" w:rsidRDefault="00074C5D" w:rsidP="00074C5D">
      <w:pPr>
        <w:widowControl w:val="0"/>
        <w:numPr>
          <w:ilvl w:val="0"/>
          <w:numId w:val="35"/>
        </w:numPr>
        <w:spacing w:after="120"/>
        <w:ind w:left="714" w:hanging="357"/>
        <w:rPr>
          <w:rFonts w:ascii="Times New Roman" w:hAnsi="Times New Roman"/>
        </w:rPr>
      </w:pPr>
      <w:r>
        <w:rPr>
          <w:rFonts w:ascii="Times New Roman" w:hAnsi="Times New Roman"/>
        </w:rPr>
        <w:t xml:space="preserve"> renforcer les actions de protection, de conservation, de restauration et de gestion </w:t>
      </w:r>
      <w:r>
        <w:rPr>
          <w:rFonts w:ascii="Times New Roman" w:hAnsi="Times New Roman"/>
        </w:rPr>
        <w:lastRenderedPageBreak/>
        <w:t>et utilisation durables des écosystèmes.</w:t>
      </w:r>
    </w:p>
    <w:p w14:paraId="28ADB2FF" w14:textId="0071919C" w:rsidR="00074C5D" w:rsidRPr="00074C5D" w:rsidRDefault="00074C5D" w:rsidP="00074C5D">
      <w:pPr>
        <w:widowControl w:val="0"/>
        <w:spacing w:after="120"/>
        <w:rPr>
          <w:rFonts w:ascii="Times New Roman" w:hAnsi="Times New Roman"/>
        </w:rPr>
      </w:pPr>
      <w:r>
        <w:rPr>
          <w:rFonts w:ascii="Times New Roman" w:hAnsi="Times New Roman"/>
        </w:rPr>
        <w:t>[En réponse aux paragraphes 73 et 74.] La présidente von der Leyen a annoncé que l’UE investirait 2,3 milliards d’euros provenant du budget de l’UE pour soutenir la transition énergétique dans le voisinage européen et dans le monde au cours des deux prochaines années. Elle a également annoncé un soutien financier de 175 millions d’euros de la part de l’UE et de ses États membres pour réduire les émissions de méthane dans les pays en développement. Ce montant correspond aux 12 millions d’euros destinés aux agences des Nations unies en tant que partenaires clés et au secrétariat de l’engagement mondial concernant le méthane, aux 15 millions d’euros destinés à la recherche internationale sur le méthane dans le cadre du programme Horizon Europe de la Commission, aux 15 millions d’euros supplémentaires pour développer une architecture financière internationale soutenant tous les participants à l’engagement mondial concernant le méthane et aux 133 millions d’euros pour des actions développées avec des pays partenaires depuis la COP27 qui ont un potentiel élevé de réduction des émissions de méthane dans les déchets, l’agriculture et le secteur de l’énergie.</w:t>
      </w:r>
    </w:p>
    <w:p w14:paraId="2AB8B83B" w14:textId="77777777" w:rsidR="00074C5D" w:rsidRPr="00074C5D" w:rsidRDefault="00074C5D" w:rsidP="00074C5D">
      <w:pPr>
        <w:widowControl w:val="0"/>
        <w:spacing w:after="120"/>
        <w:rPr>
          <w:rFonts w:ascii="Times New Roman" w:hAnsi="Times New Roman"/>
          <w:b/>
          <w:bCs/>
          <w:szCs w:val="24"/>
        </w:rPr>
      </w:pPr>
      <w:r>
        <w:rPr>
          <w:rFonts w:ascii="Times New Roman" w:hAnsi="Times New Roman"/>
          <w:b/>
        </w:rPr>
        <w:t xml:space="preserve">Financement international de la lutte contre le changement climatique et finance durable </w:t>
      </w:r>
    </w:p>
    <w:p w14:paraId="0B806FE0" w14:textId="77777777" w:rsidR="00074C5D" w:rsidRPr="00074C5D" w:rsidRDefault="00074C5D" w:rsidP="00074C5D">
      <w:pPr>
        <w:widowControl w:val="0"/>
        <w:spacing w:after="120"/>
        <w:rPr>
          <w:rFonts w:ascii="Times New Roman" w:hAnsi="Times New Roman"/>
        </w:rPr>
      </w:pPr>
      <w:r>
        <w:rPr>
          <w:rFonts w:ascii="Times New Roman" w:hAnsi="Times New Roman"/>
        </w:rPr>
        <w:t>[En réponse aux paragraphes 45 et 48.] La décision de la COP28/CMA5 reconnaît que les délibérations relatives à l’ampleur et aux éléments du nouvel objectif collectif quantifié en matière de financement de la lutte contre le changement climatique pourraient tenir compte de la nécessité urgente d’appuyer, entre autres, la mise en œuvre des contributions déterminées au niveau national et des plans nationaux d’adaptation, d’accroître l’ambition et d’accélérer l’action, en tenant compte de l’évolution des besoins des pays en développement parties, et de la possibilité de mobiliser des financements à partir d’un large éventail de sources, d’instruments et de canaux. Cela passe aussi par un avancement de la réforme de l’architecture financière internationale, afin que cette architecture soit adaptée à la nécessité de faire face à l’urgence climatique.</w:t>
      </w:r>
    </w:p>
    <w:p w14:paraId="59509FF1" w14:textId="77777777" w:rsidR="00074C5D" w:rsidRPr="00074C5D" w:rsidRDefault="00074C5D" w:rsidP="00074C5D">
      <w:pPr>
        <w:widowControl w:val="0"/>
        <w:spacing w:after="120"/>
        <w:rPr>
          <w:rFonts w:ascii="Times New Roman" w:hAnsi="Times New Roman"/>
        </w:rPr>
      </w:pPr>
      <w:r>
        <w:rPr>
          <w:rFonts w:ascii="Times New Roman" w:hAnsi="Times New Roman"/>
        </w:rPr>
        <w:t>En 2022, l’Union européenne et ses 27 États membres ont contribué au financement de la lutte contre le changement climatique à partir de sources publiques à hauteur de 28,5 milliards d’euros. Plus de la moitié de ce montant était consacré soit à l’adaptation au changement climatique, soit à des actions transversales (portant à la fois sur l’atténuation du changement climatique et sur l’adaptation à celui-ci). Un montant supplémentaire de 11,9 milliards d’euros de financement provenant de sources privées a été mobilisé pour aider les pays en développement à réduire leurs émissions de gaz à effet de serre et à s’adapter aux effets du changement climatique.</w:t>
      </w:r>
    </w:p>
    <w:p w14:paraId="0514C9E7" w14:textId="77777777" w:rsidR="00074C5D" w:rsidRPr="00074C5D" w:rsidRDefault="00074C5D" w:rsidP="00074C5D">
      <w:pPr>
        <w:widowControl w:val="0"/>
        <w:spacing w:after="120"/>
        <w:rPr>
          <w:rFonts w:ascii="Times New Roman" w:hAnsi="Times New Roman"/>
        </w:rPr>
      </w:pPr>
      <w:r>
        <w:rPr>
          <w:rFonts w:ascii="Times New Roman" w:hAnsi="Times New Roman"/>
        </w:rPr>
        <w:t>[En réponse au paragraphe 48.] Les contributions internationales de la Commission au financement de la lutte contre le changement climatique proviennent principalement de l’instrument de voisinage pour le développement et la coopération internationale (IVCDCI) — Europe dans le monde. Doté d’un budget total de 79,5 milliards d’euros, cet instrument est régi par le règlement (UE) 2021/947 adopté par le Parlement européen et le Conseil le 9 juin 2021. Le paragraphe 49 de ce règlement définit un objectif global de financement de la lutte contre le changement climatique de 30 % pour l’IVCDCI — Europe dans le monde. Cet objectif a encore été relevé par l’annonce de l’affectation d’un montant supplémentaire de 4 milliards d’euros au financement de la lutte contre le changement climatique faite par la présidente de la Commission, M</w:t>
      </w:r>
      <w:r>
        <w:rPr>
          <w:rFonts w:ascii="Times New Roman" w:hAnsi="Times New Roman"/>
          <w:vertAlign w:val="superscript"/>
        </w:rPr>
        <w:t>me</w:t>
      </w:r>
      <w:r>
        <w:rPr>
          <w:rFonts w:ascii="Times New Roman" w:hAnsi="Times New Roman"/>
        </w:rPr>
        <w:t xml:space="preserve"> von der Leyen, dans son discours sur l’état de l’Union de 2021. Comme le reconnaît le point 20 des conclusions du Conseil sur la diplomatie climatique de l’UE adoptées en 2022, cela équivaut à un objectif de dépenses liées au financement de la lutte contre le changement climatique de 35 %pour l’IVCDCI — L’Europe dans le monde au cours de la période 2021-2027.</w:t>
      </w:r>
    </w:p>
    <w:p w14:paraId="0992653C" w14:textId="77777777" w:rsidR="00074C5D" w:rsidRPr="00074C5D" w:rsidRDefault="00074C5D" w:rsidP="00074C5D">
      <w:pPr>
        <w:widowControl w:val="0"/>
        <w:spacing w:after="120"/>
        <w:rPr>
          <w:rFonts w:ascii="Times New Roman" w:hAnsi="Times New Roman"/>
        </w:rPr>
      </w:pPr>
      <w:r>
        <w:rPr>
          <w:rFonts w:ascii="Times New Roman" w:hAnsi="Times New Roman"/>
        </w:rPr>
        <w:lastRenderedPageBreak/>
        <w:t>[En réponse aux paragraphes 47 et 53.] La décision de la COP28/CMA5 indique que le financement de l’adaptation devra être considérablement augmenté au-delà du doublement, afin de répondre au besoin urgent et évolutif d’accélérer l’adaptation et de renforcer la résilience dans les pays en développement, compte tenu de la nécessité de disposer de ressources d’origine publique et sous forme de dons pour l’adaptation et d’explorer d’autres sources potentielles.</w:t>
      </w:r>
    </w:p>
    <w:p w14:paraId="504258C2" w14:textId="77777777" w:rsidR="00074C5D" w:rsidRPr="00074C5D" w:rsidRDefault="00074C5D" w:rsidP="00074C5D">
      <w:pPr>
        <w:widowControl w:val="0"/>
        <w:spacing w:after="120"/>
        <w:rPr>
          <w:rFonts w:ascii="Times New Roman" w:hAnsi="Times New Roman"/>
        </w:rPr>
      </w:pPr>
      <w:r>
        <w:rPr>
          <w:rFonts w:ascii="Times New Roman" w:hAnsi="Times New Roman"/>
        </w:rPr>
        <w:t>[En réponse au paragraphe 15.] En ce qui concerne l’objectif mondial en matière d’adaptation, la décision de la COP28/CMA5 souligne l’importance d’améliorer la capacité d’adaptation, de renforcer la résilience et de réduire la vulnérabilité au changement climatique. Elle affirme également que le cadre de l’objectif mondial en matière d’adaptation comprend des objectifs liés aux dimensions du cycle d’adaptation, depuis l’évaluation de l’impact, de la vulnérabilité et des risques jusqu’aux objectifs de mise en œuvre et de suivi, en passant par la planification.</w:t>
      </w:r>
    </w:p>
    <w:p w14:paraId="1C53D987" w14:textId="77777777" w:rsidR="00074C5D" w:rsidRPr="00074C5D" w:rsidRDefault="00074C5D" w:rsidP="00074C5D">
      <w:pPr>
        <w:widowControl w:val="0"/>
        <w:spacing w:after="120"/>
        <w:rPr>
          <w:rFonts w:ascii="Times New Roman" w:hAnsi="Times New Roman"/>
        </w:rPr>
      </w:pPr>
      <w:r>
        <w:rPr>
          <w:rFonts w:ascii="Times New Roman" w:hAnsi="Times New Roman"/>
        </w:rPr>
        <w:t>[En réponse au paragraphe 16.] La décision de la COP28/CMA5 exhorte les pays développés parties à établir, d’ici à 2025, un rapport sur le doublement, par rapport aux niveaux de 2019, de la fourniture collective de financements aux pays en développement parties pour l’adaptation au changement climatique, dans le cadre des efforts visant à trouver un équilibre entre atténuation et adaptation dans le contexte de la fourniture de ressources financières accrues.</w:t>
      </w:r>
    </w:p>
    <w:p w14:paraId="57CCDBB8" w14:textId="77777777" w:rsidR="00074C5D" w:rsidRPr="00074C5D" w:rsidRDefault="00074C5D" w:rsidP="00074C5D">
      <w:pPr>
        <w:widowControl w:val="0"/>
        <w:spacing w:after="120"/>
        <w:rPr>
          <w:rFonts w:ascii="Times New Roman" w:hAnsi="Times New Roman"/>
        </w:rPr>
      </w:pPr>
      <w:r>
        <w:rPr>
          <w:rFonts w:ascii="Times New Roman" w:hAnsi="Times New Roman"/>
        </w:rPr>
        <w:t>Ces dernières années, l’Union européenne et ses États membres ont également pris plusieurs mesures concrètes pour accroître leur financement de l’adaptation. En conséquence, en 2022, l’UE et ses États membres ont contribué au financement de la lutte contre le changement climatique à partir de sources publiques à hauteur de 28,5 milliards d’euros, ce qui fait de l’UE le premier pourvoyeur mondial de financement de la lutte contre le changement climatique. Plus de la moitié des financements fournis pour lutter contre le changement climatique sont consacrés soit à l’adaptation au changement climatique, soit à des actions transversales. Cela représente une augmentation substantielle de 9,5 milliards d’euros par rapport à la contribution de l’UE et de ses États membres en 2013.</w:t>
      </w:r>
    </w:p>
    <w:p w14:paraId="69160D37" w14:textId="77777777" w:rsidR="00074C5D" w:rsidRPr="00074C5D" w:rsidRDefault="00074C5D" w:rsidP="00074C5D">
      <w:pPr>
        <w:widowControl w:val="0"/>
        <w:spacing w:after="120"/>
        <w:rPr>
          <w:rFonts w:ascii="Times New Roman" w:hAnsi="Times New Roman"/>
        </w:rPr>
      </w:pPr>
      <w:r>
        <w:rPr>
          <w:rFonts w:ascii="Times New Roman" w:hAnsi="Times New Roman"/>
        </w:rPr>
        <w:t>[En réponse au paragraphe 19.] Dans la perspective de la COP28, l’UE et ses États membres ont clairement reconnu l’importance et l’urgence de mettre en œuvre les nouveaux mécanismes de financement, y compris un fonds, pour faire face aux pertes et aux préjudices. À la suite de l’adoption de la décision correspondante par la COP28, l’UE et certains États membres ont annoncé des contributions importantes à ce fonds, pour un total de plus de 400 millions d’euros, dont 25 millions d’euros promis par la Commission.</w:t>
      </w:r>
    </w:p>
    <w:p w14:paraId="0E05DBFD" w14:textId="77777777" w:rsidR="00074C5D" w:rsidRPr="00074C5D" w:rsidRDefault="00074C5D" w:rsidP="00074C5D">
      <w:pPr>
        <w:widowControl w:val="0"/>
        <w:spacing w:after="120"/>
        <w:rPr>
          <w:rFonts w:ascii="Times New Roman" w:hAnsi="Times New Roman"/>
          <w:szCs w:val="24"/>
        </w:rPr>
      </w:pPr>
      <w:r>
        <w:rPr>
          <w:rFonts w:ascii="Times New Roman" w:hAnsi="Times New Roman"/>
        </w:rPr>
        <w:t>[En réponse au paragraphe 21.] Les États membres se sont déjà engagés à utiliser toutes les recettes (ou équivalents financiers) du SEQE pour des mesures de soutien à l’action pour le climat dans la dernière révision de la directive SEQE, qui a été réalisée en 2023. Cela inclut, en vertu de l’article 10, paragraphe 3, point j), de la directive SEQE, le financement d’actions pour le climat dans les pays tiers vulnérables, telles que l’adaptation aux effets du changement climatique. La directive SEQE oblige les États membres à tenir compte, lorsqu’ils déterminent l’utilisation de leurs recettes, de la nécessité de continuer à accroître le financement international de la lutte contre le changement climatique dans les pays tiers vulnérables. Les États membres présentent chaque année un rapport sur l’utilisation des recettes du SEQE. À la suite de la révision de la directive SEQE, la transparence de ces rapports est également en cours d’amélioration.</w:t>
      </w:r>
    </w:p>
    <w:p w14:paraId="11D526B2" w14:textId="77777777" w:rsidR="00074C5D" w:rsidRPr="00074C5D" w:rsidRDefault="00074C5D" w:rsidP="00074C5D">
      <w:pPr>
        <w:widowControl w:val="0"/>
        <w:spacing w:after="120"/>
        <w:rPr>
          <w:rFonts w:ascii="Times New Roman" w:hAnsi="Times New Roman"/>
          <w:szCs w:val="24"/>
        </w:rPr>
      </w:pPr>
      <w:r>
        <w:rPr>
          <w:rFonts w:ascii="Times New Roman" w:hAnsi="Times New Roman"/>
        </w:rPr>
        <w:t xml:space="preserve">[En réponse au paragraphe 27.] Dans le cadre de sa participation à la réunion ministérielle sur l’urbanisation et le changement climatique organisée par ONU-Habitat </w:t>
      </w:r>
      <w:r>
        <w:rPr>
          <w:rFonts w:ascii="Times New Roman" w:hAnsi="Times New Roman"/>
        </w:rPr>
        <w:lastRenderedPageBreak/>
        <w:t>lors de la COP 28, la Commission a abordé la nécessité de soutenir les autorités et communautés locales dans la mise en œuvre de l’action pour le climat afin d’atteindre les objectifs du pacte vert pour l’Europe. Elle a vivement plaidé en faveur d’une gouvernance multiniveaux, mis l’accent sur les efforts multipartites en faveur du développement urbain durable et souligné les initiatives en cours visant à aider les autorités locales à renforcer leurs capacités de développement, de gestion et de mise en œuvre de stratégies intégrées. Même si les objectifs transformateurs du programme à l’horizon 2030 sont de plus en plus axés sur les zones urbaines et que les principes du nouveau programme pour les villes restent pertinents, la Commission a souligné la nécessité de favoriser des partenariats solides et l’appropriation par toutes les parties afin d’atteindre effectivement l’objectif de 1,5 degré.</w:t>
      </w:r>
    </w:p>
    <w:p w14:paraId="393A2D77" w14:textId="77777777" w:rsidR="00074C5D" w:rsidRPr="00074C5D" w:rsidRDefault="00074C5D" w:rsidP="00074C5D">
      <w:pPr>
        <w:widowControl w:val="0"/>
        <w:spacing w:after="120"/>
        <w:rPr>
          <w:rFonts w:ascii="Times New Roman" w:hAnsi="Times New Roman"/>
          <w:b/>
          <w:bCs/>
          <w:szCs w:val="24"/>
          <w:highlight w:val="red"/>
        </w:rPr>
      </w:pPr>
      <w:r>
        <w:rPr>
          <w:rFonts w:ascii="Times New Roman" w:hAnsi="Times New Roman"/>
          <w:b/>
        </w:rPr>
        <w:t xml:space="preserve">Participation des parties prenantes à la COP28 </w:t>
      </w:r>
    </w:p>
    <w:p w14:paraId="07EF0DEB" w14:textId="77777777" w:rsidR="00074C5D" w:rsidRPr="00074C5D" w:rsidRDefault="00074C5D" w:rsidP="00074C5D">
      <w:pPr>
        <w:widowControl w:val="0"/>
        <w:spacing w:after="120"/>
        <w:rPr>
          <w:rFonts w:ascii="Times New Roman" w:hAnsi="Times New Roman"/>
        </w:rPr>
      </w:pPr>
      <w:bookmarkStart w:id="1" w:name="_Hlk157590901"/>
      <w:r>
        <w:rPr>
          <w:rFonts w:ascii="Times New Roman" w:hAnsi="Times New Roman"/>
        </w:rPr>
        <w:t xml:space="preserve">[En réponse aux paragraphes 29 et 30.] </w:t>
      </w:r>
      <w:bookmarkEnd w:id="1"/>
      <w:r>
        <w:rPr>
          <w:rFonts w:ascii="Times New Roman" w:hAnsi="Times New Roman"/>
        </w:rPr>
        <w:t>Dans les conclusions du Conseil «Environnement» sur la préparation de la COP 28, l’UE et ses États membres ont vivement appelé à la promotion de la participation du public, de la mobilisation de celui-ci et de son accès à l'information, dans le cadre d'une approche ouverte à tous, y compris pour la société civile et les différentes parties prenantes, étant donné que cela est essentiel pour promouvoir la justice sociale, l'équité et l'inclusion dans le cadre de la transition mondiale vers la neutralité climatique. Il importe de souligner que l’action pour le climat est une responsabilité mondiale et une menace mondiale, et que chaque pays et chaque secteur de l’économie doivent jouer leur rôle dans la réduction des émissions.</w:t>
      </w:r>
    </w:p>
    <w:p w14:paraId="78F5A21F" w14:textId="77777777" w:rsidR="00074C5D" w:rsidRPr="00074C5D" w:rsidRDefault="00074C5D" w:rsidP="00074C5D">
      <w:pPr>
        <w:widowControl w:val="0"/>
        <w:spacing w:after="120"/>
        <w:rPr>
          <w:rFonts w:ascii="Times New Roman" w:hAnsi="Times New Roman"/>
        </w:rPr>
      </w:pPr>
      <w:r>
        <w:rPr>
          <w:rFonts w:ascii="Times New Roman" w:hAnsi="Times New Roman"/>
        </w:rPr>
        <w:t xml:space="preserve">L’UE cherche à travailler de manière constructive avec chaque présidence de la COP et c’est ce qu’elle a fait avec la présidence de la COP des Émirats arabes unis. </w:t>
      </w:r>
    </w:p>
    <w:p w14:paraId="0259707C" w14:textId="77777777" w:rsidR="00074C5D" w:rsidRPr="00074C5D" w:rsidRDefault="00074C5D" w:rsidP="00074C5D">
      <w:pPr>
        <w:widowControl w:val="0"/>
        <w:spacing w:after="120"/>
        <w:rPr>
          <w:rFonts w:ascii="Times New Roman" w:hAnsi="Times New Roman"/>
          <w:b/>
          <w:bCs/>
          <w:szCs w:val="24"/>
        </w:rPr>
      </w:pPr>
      <w:r>
        <w:rPr>
          <w:rFonts w:ascii="Times New Roman" w:hAnsi="Times New Roman"/>
          <w:b/>
        </w:rPr>
        <w:t>Une politique et des efforts ambitieux de l’UE en matière de climat dans tous les secteurs</w:t>
      </w:r>
    </w:p>
    <w:p w14:paraId="3C3CE3D8" w14:textId="77777777" w:rsidR="00074C5D" w:rsidRPr="00074C5D" w:rsidRDefault="00074C5D" w:rsidP="00074C5D">
      <w:pPr>
        <w:widowControl w:val="0"/>
        <w:spacing w:after="120"/>
        <w:rPr>
          <w:rFonts w:ascii="Times New Roman" w:hAnsi="Times New Roman"/>
        </w:rPr>
      </w:pPr>
      <w:r>
        <w:rPr>
          <w:rFonts w:ascii="Times New Roman" w:hAnsi="Times New Roman"/>
        </w:rPr>
        <w:t>[En réponse aux paragraphes 34 et 40.] La loi sur le climat charge la Commission de présenter une proposition relative à l’objectif climatique de l’UE pour 2040 dans un délai de 6 mois à compter du bilan mondial. Le 6 février 2024, la Commission a adopté une communication et une analyse d’impact détaillée de l’objectif pour 2040, assorties d’une recommandation relative à un objectif de réduction nette des émissions de gaz à effet de serre de 90 % d’ici à 2040. L’analyse d’impact qui accompagne la communication tient compte des recommandations de l’ESABCC, des résultats de la consultation publique et d’autres facteurs tels que l’impact social et les investissements nécessaires.</w:t>
      </w:r>
    </w:p>
    <w:p w14:paraId="06FDA20D" w14:textId="51B8EC8B" w:rsidR="00074C5D" w:rsidRPr="00074C5D" w:rsidRDefault="00074C5D" w:rsidP="00074C5D">
      <w:pPr>
        <w:widowControl w:val="0"/>
        <w:spacing w:after="120"/>
        <w:rPr>
          <w:rFonts w:ascii="Times New Roman" w:hAnsi="Times New Roman"/>
        </w:rPr>
      </w:pPr>
      <w:r>
        <w:rPr>
          <w:rFonts w:ascii="Times New Roman" w:hAnsi="Times New Roman"/>
        </w:rPr>
        <w:t>La proposition législative visant à modifier la loi sur le climat afin d’inclure cet objectif dans la législation de l’Union sera entre les mains de la nouvelle Commission.</w:t>
      </w:r>
    </w:p>
    <w:p w14:paraId="3924C68D" w14:textId="77777777" w:rsidR="00074C5D" w:rsidRPr="00074C5D" w:rsidRDefault="00074C5D" w:rsidP="00074C5D">
      <w:pPr>
        <w:widowControl w:val="0"/>
        <w:spacing w:after="120"/>
        <w:rPr>
          <w:rFonts w:ascii="Times New Roman" w:hAnsi="Times New Roman"/>
        </w:rPr>
      </w:pPr>
      <w:r>
        <w:rPr>
          <w:rFonts w:ascii="Times New Roman" w:hAnsi="Times New Roman"/>
        </w:rPr>
        <w:t>L’analyse de l’ESABCC indique qu’il est possible de réduire les émissions internes de l’UE d’au moins 88 % et que cette réduction pourrait même atteindre 92 %, compte tenu des risques environnementaux et des défis posés par le déploiement à grande échelle des technologies, et recommande une fourchette de réduction des émissions de gaz à effet de serre d’ici à 2040 de 90 % à 95 % par rapport aux niveaux de 1990. Les réponses à la consultation publique sur l’objectif climatique pour 2040 montrent également un large soutien en faveur d’une accélération de la transition vers 2040. L’objectif pour 2040 sera une confirmation de la détermination de l’UE et définira la trajectoire pour l’après-2030 de façon à garantir que l’UE se trouve en bonne voie d’atteindre la neutralité climatique d’ici à 2050. Il constituera également la base de la prochaine contribution déterminée au niveau national de l’UE dans le cadre de l’accord de Paris et enverra un signal fort aux autres acteurs sur ce qui est nécessaire et réalisable.</w:t>
      </w:r>
    </w:p>
    <w:p w14:paraId="52E1E8B0" w14:textId="77777777" w:rsidR="00074C5D" w:rsidRPr="00074C5D" w:rsidRDefault="00074C5D" w:rsidP="00074C5D">
      <w:pPr>
        <w:widowControl w:val="0"/>
        <w:spacing w:after="120"/>
        <w:rPr>
          <w:rFonts w:ascii="Times New Roman" w:hAnsi="Times New Roman"/>
        </w:rPr>
      </w:pPr>
      <w:r>
        <w:rPr>
          <w:rFonts w:ascii="Times New Roman" w:hAnsi="Times New Roman"/>
        </w:rPr>
        <w:t xml:space="preserve">[En réponse aux paragraphes 87 et 88.] L’UE promeut la tarification nationale par des canaux bilatéraux et multilatéraux au niveau international. Elle a lancé l’«appel à l'action </w:t>
      </w:r>
      <w:r>
        <w:rPr>
          <w:rFonts w:ascii="Times New Roman" w:hAnsi="Times New Roman"/>
        </w:rPr>
        <w:lastRenderedPageBreak/>
        <w:t>pour des marchés du carbone alignés sur l'accord de Paris» lors du sommet pour un nouveau pacte de financement mondial à Paris, et participe au «défi mondial sur la tarification du carbone», une initiative du Canada, en tant que moyen de promouvoir des instruments de tarification robustes.</w:t>
      </w:r>
    </w:p>
    <w:p w14:paraId="3FA87D22" w14:textId="77777777" w:rsidR="00074C5D" w:rsidRPr="00074C5D" w:rsidRDefault="00074C5D" w:rsidP="00074C5D">
      <w:pPr>
        <w:widowControl w:val="0"/>
        <w:spacing w:after="120"/>
        <w:rPr>
          <w:rFonts w:ascii="Times New Roman" w:hAnsi="Times New Roman"/>
        </w:rPr>
      </w:pPr>
      <w:r>
        <w:rPr>
          <w:rFonts w:ascii="Times New Roman" w:hAnsi="Times New Roman"/>
        </w:rPr>
        <w:t>Ces aspects sont en outre inclus dans l’article 30, paragraphe 6, de la directive SEQE. Le réexamen prévu de la directive SEQE par la Commission doit analyser les moyens d’établir des liens entre le SEQE de l’UE et d’autres marchés du carbone sans entraver la réalisation de l’objectif de neutralité climatique et des objectifs climatiques de l’UE. Le seul lien actuellement en place — avec le marché du carbone de la Suisse —, repose sur un solide accord de lien, assorti d’un ensemble de critères exigeants qui doivent être systématiquement respectés pour garantir l’intégrité environnementale du lien.</w:t>
      </w:r>
    </w:p>
    <w:p w14:paraId="3DD548FC" w14:textId="77777777" w:rsidR="00074C5D" w:rsidRPr="00074C5D" w:rsidRDefault="00074C5D" w:rsidP="00074C5D">
      <w:pPr>
        <w:widowControl w:val="0"/>
        <w:spacing w:after="120"/>
        <w:rPr>
          <w:rFonts w:ascii="Times New Roman" w:hAnsi="Times New Roman"/>
        </w:rPr>
      </w:pPr>
      <w:r>
        <w:rPr>
          <w:rFonts w:ascii="Times New Roman" w:hAnsi="Times New Roman"/>
        </w:rPr>
        <w:t>[En réponse aux paragraphes 60 et 63.] Dans les conclusions du Conseil «Environnement» sur la préparation de la COP28, l’UE et ses États membres soulignent que les crises du changement climatique et de la perte de biodiversité, la désertification, la pollution, ainsi que la dégradation des terres, de l’eau et des océans sont étroitement liés et se renforcent mutuellement. La Commission plaide résolument en faveur de l’adoption rapide du règlement sur la restauration de la nature.</w:t>
      </w:r>
    </w:p>
    <w:p w14:paraId="3A5DB7E6" w14:textId="77777777" w:rsidR="00074C5D" w:rsidRPr="00074C5D" w:rsidRDefault="00074C5D" w:rsidP="00074C5D">
      <w:pPr>
        <w:widowControl w:val="0"/>
        <w:spacing w:after="120"/>
        <w:rPr>
          <w:rFonts w:ascii="Times New Roman" w:hAnsi="Times New Roman"/>
        </w:rPr>
      </w:pPr>
      <w:r>
        <w:rPr>
          <w:rFonts w:ascii="Times New Roman" w:hAnsi="Times New Roman"/>
        </w:rPr>
        <w:t>La décision de la COP28/CMA5 souligne l’importance de la protection, de la conservation, de la restauration et de l’utilisation durable de la nature et des écosystèmes pour une action efficace et durable pour le climat. Elle souligne l’engagement de redoubler d’efforts pour enrayer et inverser la déforestation et la dégradation des forêts d’ici à 2030, de recourir à d’autres écosystèmes terrestres et marins fonctionnant comme des puits et réservoirs de gaz à effet de serre et de préserver la biodiversité, tout en garantissant des garanties sociales et environnementales conformément au cadre mondial de la biodiversité de Kunming-Montréal.</w:t>
      </w:r>
    </w:p>
    <w:p w14:paraId="3864CFEB" w14:textId="77777777" w:rsidR="00074C5D" w:rsidRPr="00074C5D" w:rsidRDefault="00074C5D" w:rsidP="00074C5D">
      <w:pPr>
        <w:widowControl w:val="0"/>
        <w:spacing w:after="120"/>
        <w:rPr>
          <w:rFonts w:ascii="Times New Roman" w:hAnsi="Times New Roman"/>
        </w:rPr>
      </w:pPr>
      <w:r>
        <w:rPr>
          <w:rFonts w:ascii="Times New Roman" w:hAnsi="Times New Roman"/>
        </w:rPr>
        <w:t>En marge de la COP 28, la Commission a signé un protocole d’accord avec le Honduras en vue de mettre en place un partenariat stratégique pour les forêts, afin de restaurer 1,3 million d’hectares de forêts, ainsi qu’une déclaration conjointe sur un partenariat durable dans le domaine de l’eau avec l’Égypte. L’UE a également lancé une initiative de l’Équipe Europe sur les chaînes de valeur «zéro déforestation». La Commission s’est également engagée à verser un million d’euros au partenariat bleu pour la Méditerranée. L’Union européenne a également approuvé la déclaration commune de la COP 28 sur le climat, la nature et les personnes</w:t>
      </w:r>
      <w:r w:rsidRPr="00074C5D">
        <w:rPr>
          <w:rFonts w:ascii="Times New Roman" w:hAnsi="Times New Roman"/>
          <w:vertAlign w:val="superscript"/>
        </w:rPr>
        <w:footnoteReference w:id="2"/>
      </w:r>
      <w:r>
        <w:rPr>
          <w:rFonts w:ascii="Times New Roman" w:hAnsi="Times New Roman"/>
        </w:rPr>
        <w:t>, qui témoigne d’un nouvel engagement des pays à coordonner et mettre en œuvre simultanément leurs plans pour la nature et leurs plans pour le climat.</w:t>
      </w:r>
    </w:p>
    <w:p w14:paraId="561BFE00" w14:textId="0E892A4A" w:rsidR="004B5C22" w:rsidRPr="00074C5D" w:rsidRDefault="00074C5D" w:rsidP="00074C5D">
      <w:r>
        <w:rPr>
          <w:rFonts w:ascii="Times New Roman" w:hAnsi="Times New Roman"/>
        </w:rPr>
        <w:t>[En réponse au paragraphe 64.] Le paquet «Ajustement à l’objectif 55» et les stratégies de l’UE pour l’adaptation, la biodiversité, la protection des sols, la réduction des émissions de méthane et la bioéconomie reconnaissent la fonction vitale des tourbières/zones humides, tant en ce qui concerne l’adaptation au changement climatique que l’atténuation de celui-ci. La Commission continue de promouvoir des actions dans l’ensemble des instruments stratégiques, étant donné que les zones humides et les tourbières sont des puits de carbone importants dans l’UE et que la préservation des niveaux actuels de carbone organique des sols ainsi que la restauration des tourbières dégradées contribuent directement à éviter les rejets de carbone dans l’atmosphère. En outre, les tourbières sont des écosystèmes essentiels pour préserver d’importants habitats riches en biodiversité.</w:t>
      </w:r>
    </w:p>
    <w:sectPr w:rsidR="004B5C22" w:rsidRPr="00074C5D" w:rsidSect="000A07D2">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6" w:h="16838" w:code="9"/>
      <w:pgMar w:top="1021" w:right="1701" w:bottom="1021" w:left="1588" w:header="601"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0D60F" w14:textId="77777777" w:rsidR="00F93C60" w:rsidRDefault="00F93C60">
      <w:r>
        <w:separator/>
      </w:r>
    </w:p>
  </w:endnote>
  <w:endnote w:type="continuationSeparator" w:id="0">
    <w:p w14:paraId="72DD343C" w14:textId="77777777" w:rsidR="00F93C60" w:rsidRDefault="00F93C60">
      <w:r>
        <w:continuationSeparator/>
      </w:r>
    </w:p>
  </w:endnote>
  <w:endnote w:type="continuationNotice" w:id="1">
    <w:p w14:paraId="7FECD5E3" w14:textId="77777777" w:rsidR="00F93C60" w:rsidRDefault="00F93C6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EUAlbertina">
    <w:altName w:val="Calibri"/>
    <w:panose1 w:val="00000000000000000000"/>
    <w:charset w:val="00"/>
    <w:family w:val="swiss"/>
    <w:notTrueType/>
    <w:pitch w:val="default"/>
    <w:sig w:usb0="00000003" w:usb1="00000000" w:usb2="00000000" w:usb3="00000000" w:csb0="00000001" w:csb1="00000000"/>
  </w:font>
  <w:font w:name="EC Square Sans Cond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97F5B" w14:textId="77777777" w:rsidR="005E6EC2" w:rsidRDefault="005E6EC2"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35</w:t>
    </w:r>
    <w:r>
      <w:rPr>
        <w:rStyle w:val="PageNumber"/>
      </w:rPr>
      <w:fldChar w:fldCharType="end"/>
    </w:r>
  </w:p>
  <w:p w14:paraId="1997A12D" w14:textId="77777777" w:rsidR="005E6EC2" w:rsidRDefault="005E6E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4EE99" w14:textId="77777777" w:rsidR="005E6EC2" w:rsidRDefault="005E6EC2"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82E5F">
      <w:rPr>
        <w:rStyle w:val="PageNumber"/>
      </w:rPr>
      <w:t>3</w:t>
    </w:r>
    <w:r>
      <w:rPr>
        <w:rStyle w:val="PageNumber"/>
      </w:rPr>
      <w:fldChar w:fldCharType="end"/>
    </w:r>
  </w:p>
  <w:p w14:paraId="15B25E8B" w14:textId="77777777" w:rsidR="005E6EC2" w:rsidRPr="008A6623" w:rsidRDefault="005E6EC2" w:rsidP="008A6623">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93637" w14:textId="6661F24D" w:rsidR="005E6EC2" w:rsidRPr="00A00D2C" w:rsidRDefault="005E6EC2" w:rsidP="00A00D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0FD6E" w14:textId="77777777" w:rsidR="00F93C60" w:rsidRDefault="00F93C60">
      <w:r>
        <w:separator/>
      </w:r>
    </w:p>
  </w:footnote>
  <w:footnote w:type="continuationSeparator" w:id="0">
    <w:p w14:paraId="568E1FB8" w14:textId="77777777" w:rsidR="00F93C60" w:rsidRDefault="00F93C60">
      <w:r>
        <w:continuationSeparator/>
      </w:r>
    </w:p>
  </w:footnote>
  <w:footnote w:type="continuationNotice" w:id="1">
    <w:p w14:paraId="7E54675A" w14:textId="77777777" w:rsidR="00F93C60" w:rsidRDefault="00F93C60">
      <w:pPr>
        <w:spacing w:after="0"/>
      </w:pPr>
    </w:p>
  </w:footnote>
  <w:footnote w:id="2">
    <w:p w14:paraId="3F280A09" w14:textId="77777777" w:rsidR="00074C5D" w:rsidRPr="00162C80" w:rsidRDefault="00074C5D" w:rsidP="00074C5D">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hyperlink r:id="rId1" w:history="1">
        <w:r>
          <w:rPr>
            <w:rStyle w:val="Hyperlink"/>
            <w:rFonts w:ascii="Times New Roman" w:hAnsi="Times New Roman"/>
          </w:rPr>
          <w:t>https://www.cop28.com/en/joint-statement-on-climate-nature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46589" w14:textId="77777777" w:rsidR="00A00D2C" w:rsidRDefault="00A00D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46B9C" w14:textId="77777777" w:rsidR="00A00D2C" w:rsidRDefault="00A00D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A9CE5" w14:textId="77777777" w:rsidR="00A00D2C" w:rsidRDefault="00A00D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507D"/>
    <w:multiLevelType w:val="multilevel"/>
    <w:tmpl w:val="5F385A54"/>
    <w:name w:val="WW8Num2"/>
    <w:lvl w:ilvl="0">
      <w:start w:val="1"/>
      <w:numFmt w:val="bullet"/>
      <w:lvlText w:val="–"/>
      <w:lvlJc w:val="left"/>
      <w:pPr>
        <w:tabs>
          <w:tab w:val="num" w:pos="283"/>
        </w:tabs>
        <w:ind w:left="283" w:hanging="283"/>
      </w:pPr>
      <w:rPr>
        <w:rFonts w:ascii="Times New Roman" w:hAnsi="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0B3F48"/>
    <w:multiLevelType w:val="singleLevel"/>
    <w:tmpl w:val="EFB46688"/>
    <w:name w:val="WW8Num6"/>
    <w:lvl w:ilvl="0">
      <w:start w:val="1"/>
      <w:numFmt w:val="bullet"/>
      <w:pStyle w:val="ListBullet"/>
      <w:lvlText w:val=""/>
      <w:lvlJc w:val="left"/>
      <w:pPr>
        <w:tabs>
          <w:tab w:val="num" w:pos="283"/>
        </w:tabs>
        <w:ind w:left="283" w:hanging="283"/>
      </w:pPr>
      <w:rPr>
        <w:rFonts w:ascii="Symbol" w:hAnsi="Symbol"/>
      </w:rPr>
    </w:lvl>
  </w:abstractNum>
  <w:abstractNum w:abstractNumId="2" w15:restartNumberingAfterBreak="0">
    <w:nsid w:val="03C8321C"/>
    <w:multiLevelType w:val="hybridMultilevel"/>
    <w:tmpl w:val="E75EBFFA"/>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26457A"/>
    <w:multiLevelType w:val="hybridMultilevel"/>
    <w:tmpl w:val="4480711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0B1A20B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EBD20DB"/>
    <w:multiLevelType w:val="hybridMultilevel"/>
    <w:tmpl w:val="3BC09D28"/>
    <w:name w:val="WW8Num8"/>
    <w:lvl w:ilvl="0" w:tplc="1ED89A4C">
      <w:start w:val="1"/>
      <w:numFmt w:val="bullet"/>
      <w:pStyle w:val="Briefingspdef"/>
      <w:lvlText w:val=""/>
      <w:lvlJc w:val="left"/>
      <w:pPr>
        <w:tabs>
          <w:tab w:val="num" w:pos="360"/>
        </w:tabs>
        <w:ind w:left="360" w:hanging="360"/>
      </w:pPr>
      <w:rPr>
        <w:rFonts w:ascii="Symbol" w:hAnsi="Symbol" w:hint="default"/>
        <w:sz w:val="20"/>
      </w:rPr>
    </w:lvl>
    <w:lvl w:ilvl="1" w:tplc="E9786584">
      <w:start w:val="1"/>
      <w:numFmt w:val="bullet"/>
      <w:lvlText w:val=""/>
      <w:lvlJc w:val="left"/>
      <w:pPr>
        <w:tabs>
          <w:tab w:val="num" w:pos="1440"/>
        </w:tabs>
        <w:ind w:left="1440" w:hanging="360"/>
      </w:pPr>
      <w:rPr>
        <w:rFonts w:ascii="Symbol" w:hAnsi="Symbol" w:hint="default"/>
        <w:sz w:val="20"/>
      </w:rPr>
    </w:lvl>
    <w:lvl w:ilvl="2" w:tplc="D3E466F6" w:tentative="1">
      <w:start w:val="1"/>
      <w:numFmt w:val="bullet"/>
      <w:lvlText w:val=""/>
      <w:lvlJc w:val="left"/>
      <w:pPr>
        <w:tabs>
          <w:tab w:val="num" w:pos="2160"/>
        </w:tabs>
        <w:ind w:left="2160" w:hanging="360"/>
      </w:pPr>
      <w:rPr>
        <w:rFonts w:ascii="Wingdings" w:hAnsi="Wingdings" w:hint="default"/>
      </w:rPr>
    </w:lvl>
    <w:lvl w:ilvl="3" w:tplc="670E1398" w:tentative="1">
      <w:start w:val="1"/>
      <w:numFmt w:val="bullet"/>
      <w:lvlText w:val=""/>
      <w:lvlJc w:val="left"/>
      <w:pPr>
        <w:tabs>
          <w:tab w:val="num" w:pos="2880"/>
        </w:tabs>
        <w:ind w:left="2880" w:hanging="360"/>
      </w:pPr>
      <w:rPr>
        <w:rFonts w:ascii="Symbol" w:hAnsi="Symbol" w:hint="default"/>
      </w:rPr>
    </w:lvl>
    <w:lvl w:ilvl="4" w:tplc="03E003E2" w:tentative="1">
      <w:start w:val="1"/>
      <w:numFmt w:val="bullet"/>
      <w:lvlText w:val="o"/>
      <w:lvlJc w:val="left"/>
      <w:pPr>
        <w:tabs>
          <w:tab w:val="num" w:pos="3600"/>
        </w:tabs>
        <w:ind w:left="3600" w:hanging="360"/>
      </w:pPr>
      <w:rPr>
        <w:rFonts w:ascii="Courier New" w:hAnsi="Courier New" w:cs="Courier New" w:hint="default"/>
      </w:rPr>
    </w:lvl>
    <w:lvl w:ilvl="5" w:tplc="4FBE7CFE" w:tentative="1">
      <w:start w:val="1"/>
      <w:numFmt w:val="bullet"/>
      <w:lvlText w:val=""/>
      <w:lvlJc w:val="left"/>
      <w:pPr>
        <w:tabs>
          <w:tab w:val="num" w:pos="4320"/>
        </w:tabs>
        <w:ind w:left="4320" w:hanging="360"/>
      </w:pPr>
      <w:rPr>
        <w:rFonts w:ascii="Wingdings" w:hAnsi="Wingdings" w:hint="default"/>
      </w:rPr>
    </w:lvl>
    <w:lvl w:ilvl="6" w:tplc="BB54250A" w:tentative="1">
      <w:start w:val="1"/>
      <w:numFmt w:val="bullet"/>
      <w:lvlText w:val=""/>
      <w:lvlJc w:val="left"/>
      <w:pPr>
        <w:tabs>
          <w:tab w:val="num" w:pos="5040"/>
        </w:tabs>
        <w:ind w:left="5040" w:hanging="360"/>
      </w:pPr>
      <w:rPr>
        <w:rFonts w:ascii="Symbol" w:hAnsi="Symbol" w:hint="default"/>
      </w:rPr>
    </w:lvl>
    <w:lvl w:ilvl="7" w:tplc="546629E2" w:tentative="1">
      <w:start w:val="1"/>
      <w:numFmt w:val="bullet"/>
      <w:lvlText w:val="o"/>
      <w:lvlJc w:val="left"/>
      <w:pPr>
        <w:tabs>
          <w:tab w:val="num" w:pos="5760"/>
        </w:tabs>
        <w:ind w:left="5760" w:hanging="360"/>
      </w:pPr>
      <w:rPr>
        <w:rFonts w:ascii="Courier New" w:hAnsi="Courier New" w:cs="Courier New" w:hint="default"/>
      </w:rPr>
    </w:lvl>
    <w:lvl w:ilvl="8" w:tplc="19BC93F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A83C3F"/>
    <w:multiLevelType w:val="singleLevel"/>
    <w:tmpl w:val="54744D6A"/>
    <w:name w:val="WW8Num13"/>
    <w:lvl w:ilvl="0">
      <w:start w:val="1"/>
      <w:numFmt w:val="bullet"/>
      <w:pStyle w:val="ListDash1"/>
      <w:lvlText w:val="–"/>
      <w:lvlJc w:val="left"/>
      <w:pPr>
        <w:tabs>
          <w:tab w:val="num" w:pos="765"/>
        </w:tabs>
        <w:ind w:left="765" w:hanging="283"/>
      </w:pPr>
      <w:rPr>
        <w:rFonts w:ascii="Times New Roman" w:hAnsi="Times New Roman"/>
      </w:rPr>
    </w:lvl>
  </w:abstractNum>
  <w:abstractNum w:abstractNumId="7" w15:restartNumberingAfterBreak="0">
    <w:nsid w:val="14E4220C"/>
    <w:multiLevelType w:val="multilevel"/>
    <w:tmpl w:val="D2ACB8CC"/>
    <w:lvl w:ilvl="0">
      <w:start w:val="1"/>
      <w:numFmt w:val="decimal"/>
      <w:pStyle w:val="Heading1"/>
      <w:lvlText w:val="%1."/>
      <w:lvlJc w:val="left"/>
      <w:pPr>
        <w:tabs>
          <w:tab w:val="num" w:pos="480"/>
        </w:tabs>
        <w:ind w:left="480" w:hanging="480"/>
      </w:pPr>
      <w:rPr>
        <w:b/>
        <w:lang w:val="fr-FR"/>
      </w:rPr>
    </w:lvl>
    <w:lvl w:ilvl="1">
      <w:start w:val="1"/>
      <w:numFmt w:val="decimal"/>
      <w:pStyle w:val="Heading2"/>
      <w:lvlText w:val="%1.%2."/>
      <w:lvlJc w:val="left"/>
      <w:pPr>
        <w:tabs>
          <w:tab w:val="num" w:pos="1167"/>
        </w:tabs>
        <w:ind w:left="1167" w:hanging="600"/>
      </w:pPr>
      <w:rPr>
        <w:lang w:val="en-GB"/>
      </w:rPr>
    </w:lvl>
    <w:lvl w:ilvl="2">
      <w:start w:val="1"/>
      <w:numFmt w:val="decimal"/>
      <w:pStyle w:val="Heading3"/>
      <w:lvlText w:val="%1.%2.%3."/>
      <w:lvlJc w:val="left"/>
      <w:pPr>
        <w:tabs>
          <w:tab w:val="num" w:pos="2062"/>
        </w:tabs>
        <w:ind w:left="2062" w:hanging="840"/>
      </w:pPr>
    </w:lvl>
    <w:lvl w:ilvl="3">
      <w:start w:val="1"/>
      <w:numFmt w:val="decimal"/>
      <w:pStyle w:val="Heading4"/>
      <w:lvlText w:val="%1.%2.%3.%4."/>
      <w:lvlJc w:val="left"/>
      <w:pPr>
        <w:tabs>
          <w:tab w:val="num" w:pos="3022"/>
        </w:tabs>
        <w:ind w:left="3022" w:hanging="9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8" w15:restartNumberingAfterBreak="0">
    <w:nsid w:val="17610807"/>
    <w:multiLevelType w:val="hybridMultilevel"/>
    <w:tmpl w:val="DA3CD6C8"/>
    <w:name w:val="List Bullet"/>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2973D2"/>
    <w:multiLevelType w:val="hybridMultilevel"/>
    <w:tmpl w:val="419A2060"/>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0" w15:restartNumberingAfterBreak="0">
    <w:nsid w:val="19D23947"/>
    <w:multiLevelType w:val="hybridMultilevel"/>
    <w:tmpl w:val="A4003DA6"/>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1" w15:restartNumberingAfterBreak="0">
    <w:nsid w:val="1D5150BD"/>
    <w:multiLevelType w:val="singleLevel"/>
    <w:tmpl w:val="EF0A0136"/>
    <w:lvl w:ilvl="0">
      <w:start w:val="1"/>
      <w:numFmt w:val="bullet"/>
      <w:pStyle w:val="ListBullet4"/>
      <w:lvlText w:val=""/>
      <w:lvlJc w:val="left"/>
      <w:pPr>
        <w:tabs>
          <w:tab w:val="num" w:pos="3163"/>
        </w:tabs>
        <w:ind w:left="3163" w:hanging="283"/>
      </w:pPr>
      <w:rPr>
        <w:rFonts w:ascii="Symbol" w:hAnsi="Symbol"/>
      </w:rPr>
    </w:lvl>
  </w:abstractNum>
  <w:abstractNum w:abstractNumId="12" w15:restartNumberingAfterBreak="0">
    <w:nsid w:val="228918BE"/>
    <w:multiLevelType w:val="multilevel"/>
    <w:tmpl w:val="4C3E72AA"/>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B1E53BC"/>
    <w:multiLevelType w:val="singleLevel"/>
    <w:tmpl w:val="0BFC0FF8"/>
    <w:lvl w:ilvl="0">
      <w:start w:val="1"/>
      <w:numFmt w:val="bullet"/>
      <w:pStyle w:val="ListBullet2"/>
      <w:lvlText w:val=""/>
      <w:lvlJc w:val="left"/>
      <w:pPr>
        <w:tabs>
          <w:tab w:val="num" w:pos="1360"/>
        </w:tabs>
        <w:ind w:left="1360" w:hanging="283"/>
      </w:pPr>
      <w:rPr>
        <w:rFonts w:ascii="Symbol" w:hAnsi="Symbol"/>
      </w:rPr>
    </w:lvl>
  </w:abstractNum>
  <w:abstractNum w:abstractNumId="14" w15:restartNumberingAfterBreak="0">
    <w:nsid w:val="2BBE5D05"/>
    <w:multiLevelType w:val="hybridMultilevel"/>
    <w:tmpl w:val="F7FE6A86"/>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834FA3"/>
    <w:multiLevelType w:val="multilevel"/>
    <w:tmpl w:val="8DC66598"/>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6615FEF"/>
    <w:multiLevelType w:val="singleLevel"/>
    <w:tmpl w:val="5CD4C666"/>
    <w:lvl w:ilvl="0">
      <w:start w:val="1"/>
      <w:numFmt w:val="bullet"/>
      <w:pStyle w:val="ListDash2"/>
      <w:lvlText w:val="–"/>
      <w:lvlJc w:val="left"/>
      <w:pPr>
        <w:tabs>
          <w:tab w:val="num" w:pos="1360"/>
        </w:tabs>
        <w:ind w:left="1360" w:hanging="283"/>
      </w:pPr>
      <w:rPr>
        <w:rFonts w:ascii="Times New Roman" w:hAnsi="Times New Roman"/>
      </w:rPr>
    </w:lvl>
  </w:abstractNum>
  <w:abstractNum w:abstractNumId="17" w15:restartNumberingAfterBreak="0">
    <w:nsid w:val="3A115290"/>
    <w:multiLevelType w:val="multilevel"/>
    <w:tmpl w:val="E3664658"/>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E9F1A77"/>
    <w:multiLevelType w:val="hybridMultilevel"/>
    <w:tmpl w:val="DDC4688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FBE25C9"/>
    <w:multiLevelType w:val="hybridMultilevel"/>
    <w:tmpl w:val="E84648EA"/>
    <w:lvl w:ilvl="0" w:tplc="29A4E19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B13685F"/>
    <w:multiLevelType w:val="hybridMultilevel"/>
    <w:tmpl w:val="5F02346E"/>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1" w15:restartNumberingAfterBreak="0">
    <w:nsid w:val="51393755"/>
    <w:multiLevelType w:val="hybridMultilevel"/>
    <w:tmpl w:val="2046894C"/>
    <w:lvl w:ilvl="0" w:tplc="08090001">
      <w:start w:val="1"/>
      <w:numFmt w:val="bullet"/>
      <w:lvlText w:val=""/>
      <w:lvlJc w:val="left"/>
      <w:pPr>
        <w:ind w:left="4680" w:hanging="360"/>
      </w:pPr>
      <w:rPr>
        <w:rFonts w:ascii="Symbol" w:hAnsi="Symbol"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22" w15:restartNumberingAfterBreak="0">
    <w:nsid w:val="514632EE"/>
    <w:multiLevelType w:val="hybridMultilevel"/>
    <w:tmpl w:val="6012F114"/>
    <w:lvl w:ilvl="0" w:tplc="08090001">
      <w:start w:val="1"/>
      <w:numFmt w:val="bullet"/>
      <w:pStyle w:val="ListDash"/>
      <w:lvlText w:val="–"/>
      <w:lvlJc w:val="left"/>
      <w:pPr>
        <w:tabs>
          <w:tab w:val="num" w:pos="567"/>
        </w:tabs>
        <w:ind w:left="567" w:hanging="283"/>
      </w:pPr>
      <w:rPr>
        <w:rFonts w:ascii="Times New Roman" w:hAnsi="Times New Roman"/>
      </w:rPr>
    </w:lvl>
    <w:lvl w:ilvl="1" w:tplc="08090003">
      <w:numFmt w:val="bullet"/>
      <w:lvlText w:val="-"/>
      <w:lvlJc w:val="left"/>
      <w:pPr>
        <w:tabs>
          <w:tab w:val="num" w:pos="1724"/>
        </w:tabs>
        <w:ind w:left="1724" w:hanging="360"/>
      </w:pPr>
      <w:rPr>
        <w:rFonts w:ascii="Times New Roman" w:eastAsia="Times New Roman" w:hAnsi="Times New Roman" w:cs="Times New Roman"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576A32C9"/>
    <w:multiLevelType w:val="multilevel"/>
    <w:tmpl w:val="52224248"/>
    <w:lvl w:ilvl="0">
      <w:start w:val="1"/>
      <w:numFmt w:val="decimal"/>
      <w:lvlRestart w:val="0"/>
      <w:pStyle w:val="Considrant"/>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i w:val="0"/>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5A2450F2"/>
    <w:multiLevelType w:val="singleLevel"/>
    <w:tmpl w:val="E41A6BD2"/>
    <w:lvl w:ilvl="0">
      <w:start w:val="1"/>
      <w:numFmt w:val="bullet"/>
      <w:pStyle w:val="ListDash4"/>
      <w:lvlText w:val="–"/>
      <w:lvlJc w:val="left"/>
      <w:pPr>
        <w:tabs>
          <w:tab w:val="num" w:pos="3163"/>
        </w:tabs>
        <w:ind w:left="3163" w:hanging="283"/>
      </w:pPr>
      <w:rPr>
        <w:rFonts w:ascii="Times New Roman" w:hAnsi="Times New Roman"/>
      </w:rPr>
    </w:lvl>
  </w:abstractNum>
  <w:abstractNum w:abstractNumId="25" w15:restartNumberingAfterBreak="0">
    <w:nsid w:val="63B27051"/>
    <w:multiLevelType w:val="hybridMultilevel"/>
    <w:tmpl w:val="F23EEC2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641002BF"/>
    <w:multiLevelType w:val="hybridMultilevel"/>
    <w:tmpl w:val="F1CEEE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79F1BF3"/>
    <w:multiLevelType w:val="multilevel"/>
    <w:tmpl w:val="537E9280"/>
    <w:lvl w:ilvl="0">
      <w:start w:val="1"/>
      <w:numFmt w:val="decimal"/>
      <w:pStyle w:val="ListNumber"/>
      <w:lvlText w:val="(%1)"/>
      <w:lvlJc w:val="left"/>
      <w:pPr>
        <w:tabs>
          <w:tab w:val="num" w:pos="709"/>
        </w:tabs>
        <w:ind w:left="709" w:hanging="709"/>
      </w:pPr>
      <w:rPr>
        <w:b w:val="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C136061"/>
    <w:multiLevelType w:val="hybridMultilevel"/>
    <w:tmpl w:val="7052666E"/>
    <w:lvl w:ilvl="0" w:tplc="40D2097A">
      <w:start w:val="1"/>
      <w:numFmt w:val="bullet"/>
      <w:pStyle w:val="Briefingspeakdef"/>
      <w:lvlText w:val=""/>
      <w:lvlJc w:val="left"/>
      <w:pPr>
        <w:tabs>
          <w:tab w:val="num" w:pos="765"/>
        </w:tabs>
        <w:ind w:left="765" w:hanging="283"/>
      </w:pPr>
      <w:rPr>
        <w:rFonts w:ascii="Symbol" w:hAnsi="Symbol" w:hint="default"/>
        <w:sz w:val="22"/>
      </w:rPr>
    </w:lvl>
    <w:lvl w:ilvl="1" w:tplc="08090003">
      <w:start w:val="1"/>
      <w:numFmt w:val="bullet"/>
      <w:lvlText w:val=""/>
      <w:lvlJc w:val="left"/>
      <w:pPr>
        <w:tabs>
          <w:tab w:val="num" w:pos="1287"/>
        </w:tabs>
        <w:ind w:left="1287" w:hanging="207"/>
      </w:pPr>
      <w:rPr>
        <w:rFonts w:ascii="Symbol" w:hAnsi="Symbol" w:hint="default"/>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4070CA"/>
    <w:multiLevelType w:val="singleLevel"/>
    <w:tmpl w:val="0FC2EFC0"/>
    <w:lvl w:ilvl="0">
      <w:start w:val="1"/>
      <w:numFmt w:val="bullet"/>
      <w:pStyle w:val="ListBullet3"/>
      <w:lvlText w:val=""/>
      <w:lvlJc w:val="left"/>
      <w:pPr>
        <w:tabs>
          <w:tab w:val="num" w:pos="2199"/>
        </w:tabs>
        <w:ind w:left="2199" w:hanging="283"/>
      </w:pPr>
      <w:rPr>
        <w:rFonts w:ascii="Symbol" w:hAnsi="Symbol"/>
      </w:rPr>
    </w:lvl>
  </w:abstractNum>
  <w:abstractNum w:abstractNumId="30" w15:restartNumberingAfterBreak="0">
    <w:nsid w:val="754117B7"/>
    <w:multiLevelType w:val="multilevel"/>
    <w:tmpl w:val="D210498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55933D9"/>
    <w:multiLevelType w:val="hybridMultilevel"/>
    <w:tmpl w:val="B9D46C0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5FF7909"/>
    <w:multiLevelType w:val="hybridMultilevel"/>
    <w:tmpl w:val="5D26FFA8"/>
    <w:lvl w:ilvl="0" w:tplc="FFFFFFFF">
      <w:start w:val="1"/>
      <w:numFmt w:val="bullet"/>
      <w:lvlText w:val="·"/>
      <w:lvlJc w:val="left"/>
      <w:pPr>
        <w:tabs>
          <w:tab w:val="num" w:pos="-48"/>
        </w:tabs>
        <w:ind w:left="-48" w:hanging="360"/>
      </w:pPr>
      <w:rPr>
        <w:rFonts w:ascii="Symbol" w:hAnsi="Symbol" w:hint="default"/>
        <w:sz w:val="20"/>
      </w:rPr>
    </w:lvl>
    <w:lvl w:ilvl="1" w:tplc="49CA2888" w:tentative="1">
      <w:start w:val="1"/>
      <w:numFmt w:val="bullet"/>
      <w:lvlText w:val=""/>
      <w:lvlJc w:val="left"/>
      <w:pPr>
        <w:tabs>
          <w:tab w:val="num" w:pos="672"/>
        </w:tabs>
        <w:ind w:left="672" w:hanging="360"/>
      </w:pPr>
      <w:rPr>
        <w:rFonts w:ascii="Symbol" w:hAnsi="Symbol" w:hint="default"/>
        <w:sz w:val="20"/>
      </w:rPr>
    </w:lvl>
    <w:lvl w:ilvl="2" w:tplc="4F1E9ED6" w:tentative="1">
      <w:start w:val="1"/>
      <w:numFmt w:val="bullet"/>
      <w:lvlText w:val=""/>
      <w:lvlJc w:val="left"/>
      <w:pPr>
        <w:tabs>
          <w:tab w:val="num" w:pos="1392"/>
        </w:tabs>
        <w:ind w:left="1392" w:hanging="360"/>
      </w:pPr>
      <w:rPr>
        <w:rFonts w:ascii="Symbol" w:hAnsi="Symbol" w:hint="default"/>
        <w:sz w:val="20"/>
      </w:rPr>
    </w:lvl>
    <w:lvl w:ilvl="3" w:tplc="F3F0F2DA" w:tentative="1">
      <w:start w:val="1"/>
      <w:numFmt w:val="bullet"/>
      <w:lvlText w:val=""/>
      <w:lvlJc w:val="left"/>
      <w:pPr>
        <w:tabs>
          <w:tab w:val="num" w:pos="2112"/>
        </w:tabs>
        <w:ind w:left="2112" w:hanging="360"/>
      </w:pPr>
      <w:rPr>
        <w:rFonts w:ascii="Symbol" w:hAnsi="Symbol" w:hint="default"/>
        <w:sz w:val="20"/>
      </w:rPr>
    </w:lvl>
    <w:lvl w:ilvl="4" w:tplc="48C89378" w:tentative="1">
      <w:start w:val="1"/>
      <w:numFmt w:val="bullet"/>
      <w:lvlText w:val=""/>
      <w:lvlJc w:val="left"/>
      <w:pPr>
        <w:tabs>
          <w:tab w:val="num" w:pos="2832"/>
        </w:tabs>
        <w:ind w:left="2832" w:hanging="360"/>
      </w:pPr>
      <w:rPr>
        <w:rFonts w:ascii="Symbol" w:hAnsi="Symbol" w:hint="default"/>
        <w:sz w:val="20"/>
      </w:rPr>
    </w:lvl>
    <w:lvl w:ilvl="5" w:tplc="FD3C7478" w:tentative="1">
      <w:start w:val="1"/>
      <w:numFmt w:val="bullet"/>
      <w:lvlText w:val=""/>
      <w:lvlJc w:val="left"/>
      <w:pPr>
        <w:tabs>
          <w:tab w:val="num" w:pos="3552"/>
        </w:tabs>
        <w:ind w:left="3552" w:hanging="360"/>
      </w:pPr>
      <w:rPr>
        <w:rFonts w:ascii="Symbol" w:hAnsi="Symbol" w:hint="default"/>
        <w:sz w:val="20"/>
      </w:rPr>
    </w:lvl>
    <w:lvl w:ilvl="6" w:tplc="9D5A3436" w:tentative="1">
      <w:start w:val="1"/>
      <w:numFmt w:val="bullet"/>
      <w:lvlText w:val=""/>
      <w:lvlJc w:val="left"/>
      <w:pPr>
        <w:tabs>
          <w:tab w:val="num" w:pos="4272"/>
        </w:tabs>
        <w:ind w:left="4272" w:hanging="360"/>
      </w:pPr>
      <w:rPr>
        <w:rFonts w:ascii="Symbol" w:hAnsi="Symbol" w:hint="default"/>
        <w:sz w:val="20"/>
      </w:rPr>
    </w:lvl>
    <w:lvl w:ilvl="7" w:tplc="7102CD10" w:tentative="1">
      <w:start w:val="1"/>
      <w:numFmt w:val="bullet"/>
      <w:lvlText w:val=""/>
      <w:lvlJc w:val="left"/>
      <w:pPr>
        <w:tabs>
          <w:tab w:val="num" w:pos="4992"/>
        </w:tabs>
        <w:ind w:left="4992" w:hanging="360"/>
      </w:pPr>
      <w:rPr>
        <w:rFonts w:ascii="Symbol" w:hAnsi="Symbol" w:hint="default"/>
        <w:sz w:val="20"/>
      </w:rPr>
    </w:lvl>
    <w:lvl w:ilvl="8" w:tplc="83F0087E" w:tentative="1">
      <w:start w:val="1"/>
      <w:numFmt w:val="bullet"/>
      <w:lvlText w:val=""/>
      <w:lvlJc w:val="left"/>
      <w:pPr>
        <w:tabs>
          <w:tab w:val="num" w:pos="5712"/>
        </w:tabs>
        <w:ind w:left="5712" w:hanging="360"/>
      </w:pPr>
      <w:rPr>
        <w:rFonts w:ascii="Symbol" w:hAnsi="Symbol" w:hint="default"/>
        <w:sz w:val="20"/>
      </w:rPr>
    </w:lvl>
  </w:abstractNum>
  <w:abstractNum w:abstractNumId="33" w15:restartNumberingAfterBreak="0">
    <w:nsid w:val="767545DE"/>
    <w:multiLevelType w:val="hybridMultilevel"/>
    <w:tmpl w:val="2E307808"/>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9864C1"/>
    <w:multiLevelType w:val="hybridMultilevel"/>
    <w:tmpl w:val="154C80D8"/>
    <w:lvl w:ilvl="0" w:tplc="843A22E8">
      <w:start w:val="1"/>
      <w:numFmt w:val="bullet"/>
      <w:pStyle w:val="NumPar1Char"/>
      <w:lvlText w:val="–"/>
      <w:lvlJc w:val="left"/>
      <w:pPr>
        <w:tabs>
          <w:tab w:val="num" w:pos="643"/>
        </w:tabs>
        <w:ind w:left="643" w:hanging="283"/>
      </w:pPr>
      <w:rPr>
        <w:rFonts w:ascii="Times New Roman" w:hAnsi="Times New Roman" w:hint="default"/>
      </w:rPr>
    </w:lvl>
    <w:lvl w:ilvl="1" w:tplc="60C2582C" w:tentative="1">
      <w:start w:val="1"/>
      <w:numFmt w:val="bullet"/>
      <w:lvlText w:val="o"/>
      <w:lvlJc w:val="left"/>
      <w:pPr>
        <w:tabs>
          <w:tab w:val="num" w:pos="1440"/>
        </w:tabs>
        <w:ind w:left="1440" w:hanging="360"/>
      </w:pPr>
      <w:rPr>
        <w:rFonts w:ascii="Courier New" w:hAnsi="Courier New" w:cs="Courier New" w:hint="default"/>
      </w:rPr>
    </w:lvl>
    <w:lvl w:ilvl="2" w:tplc="17D6AD3A" w:tentative="1">
      <w:start w:val="1"/>
      <w:numFmt w:val="bullet"/>
      <w:lvlText w:val=""/>
      <w:lvlJc w:val="left"/>
      <w:pPr>
        <w:tabs>
          <w:tab w:val="num" w:pos="2160"/>
        </w:tabs>
        <w:ind w:left="2160" w:hanging="360"/>
      </w:pPr>
      <w:rPr>
        <w:rFonts w:ascii="Wingdings" w:hAnsi="Wingdings" w:hint="default"/>
      </w:rPr>
    </w:lvl>
    <w:lvl w:ilvl="3" w:tplc="FEA221B2" w:tentative="1">
      <w:start w:val="1"/>
      <w:numFmt w:val="bullet"/>
      <w:lvlText w:val=""/>
      <w:lvlJc w:val="left"/>
      <w:pPr>
        <w:tabs>
          <w:tab w:val="num" w:pos="2880"/>
        </w:tabs>
        <w:ind w:left="2880" w:hanging="360"/>
      </w:pPr>
      <w:rPr>
        <w:rFonts w:ascii="Symbol" w:hAnsi="Symbol" w:hint="default"/>
      </w:rPr>
    </w:lvl>
    <w:lvl w:ilvl="4" w:tplc="EB305368" w:tentative="1">
      <w:start w:val="1"/>
      <w:numFmt w:val="bullet"/>
      <w:lvlText w:val="o"/>
      <w:lvlJc w:val="left"/>
      <w:pPr>
        <w:tabs>
          <w:tab w:val="num" w:pos="3600"/>
        </w:tabs>
        <w:ind w:left="3600" w:hanging="360"/>
      </w:pPr>
      <w:rPr>
        <w:rFonts w:ascii="Courier New" w:hAnsi="Courier New" w:cs="Courier New" w:hint="default"/>
      </w:rPr>
    </w:lvl>
    <w:lvl w:ilvl="5" w:tplc="1C38E420" w:tentative="1">
      <w:start w:val="1"/>
      <w:numFmt w:val="bullet"/>
      <w:lvlText w:val=""/>
      <w:lvlJc w:val="left"/>
      <w:pPr>
        <w:tabs>
          <w:tab w:val="num" w:pos="4320"/>
        </w:tabs>
        <w:ind w:left="4320" w:hanging="360"/>
      </w:pPr>
      <w:rPr>
        <w:rFonts w:ascii="Wingdings" w:hAnsi="Wingdings" w:hint="default"/>
      </w:rPr>
    </w:lvl>
    <w:lvl w:ilvl="6" w:tplc="58705602" w:tentative="1">
      <w:start w:val="1"/>
      <w:numFmt w:val="bullet"/>
      <w:lvlText w:val=""/>
      <w:lvlJc w:val="left"/>
      <w:pPr>
        <w:tabs>
          <w:tab w:val="num" w:pos="5040"/>
        </w:tabs>
        <w:ind w:left="5040" w:hanging="360"/>
      </w:pPr>
      <w:rPr>
        <w:rFonts w:ascii="Symbol" w:hAnsi="Symbol" w:hint="default"/>
      </w:rPr>
    </w:lvl>
    <w:lvl w:ilvl="7" w:tplc="EE5A94CC" w:tentative="1">
      <w:start w:val="1"/>
      <w:numFmt w:val="bullet"/>
      <w:lvlText w:val="o"/>
      <w:lvlJc w:val="left"/>
      <w:pPr>
        <w:tabs>
          <w:tab w:val="num" w:pos="5760"/>
        </w:tabs>
        <w:ind w:left="5760" w:hanging="360"/>
      </w:pPr>
      <w:rPr>
        <w:rFonts w:ascii="Courier New" w:hAnsi="Courier New" w:cs="Courier New" w:hint="default"/>
      </w:rPr>
    </w:lvl>
    <w:lvl w:ilvl="8" w:tplc="C0A6382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816C3A"/>
    <w:multiLevelType w:val="singleLevel"/>
    <w:tmpl w:val="C9E4CA12"/>
    <w:lvl w:ilvl="0">
      <w:start w:val="1"/>
      <w:numFmt w:val="bullet"/>
      <w:pStyle w:val="ListDash3"/>
      <w:lvlText w:val="–"/>
      <w:lvlJc w:val="left"/>
      <w:pPr>
        <w:tabs>
          <w:tab w:val="num" w:pos="2199"/>
        </w:tabs>
        <w:ind w:left="2199" w:hanging="283"/>
      </w:pPr>
      <w:rPr>
        <w:rFonts w:ascii="Times New Roman" w:hAnsi="Times New Roman"/>
      </w:rPr>
    </w:lvl>
  </w:abstractNum>
  <w:abstractNum w:abstractNumId="36" w15:restartNumberingAfterBreak="0">
    <w:nsid w:val="78080A0A"/>
    <w:multiLevelType w:val="singleLevel"/>
    <w:tmpl w:val="3CCA8980"/>
    <w:lvl w:ilvl="0">
      <w:start w:val="1"/>
      <w:numFmt w:val="bullet"/>
      <w:pStyle w:val="ListBullet1"/>
      <w:lvlText w:val=""/>
      <w:lvlJc w:val="left"/>
      <w:pPr>
        <w:tabs>
          <w:tab w:val="num" w:pos="765"/>
        </w:tabs>
        <w:ind w:left="765" w:hanging="283"/>
      </w:pPr>
      <w:rPr>
        <w:rFonts w:ascii="Symbol" w:hAnsi="Symbol"/>
      </w:rPr>
    </w:lvl>
  </w:abstractNum>
  <w:abstractNum w:abstractNumId="37" w15:restartNumberingAfterBreak="0">
    <w:nsid w:val="79C135DF"/>
    <w:multiLevelType w:val="hybridMultilevel"/>
    <w:tmpl w:val="DD28ED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ECB7708"/>
    <w:multiLevelType w:val="singleLevel"/>
    <w:tmpl w:val="5EA8E34C"/>
    <w:lvl w:ilvl="0">
      <w:start w:val="1"/>
      <w:numFmt w:val="decimal"/>
      <w:pStyle w:val="ATHeading1"/>
      <w:lvlText w:val="%1."/>
      <w:lvlJc w:val="left"/>
      <w:pPr>
        <w:tabs>
          <w:tab w:val="num" w:pos="360"/>
        </w:tabs>
        <w:ind w:left="360" w:hanging="360"/>
      </w:pPr>
    </w:lvl>
  </w:abstractNum>
  <w:num w:numId="1" w16cid:durableId="225336152">
    <w:abstractNumId w:val="7"/>
  </w:num>
  <w:num w:numId="2" w16cid:durableId="236136690">
    <w:abstractNumId w:val="1"/>
  </w:num>
  <w:num w:numId="3" w16cid:durableId="1305619113">
    <w:abstractNumId w:val="36"/>
  </w:num>
  <w:num w:numId="4" w16cid:durableId="37508523">
    <w:abstractNumId w:val="13"/>
  </w:num>
  <w:num w:numId="5" w16cid:durableId="164630842">
    <w:abstractNumId w:val="29"/>
  </w:num>
  <w:num w:numId="6" w16cid:durableId="360210092">
    <w:abstractNumId w:val="11"/>
  </w:num>
  <w:num w:numId="7" w16cid:durableId="1884437794">
    <w:abstractNumId w:val="6"/>
  </w:num>
  <w:num w:numId="8" w16cid:durableId="765881603">
    <w:abstractNumId w:val="16"/>
  </w:num>
  <w:num w:numId="9" w16cid:durableId="309293000">
    <w:abstractNumId w:val="35"/>
  </w:num>
  <w:num w:numId="10" w16cid:durableId="672102273">
    <w:abstractNumId w:val="24"/>
  </w:num>
  <w:num w:numId="11" w16cid:durableId="2086217096">
    <w:abstractNumId w:val="27"/>
  </w:num>
  <w:num w:numId="12" w16cid:durableId="1367098859">
    <w:abstractNumId w:val="12"/>
  </w:num>
  <w:num w:numId="13" w16cid:durableId="186530520">
    <w:abstractNumId w:val="17"/>
  </w:num>
  <w:num w:numId="14" w16cid:durableId="1612668148">
    <w:abstractNumId w:val="30"/>
  </w:num>
  <w:num w:numId="15" w16cid:durableId="337924871">
    <w:abstractNumId w:val="15"/>
  </w:num>
  <w:num w:numId="16" w16cid:durableId="1423407802">
    <w:abstractNumId w:val="38"/>
  </w:num>
  <w:num w:numId="17" w16cid:durableId="2035956170">
    <w:abstractNumId w:val="34"/>
  </w:num>
  <w:num w:numId="18" w16cid:durableId="939217833">
    <w:abstractNumId w:val="22"/>
  </w:num>
  <w:num w:numId="19" w16cid:durableId="567418018">
    <w:abstractNumId w:val="23"/>
  </w:num>
  <w:num w:numId="20" w16cid:durableId="1158225616">
    <w:abstractNumId w:val="28"/>
  </w:num>
  <w:num w:numId="21" w16cid:durableId="730426635">
    <w:abstractNumId w:val="4"/>
  </w:num>
  <w:num w:numId="22" w16cid:durableId="735860161">
    <w:abstractNumId w:val="5"/>
  </w:num>
  <w:num w:numId="23" w16cid:durableId="1652249768">
    <w:abstractNumId w:val="21"/>
  </w:num>
  <w:num w:numId="24" w16cid:durableId="2026788374">
    <w:abstractNumId w:val="31"/>
  </w:num>
  <w:num w:numId="25" w16cid:durableId="2018458287">
    <w:abstractNumId w:val="10"/>
  </w:num>
  <w:num w:numId="26" w16cid:durableId="2122800418">
    <w:abstractNumId w:val="33"/>
  </w:num>
  <w:num w:numId="27" w16cid:durableId="418604758">
    <w:abstractNumId w:val="9"/>
  </w:num>
  <w:num w:numId="28" w16cid:durableId="1726248462">
    <w:abstractNumId w:val="2"/>
  </w:num>
  <w:num w:numId="29" w16cid:durableId="2010669237">
    <w:abstractNumId w:val="14"/>
  </w:num>
  <w:num w:numId="30" w16cid:durableId="2000378612">
    <w:abstractNumId w:val="26"/>
  </w:num>
  <w:num w:numId="31" w16cid:durableId="942687891">
    <w:abstractNumId w:val="36"/>
  </w:num>
  <w:num w:numId="32" w16cid:durableId="1545407555">
    <w:abstractNumId w:val="3"/>
  </w:num>
  <w:num w:numId="33" w16cid:durableId="101416641">
    <w:abstractNumId w:val="37"/>
  </w:num>
  <w:num w:numId="34" w16cid:durableId="68115795">
    <w:abstractNumId w:val="32"/>
  </w:num>
  <w:num w:numId="35" w16cid:durableId="2000421755">
    <w:abstractNumId w:val="18"/>
  </w:num>
  <w:num w:numId="36" w16cid:durableId="68164119">
    <w:abstractNumId w:val="19"/>
  </w:num>
  <w:num w:numId="37" w16cid:durableId="177196699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4866429">
    <w:abstractNumId w:val="8"/>
  </w:num>
  <w:num w:numId="39" w16cid:durableId="1002315916">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TEL"/>
  </w:docVars>
  <w:rsids>
    <w:rsidRoot w:val="009A3DA0"/>
    <w:rsid w:val="00000051"/>
    <w:rsid w:val="00000080"/>
    <w:rsid w:val="000001DC"/>
    <w:rsid w:val="0000032F"/>
    <w:rsid w:val="00000397"/>
    <w:rsid w:val="00000486"/>
    <w:rsid w:val="0000050D"/>
    <w:rsid w:val="000005E9"/>
    <w:rsid w:val="000006FD"/>
    <w:rsid w:val="0000071A"/>
    <w:rsid w:val="00000795"/>
    <w:rsid w:val="000009FA"/>
    <w:rsid w:val="00000BE2"/>
    <w:rsid w:val="00000C13"/>
    <w:rsid w:val="00000DBF"/>
    <w:rsid w:val="00001369"/>
    <w:rsid w:val="00001CDC"/>
    <w:rsid w:val="000021E5"/>
    <w:rsid w:val="000023BA"/>
    <w:rsid w:val="000024E2"/>
    <w:rsid w:val="0000279C"/>
    <w:rsid w:val="00002CF6"/>
    <w:rsid w:val="000031B6"/>
    <w:rsid w:val="00003423"/>
    <w:rsid w:val="00003511"/>
    <w:rsid w:val="00003652"/>
    <w:rsid w:val="00003862"/>
    <w:rsid w:val="00003C85"/>
    <w:rsid w:val="00004288"/>
    <w:rsid w:val="0000450D"/>
    <w:rsid w:val="000046C1"/>
    <w:rsid w:val="000048D8"/>
    <w:rsid w:val="00004AFD"/>
    <w:rsid w:val="00004C3F"/>
    <w:rsid w:val="0000525F"/>
    <w:rsid w:val="000054A7"/>
    <w:rsid w:val="00005541"/>
    <w:rsid w:val="000058C9"/>
    <w:rsid w:val="00005961"/>
    <w:rsid w:val="00005D46"/>
    <w:rsid w:val="00005DE3"/>
    <w:rsid w:val="0000613E"/>
    <w:rsid w:val="00006304"/>
    <w:rsid w:val="0000679D"/>
    <w:rsid w:val="000068F7"/>
    <w:rsid w:val="00006B10"/>
    <w:rsid w:val="00006C43"/>
    <w:rsid w:val="00006F0E"/>
    <w:rsid w:val="0000749B"/>
    <w:rsid w:val="000074BB"/>
    <w:rsid w:val="000075DF"/>
    <w:rsid w:val="000078A5"/>
    <w:rsid w:val="00007CED"/>
    <w:rsid w:val="00007ECC"/>
    <w:rsid w:val="0001047E"/>
    <w:rsid w:val="0001064E"/>
    <w:rsid w:val="00010AC9"/>
    <w:rsid w:val="00011281"/>
    <w:rsid w:val="0001134B"/>
    <w:rsid w:val="000113AB"/>
    <w:rsid w:val="0001140F"/>
    <w:rsid w:val="0001153B"/>
    <w:rsid w:val="00011589"/>
    <w:rsid w:val="00011615"/>
    <w:rsid w:val="000116E6"/>
    <w:rsid w:val="00011727"/>
    <w:rsid w:val="000117D8"/>
    <w:rsid w:val="0001183E"/>
    <w:rsid w:val="00011A9B"/>
    <w:rsid w:val="00011B30"/>
    <w:rsid w:val="00011D79"/>
    <w:rsid w:val="0001228B"/>
    <w:rsid w:val="000122B5"/>
    <w:rsid w:val="0001236D"/>
    <w:rsid w:val="0001250D"/>
    <w:rsid w:val="00012EFD"/>
    <w:rsid w:val="0001303B"/>
    <w:rsid w:val="000130BE"/>
    <w:rsid w:val="00013716"/>
    <w:rsid w:val="00013997"/>
    <w:rsid w:val="000139D8"/>
    <w:rsid w:val="00013D92"/>
    <w:rsid w:val="00013EE5"/>
    <w:rsid w:val="0001448B"/>
    <w:rsid w:val="000145A2"/>
    <w:rsid w:val="000146F4"/>
    <w:rsid w:val="000149EF"/>
    <w:rsid w:val="00014A71"/>
    <w:rsid w:val="00014CE1"/>
    <w:rsid w:val="00015264"/>
    <w:rsid w:val="000152CA"/>
    <w:rsid w:val="00015341"/>
    <w:rsid w:val="00015452"/>
    <w:rsid w:val="0001589A"/>
    <w:rsid w:val="00015A65"/>
    <w:rsid w:val="00015B9E"/>
    <w:rsid w:val="00015C38"/>
    <w:rsid w:val="00015EB6"/>
    <w:rsid w:val="00015F13"/>
    <w:rsid w:val="0001612D"/>
    <w:rsid w:val="0001629D"/>
    <w:rsid w:val="000162A0"/>
    <w:rsid w:val="000164BD"/>
    <w:rsid w:val="000166D5"/>
    <w:rsid w:val="00016A8D"/>
    <w:rsid w:val="00016C72"/>
    <w:rsid w:val="000170C1"/>
    <w:rsid w:val="00017265"/>
    <w:rsid w:val="0001730F"/>
    <w:rsid w:val="00017430"/>
    <w:rsid w:val="000174AF"/>
    <w:rsid w:val="0001776A"/>
    <w:rsid w:val="00017883"/>
    <w:rsid w:val="00017A67"/>
    <w:rsid w:val="00017AA9"/>
    <w:rsid w:val="00017C25"/>
    <w:rsid w:val="00017F27"/>
    <w:rsid w:val="00017F3D"/>
    <w:rsid w:val="00020E26"/>
    <w:rsid w:val="000218F1"/>
    <w:rsid w:val="00021AEC"/>
    <w:rsid w:val="00021B43"/>
    <w:rsid w:val="00021BCD"/>
    <w:rsid w:val="00021EF0"/>
    <w:rsid w:val="00021FA4"/>
    <w:rsid w:val="0002207D"/>
    <w:rsid w:val="0002216F"/>
    <w:rsid w:val="000221F2"/>
    <w:rsid w:val="00022538"/>
    <w:rsid w:val="00022669"/>
    <w:rsid w:val="00022775"/>
    <w:rsid w:val="00022776"/>
    <w:rsid w:val="00022903"/>
    <w:rsid w:val="00022B33"/>
    <w:rsid w:val="00022E91"/>
    <w:rsid w:val="00022FAA"/>
    <w:rsid w:val="00023162"/>
    <w:rsid w:val="000232A5"/>
    <w:rsid w:val="00023424"/>
    <w:rsid w:val="00023451"/>
    <w:rsid w:val="00023626"/>
    <w:rsid w:val="00023733"/>
    <w:rsid w:val="00023C78"/>
    <w:rsid w:val="00023E4D"/>
    <w:rsid w:val="000240AC"/>
    <w:rsid w:val="000241F9"/>
    <w:rsid w:val="00024204"/>
    <w:rsid w:val="000242C9"/>
    <w:rsid w:val="0002435B"/>
    <w:rsid w:val="0002435F"/>
    <w:rsid w:val="0002452D"/>
    <w:rsid w:val="00024671"/>
    <w:rsid w:val="00024685"/>
    <w:rsid w:val="000248D5"/>
    <w:rsid w:val="000249F6"/>
    <w:rsid w:val="00024BE2"/>
    <w:rsid w:val="00024C5F"/>
    <w:rsid w:val="00024F7A"/>
    <w:rsid w:val="000250B7"/>
    <w:rsid w:val="00025341"/>
    <w:rsid w:val="00025501"/>
    <w:rsid w:val="0002561D"/>
    <w:rsid w:val="00025D8A"/>
    <w:rsid w:val="00025EB9"/>
    <w:rsid w:val="000260DC"/>
    <w:rsid w:val="000261DA"/>
    <w:rsid w:val="0002630E"/>
    <w:rsid w:val="000265AD"/>
    <w:rsid w:val="000265DD"/>
    <w:rsid w:val="00026B29"/>
    <w:rsid w:val="00026CA1"/>
    <w:rsid w:val="00026D00"/>
    <w:rsid w:val="00026E21"/>
    <w:rsid w:val="0002725A"/>
    <w:rsid w:val="0002747E"/>
    <w:rsid w:val="00027A99"/>
    <w:rsid w:val="00030058"/>
    <w:rsid w:val="000300B4"/>
    <w:rsid w:val="00030676"/>
    <w:rsid w:val="00030996"/>
    <w:rsid w:val="00030E3E"/>
    <w:rsid w:val="000310AA"/>
    <w:rsid w:val="000310E8"/>
    <w:rsid w:val="000315BD"/>
    <w:rsid w:val="00031793"/>
    <w:rsid w:val="00031A4C"/>
    <w:rsid w:val="00031BDA"/>
    <w:rsid w:val="00031CA2"/>
    <w:rsid w:val="00031D00"/>
    <w:rsid w:val="00031DA3"/>
    <w:rsid w:val="00031F4C"/>
    <w:rsid w:val="0003243D"/>
    <w:rsid w:val="000326E6"/>
    <w:rsid w:val="00032766"/>
    <w:rsid w:val="000328B1"/>
    <w:rsid w:val="00032DC3"/>
    <w:rsid w:val="00032E4F"/>
    <w:rsid w:val="00032EDB"/>
    <w:rsid w:val="000332FE"/>
    <w:rsid w:val="000337C2"/>
    <w:rsid w:val="00033EA1"/>
    <w:rsid w:val="00033F57"/>
    <w:rsid w:val="000340CA"/>
    <w:rsid w:val="0003483E"/>
    <w:rsid w:val="000348CA"/>
    <w:rsid w:val="0003496F"/>
    <w:rsid w:val="00034992"/>
    <w:rsid w:val="00034B24"/>
    <w:rsid w:val="00034CA0"/>
    <w:rsid w:val="00034EB6"/>
    <w:rsid w:val="00034FFC"/>
    <w:rsid w:val="0003501A"/>
    <w:rsid w:val="0003509D"/>
    <w:rsid w:val="000350BB"/>
    <w:rsid w:val="000351DA"/>
    <w:rsid w:val="00035357"/>
    <w:rsid w:val="000355A7"/>
    <w:rsid w:val="000356EC"/>
    <w:rsid w:val="00035B81"/>
    <w:rsid w:val="00035CE3"/>
    <w:rsid w:val="00035FDE"/>
    <w:rsid w:val="00036009"/>
    <w:rsid w:val="00036106"/>
    <w:rsid w:val="00036177"/>
    <w:rsid w:val="0003633B"/>
    <w:rsid w:val="00036ADF"/>
    <w:rsid w:val="00037004"/>
    <w:rsid w:val="00037224"/>
    <w:rsid w:val="000372EF"/>
    <w:rsid w:val="0003737B"/>
    <w:rsid w:val="0003745C"/>
    <w:rsid w:val="0003758E"/>
    <w:rsid w:val="000375BA"/>
    <w:rsid w:val="00037990"/>
    <w:rsid w:val="00037D6A"/>
    <w:rsid w:val="00040060"/>
    <w:rsid w:val="00040281"/>
    <w:rsid w:val="00040A13"/>
    <w:rsid w:val="00040BB4"/>
    <w:rsid w:val="00040C7A"/>
    <w:rsid w:val="00040E6E"/>
    <w:rsid w:val="0004105D"/>
    <w:rsid w:val="00041310"/>
    <w:rsid w:val="0004146E"/>
    <w:rsid w:val="000414BC"/>
    <w:rsid w:val="00041718"/>
    <w:rsid w:val="0004189C"/>
    <w:rsid w:val="0004193F"/>
    <w:rsid w:val="0004195A"/>
    <w:rsid w:val="00041A87"/>
    <w:rsid w:val="00041DA3"/>
    <w:rsid w:val="00041F1F"/>
    <w:rsid w:val="0004209B"/>
    <w:rsid w:val="000420DB"/>
    <w:rsid w:val="000421A1"/>
    <w:rsid w:val="00042508"/>
    <w:rsid w:val="00042A8B"/>
    <w:rsid w:val="00042F4E"/>
    <w:rsid w:val="000434BD"/>
    <w:rsid w:val="000436A8"/>
    <w:rsid w:val="00043B7B"/>
    <w:rsid w:val="00043E36"/>
    <w:rsid w:val="000443C3"/>
    <w:rsid w:val="0004455F"/>
    <w:rsid w:val="00044806"/>
    <w:rsid w:val="00044A42"/>
    <w:rsid w:val="00044AB8"/>
    <w:rsid w:val="000454B2"/>
    <w:rsid w:val="00045976"/>
    <w:rsid w:val="00045E41"/>
    <w:rsid w:val="00046550"/>
    <w:rsid w:val="000466E7"/>
    <w:rsid w:val="000468E2"/>
    <w:rsid w:val="00046A3E"/>
    <w:rsid w:val="00046C6A"/>
    <w:rsid w:val="00046D8E"/>
    <w:rsid w:val="0004701B"/>
    <w:rsid w:val="00047124"/>
    <w:rsid w:val="00047444"/>
    <w:rsid w:val="00047661"/>
    <w:rsid w:val="000476C0"/>
    <w:rsid w:val="00047734"/>
    <w:rsid w:val="000477EA"/>
    <w:rsid w:val="00047936"/>
    <w:rsid w:val="0004798E"/>
    <w:rsid w:val="00047BB5"/>
    <w:rsid w:val="00047D53"/>
    <w:rsid w:val="000502A5"/>
    <w:rsid w:val="000504A8"/>
    <w:rsid w:val="0005052B"/>
    <w:rsid w:val="000506A1"/>
    <w:rsid w:val="000508EC"/>
    <w:rsid w:val="000509DA"/>
    <w:rsid w:val="00050AFA"/>
    <w:rsid w:val="00051333"/>
    <w:rsid w:val="00051E3C"/>
    <w:rsid w:val="000520B1"/>
    <w:rsid w:val="00052241"/>
    <w:rsid w:val="00052672"/>
    <w:rsid w:val="00052814"/>
    <w:rsid w:val="000529E9"/>
    <w:rsid w:val="00053766"/>
    <w:rsid w:val="00053BE0"/>
    <w:rsid w:val="00053CB9"/>
    <w:rsid w:val="00053FAD"/>
    <w:rsid w:val="000541A5"/>
    <w:rsid w:val="0005422C"/>
    <w:rsid w:val="000547AF"/>
    <w:rsid w:val="00054C6E"/>
    <w:rsid w:val="00054DF3"/>
    <w:rsid w:val="00055034"/>
    <w:rsid w:val="000550B3"/>
    <w:rsid w:val="0005513C"/>
    <w:rsid w:val="00055234"/>
    <w:rsid w:val="00055406"/>
    <w:rsid w:val="00055569"/>
    <w:rsid w:val="00055DF6"/>
    <w:rsid w:val="00055ED8"/>
    <w:rsid w:val="000568D7"/>
    <w:rsid w:val="000568F4"/>
    <w:rsid w:val="00056C02"/>
    <w:rsid w:val="00057006"/>
    <w:rsid w:val="00057285"/>
    <w:rsid w:val="0005742E"/>
    <w:rsid w:val="00057439"/>
    <w:rsid w:val="000574AC"/>
    <w:rsid w:val="0005753C"/>
    <w:rsid w:val="00057902"/>
    <w:rsid w:val="00057D82"/>
    <w:rsid w:val="00057E1C"/>
    <w:rsid w:val="00057EA9"/>
    <w:rsid w:val="00060742"/>
    <w:rsid w:val="0006088F"/>
    <w:rsid w:val="00060C03"/>
    <w:rsid w:val="00060C9D"/>
    <w:rsid w:val="00060CB2"/>
    <w:rsid w:val="00060D87"/>
    <w:rsid w:val="00060EF5"/>
    <w:rsid w:val="00060F44"/>
    <w:rsid w:val="000611E6"/>
    <w:rsid w:val="0006140F"/>
    <w:rsid w:val="00061530"/>
    <w:rsid w:val="00061536"/>
    <w:rsid w:val="000615E8"/>
    <w:rsid w:val="00061822"/>
    <w:rsid w:val="000619C8"/>
    <w:rsid w:val="00061FAC"/>
    <w:rsid w:val="00061FD0"/>
    <w:rsid w:val="00062240"/>
    <w:rsid w:val="000622F5"/>
    <w:rsid w:val="00062919"/>
    <w:rsid w:val="0006296B"/>
    <w:rsid w:val="000629E6"/>
    <w:rsid w:val="00062BE7"/>
    <w:rsid w:val="00062F5E"/>
    <w:rsid w:val="00063101"/>
    <w:rsid w:val="0006361C"/>
    <w:rsid w:val="00063857"/>
    <w:rsid w:val="0006396A"/>
    <w:rsid w:val="00063A60"/>
    <w:rsid w:val="00063AEF"/>
    <w:rsid w:val="00063B1D"/>
    <w:rsid w:val="00063C33"/>
    <w:rsid w:val="00064178"/>
    <w:rsid w:val="00064195"/>
    <w:rsid w:val="0006443B"/>
    <w:rsid w:val="000647C3"/>
    <w:rsid w:val="00064C35"/>
    <w:rsid w:val="00064D3D"/>
    <w:rsid w:val="00064F90"/>
    <w:rsid w:val="00065096"/>
    <w:rsid w:val="0006524C"/>
    <w:rsid w:val="00065445"/>
    <w:rsid w:val="00065A4F"/>
    <w:rsid w:val="00065ABF"/>
    <w:rsid w:val="00065BA5"/>
    <w:rsid w:val="00065D4F"/>
    <w:rsid w:val="00065D7A"/>
    <w:rsid w:val="00065E7F"/>
    <w:rsid w:val="0006634A"/>
    <w:rsid w:val="000664BE"/>
    <w:rsid w:val="00066554"/>
    <w:rsid w:val="0006680F"/>
    <w:rsid w:val="00066D35"/>
    <w:rsid w:val="00067155"/>
    <w:rsid w:val="00067567"/>
    <w:rsid w:val="00067C33"/>
    <w:rsid w:val="00067FB5"/>
    <w:rsid w:val="000703CB"/>
    <w:rsid w:val="000703FE"/>
    <w:rsid w:val="000705DD"/>
    <w:rsid w:val="000706D4"/>
    <w:rsid w:val="00070AC9"/>
    <w:rsid w:val="000713EE"/>
    <w:rsid w:val="00071470"/>
    <w:rsid w:val="00071695"/>
    <w:rsid w:val="000717D6"/>
    <w:rsid w:val="00071956"/>
    <w:rsid w:val="00071BD3"/>
    <w:rsid w:val="00071CBD"/>
    <w:rsid w:val="00071DDA"/>
    <w:rsid w:val="00071E87"/>
    <w:rsid w:val="00071FC6"/>
    <w:rsid w:val="00072134"/>
    <w:rsid w:val="00072D12"/>
    <w:rsid w:val="00072E6E"/>
    <w:rsid w:val="00072F6B"/>
    <w:rsid w:val="00073100"/>
    <w:rsid w:val="00073283"/>
    <w:rsid w:val="000732A8"/>
    <w:rsid w:val="00073445"/>
    <w:rsid w:val="0007349A"/>
    <w:rsid w:val="000735B6"/>
    <w:rsid w:val="000736A0"/>
    <w:rsid w:val="00073D03"/>
    <w:rsid w:val="0007403A"/>
    <w:rsid w:val="000744AE"/>
    <w:rsid w:val="000744BA"/>
    <w:rsid w:val="00074A10"/>
    <w:rsid w:val="00074BA2"/>
    <w:rsid w:val="00074C5D"/>
    <w:rsid w:val="00074D75"/>
    <w:rsid w:val="00074DB5"/>
    <w:rsid w:val="00074E52"/>
    <w:rsid w:val="00074FA3"/>
    <w:rsid w:val="000751AC"/>
    <w:rsid w:val="000752DB"/>
    <w:rsid w:val="0007575A"/>
    <w:rsid w:val="00075847"/>
    <w:rsid w:val="00075908"/>
    <w:rsid w:val="00075952"/>
    <w:rsid w:val="00075C60"/>
    <w:rsid w:val="00075D4A"/>
    <w:rsid w:val="00077252"/>
    <w:rsid w:val="000776B1"/>
    <w:rsid w:val="000776D8"/>
    <w:rsid w:val="00077912"/>
    <w:rsid w:val="00077B88"/>
    <w:rsid w:val="00077BFB"/>
    <w:rsid w:val="000800AF"/>
    <w:rsid w:val="00080191"/>
    <w:rsid w:val="0008029D"/>
    <w:rsid w:val="000804D5"/>
    <w:rsid w:val="000807AE"/>
    <w:rsid w:val="000807B5"/>
    <w:rsid w:val="00080AD9"/>
    <w:rsid w:val="00080B91"/>
    <w:rsid w:val="00080CE2"/>
    <w:rsid w:val="00080F35"/>
    <w:rsid w:val="000811A4"/>
    <w:rsid w:val="000811D4"/>
    <w:rsid w:val="00081259"/>
    <w:rsid w:val="00081792"/>
    <w:rsid w:val="0008187A"/>
    <w:rsid w:val="0008189D"/>
    <w:rsid w:val="0008216A"/>
    <w:rsid w:val="0008217D"/>
    <w:rsid w:val="000825F0"/>
    <w:rsid w:val="000827CD"/>
    <w:rsid w:val="00082B1C"/>
    <w:rsid w:val="00083121"/>
    <w:rsid w:val="00083469"/>
    <w:rsid w:val="000834CD"/>
    <w:rsid w:val="000835B0"/>
    <w:rsid w:val="000835F5"/>
    <w:rsid w:val="0008378A"/>
    <w:rsid w:val="00083B96"/>
    <w:rsid w:val="00083EAD"/>
    <w:rsid w:val="00084044"/>
    <w:rsid w:val="00084211"/>
    <w:rsid w:val="00084419"/>
    <w:rsid w:val="0008449C"/>
    <w:rsid w:val="000845D7"/>
    <w:rsid w:val="000846F8"/>
    <w:rsid w:val="00084B71"/>
    <w:rsid w:val="00084D1E"/>
    <w:rsid w:val="00084DFB"/>
    <w:rsid w:val="00084EE5"/>
    <w:rsid w:val="0008526A"/>
    <w:rsid w:val="000853EB"/>
    <w:rsid w:val="00085484"/>
    <w:rsid w:val="00085847"/>
    <w:rsid w:val="00085BE8"/>
    <w:rsid w:val="00085E04"/>
    <w:rsid w:val="0008608A"/>
    <w:rsid w:val="000863ED"/>
    <w:rsid w:val="00086911"/>
    <w:rsid w:val="00086C30"/>
    <w:rsid w:val="00086D5D"/>
    <w:rsid w:val="00086DA6"/>
    <w:rsid w:val="000875DD"/>
    <w:rsid w:val="00087C2A"/>
    <w:rsid w:val="00087E0A"/>
    <w:rsid w:val="00090055"/>
    <w:rsid w:val="000901F1"/>
    <w:rsid w:val="0009096A"/>
    <w:rsid w:val="00090B6B"/>
    <w:rsid w:val="00090D4B"/>
    <w:rsid w:val="00090EA4"/>
    <w:rsid w:val="00090ED9"/>
    <w:rsid w:val="000910D7"/>
    <w:rsid w:val="0009166A"/>
    <w:rsid w:val="000918B2"/>
    <w:rsid w:val="00091CE2"/>
    <w:rsid w:val="0009205D"/>
    <w:rsid w:val="00092442"/>
    <w:rsid w:val="0009257A"/>
    <w:rsid w:val="00092B44"/>
    <w:rsid w:val="00092C2D"/>
    <w:rsid w:val="00092EB9"/>
    <w:rsid w:val="0009343D"/>
    <w:rsid w:val="00093617"/>
    <w:rsid w:val="00093E98"/>
    <w:rsid w:val="00093F2A"/>
    <w:rsid w:val="00093FDF"/>
    <w:rsid w:val="00094051"/>
    <w:rsid w:val="000942B9"/>
    <w:rsid w:val="00094353"/>
    <w:rsid w:val="000945D6"/>
    <w:rsid w:val="00094600"/>
    <w:rsid w:val="00094AC0"/>
    <w:rsid w:val="00094B2F"/>
    <w:rsid w:val="000953C5"/>
    <w:rsid w:val="0009571A"/>
    <w:rsid w:val="000957A2"/>
    <w:rsid w:val="00095892"/>
    <w:rsid w:val="00095A1A"/>
    <w:rsid w:val="00095A8C"/>
    <w:rsid w:val="00095C0B"/>
    <w:rsid w:val="00095C79"/>
    <w:rsid w:val="00096343"/>
    <w:rsid w:val="00096552"/>
    <w:rsid w:val="00096607"/>
    <w:rsid w:val="00096700"/>
    <w:rsid w:val="0009691F"/>
    <w:rsid w:val="00096925"/>
    <w:rsid w:val="0009694F"/>
    <w:rsid w:val="00096B06"/>
    <w:rsid w:val="0009706D"/>
    <w:rsid w:val="00097551"/>
    <w:rsid w:val="000975A5"/>
    <w:rsid w:val="00097833"/>
    <w:rsid w:val="000978DD"/>
    <w:rsid w:val="00097A89"/>
    <w:rsid w:val="00097D54"/>
    <w:rsid w:val="00097E80"/>
    <w:rsid w:val="00097F2B"/>
    <w:rsid w:val="000A0424"/>
    <w:rsid w:val="000A05BC"/>
    <w:rsid w:val="000A06AB"/>
    <w:rsid w:val="000A07D2"/>
    <w:rsid w:val="000A07F3"/>
    <w:rsid w:val="000A0849"/>
    <w:rsid w:val="000A09F3"/>
    <w:rsid w:val="000A0BAF"/>
    <w:rsid w:val="000A1105"/>
    <w:rsid w:val="000A1418"/>
    <w:rsid w:val="000A1760"/>
    <w:rsid w:val="000A19A2"/>
    <w:rsid w:val="000A1BDC"/>
    <w:rsid w:val="000A1CD5"/>
    <w:rsid w:val="000A1E0A"/>
    <w:rsid w:val="000A1E8A"/>
    <w:rsid w:val="000A227F"/>
    <w:rsid w:val="000A22C0"/>
    <w:rsid w:val="000A2388"/>
    <w:rsid w:val="000A2AC3"/>
    <w:rsid w:val="000A2CC6"/>
    <w:rsid w:val="000A30BD"/>
    <w:rsid w:val="000A3320"/>
    <w:rsid w:val="000A3563"/>
    <w:rsid w:val="000A3909"/>
    <w:rsid w:val="000A3935"/>
    <w:rsid w:val="000A3E2D"/>
    <w:rsid w:val="000A44D4"/>
    <w:rsid w:val="000A4524"/>
    <w:rsid w:val="000A4554"/>
    <w:rsid w:val="000A4A38"/>
    <w:rsid w:val="000A4B74"/>
    <w:rsid w:val="000A508F"/>
    <w:rsid w:val="000A52E7"/>
    <w:rsid w:val="000A5446"/>
    <w:rsid w:val="000A544B"/>
    <w:rsid w:val="000A591E"/>
    <w:rsid w:val="000A5A20"/>
    <w:rsid w:val="000A5A43"/>
    <w:rsid w:val="000A5D40"/>
    <w:rsid w:val="000A5DAF"/>
    <w:rsid w:val="000A6107"/>
    <w:rsid w:val="000A6195"/>
    <w:rsid w:val="000A64E1"/>
    <w:rsid w:val="000A6500"/>
    <w:rsid w:val="000A65ED"/>
    <w:rsid w:val="000A6ADD"/>
    <w:rsid w:val="000A6ECC"/>
    <w:rsid w:val="000A716D"/>
    <w:rsid w:val="000A77D0"/>
    <w:rsid w:val="000A7823"/>
    <w:rsid w:val="000A79F0"/>
    <w:rsid w:val="000A7A88"/>
    <w:rsid w:val="000A7A8B"/>
    <w:rsid w:val="000A7C1F"/>
    <w:rsid w:val="000A7F9D"/>
    <w:rsid w:val="000B01AF"/>
    <w:rsid w:val="000B0467"/>
    <w:rsid w:val="000B055C"/>
    <w:rsid w:val="000B07AA"/>
    <w:rsid w:val="000B09D0"/>
    <w:rsid w:val="000B0F74"/>
    <w:rsid w:val="000B1471"/>
    <w:rsid w:val="000B16FC"/>
    <w:rsid w:val="000B1845"/>
    <w:rsid w:val="000B1B92"/>
    <w:rsid w:val="000B1CA5"/>
    <w:rsid w:val="000B1F9F"/>
    <w:rsid w:val="000B250E"/>
    <w:rsid w:val="000B25E8"/>
    <w:rsid w:val="000B281C"/>
    <w:rsid w:val="000B29E5"/>
    <w:rsid w:val="000B2A6D"/>
    <w:rsid w:val="000B2C0D"/>
    <w:rsid w:val="000B2C17"/>
    <w:rsid w:val="000B2CE1"/>
    <w:rsid w:val="000B2FAD"/>
    <w:rsid w:val="000B307A"/>
    <w:rsid w:val="000B30CD"/>
    <w:rsid w:val="000B3373"/>
    <w:rsid w:val="000B3478"/>
    <w:rsid w:val="000B37E6"/>
    <w:rsid w:val="000B3BA4"/>
    <w:rsid w:val="000B3BDA"/>
    <w:rsid w:val="000B3E6B"/>
    <w:rsid w:val="000B3FC1"/>
    <w:rsid w:val="000B414C"/>
    <w:rsid w:val="000B41C6"/>
    <w:rsid w:val="000B43C6"/>
    <w:rsid w:val="000B47A7"/>
    <w:rsid w:val="000B48FF"/>
    <w:rsid w:val="000B497E"/>
    <w:rsid w:val="000B4C66"/>
    <w:rsid w:val="000B4D57"/>
    <w:rsid w:val="000B4EBD"/>
    <w:rsid w:val="000B54AE"/>
    <w:rsid w:val="000B58B6"/>
    <w:rsid w:val="000B595A"/>
    <w:rsid w:val="000B5C5B"/>
    <w:rsid w:val="000B5FF0"/>
    <w:rsid w:val="000B607D"/>
    <w:rsid w:val="000B6139"/>
    <w:rsid w:val="000B61F1"/>
    <w:rsid w:val="000B641A"/>
    <w:rsid w:val="000B64EA"/>
    <w:rsid w:val="000B66DF"/>
    <w:rsid w:val="000B67EE"/>
    <w:rsid w:val="000B6A5E"/>
    <w:rsid w:val="000B70BC"/>
    <w:rsid w:val="000B739A"/>
    <w:rsid w:val="000B73B7"/>
    <w:rsid w:val="000B7631"/>
    <w:rsid w:val="000B776B"/>
    <w:rsid w:val="000B7A33"/>
    <w:rsid w:val="000B7AF5"/>
    <w:rsid w:val="000B7B36"/>
    <w:rsid w:val="000B7E37"/>
    <w:rsid w:val="000C0100"/>
    <w:rsid w:val="000C027E"/>
    <w:rsid w:val="000C0681"/>
    <w:rsid w:val="000C0999"/>
    <w:rsid w:val="000C0E3A"/>
    <w:rsid w:val="000C0EAA"/>
    <w:rsid w:val="000C0FF7"/>
    <w:rsid w:val="000C109C"/>
    <w:rsid w:val="000C1898"/>
    <w:rsid w:val="000C1978"/>
    <w:rsid w:val="000C1A64"/>
    <w:rsid w:val="000C1ADA"/>
    <w:rsid w:val="000C1B81"/>
    <w:rsid w:val="000C1E86"/>
    <w:rsid w:val="000C1EEB"/>
    <w:rsid w:val="000C1F70"/>
    <w:rsid w:val="000C2046"/>
    <w:rsid w:val="000C2A98"/>
    <w:rsid w:val="000C2C36"/>
    <w:rsid w:val="000C2CC9"/>
    <w:rsid w:val="000C2E50"/>
    <w:rsid w:val="000C3067"/>
    <w:rsid w:val="000C30DD"/>
    <w:rsid w:val="000C323C"/>
    <w:rsid w:val="000C34F0"/>
    <w:rsid w:val="000C3512"/>
    <w:rsid w:val="000C3534"/>
    <w:rsid w:val="000C3BFA"/>
    <w:rsid w:val="000C3D3E"/>
    <w:rsid w:val="000C3E3B"/>
    <w:rsid w:val="000C4015"/>
    <w:rsid w:val="000C405D"/>
    <w:rsid w:val="000C4440"/>
    <w:rsid w:val="000C45D5"/>
    <w:rsid w:val="000C4733"/>
    <w:rsid w:val="000C4791"/>
    <w:rsid w:val="000C4804"/>
    <w:rsid w:val="000C486E"/>
    <w:rsid w:val="000C4BEC"/>
    <w:rsid w:val="000C4CD3"/>
    <w:rsid w:val="000C52B2"/>
    <w:rsid w:val="000C53D3"/>
    <w:rsid w:val="000C53D4"/>
    <w:rsid w:val="000C5518"/>
    <w:rsid w:val="000C5720"/>
    <w:rsid w:val="000C5898"/>
    <w:rsid w:val="000C61AB"/>
    <w:rsid w:val="000C628E"/>
    <w:rsid w:val="000C6577"/>
    <w:rsid w:val="000C6610"/>
    <w:rsid w:val="000C6902"/>
    <w:rsid w:val="000C69CA"/>
    <w:rsid w:val="000C71A3"/>
    <w:rsid w:val="000C728E"/>
    <w:rsid w:val="000C755B"/>
    <w:rsid w:val="000C7646"/>
    <w:rsid w:val="000C7708"/>
    <w:rsid w:val="000C7914"/>
    <w:rsid w:val="000C7A75"/>
    <w:rsid w:val="000C7BE4"/>
    <w:rsid w:val="000C7E7C"/>
    <w:rsid w:val="000D02D7"/>
    <w:rsid w:val="000D0536"/>
    <w:rsid w:val="000D057B"/>
    <w:rsid w:val="000D0723"/>
    <w:rsid w:val="000D082B"/>
    <w:rsid w:val="000D0AEE"/>
    <w:rsid w:val="000D1461"/>
    <w:rsid w:val="000D1C63"/>
    <w:rsid w:val="000D1F8D"/>
    <w:rsid w:val="000D20A1"/>
    <w:rsid w:val="000D23CE"/>
    <w:rsid w:val="000D25EF"/>
    <w:rsid w:val="000D2718"/>
    <w:rsid w:val="000D280C"/>
    <w:rsid w:val="000D333F"/>
    <w:rsid w:val="000D34BD"/>
    <w:rsid w:val="000D3537"/>
    <w:rsid w:val="000D37F7"/>
    <w:rsid w:val="000D38B0"/>
    <w:rsid w:val="000D390C"/>
    <w:rsid w:val="000D3A17"/>
    <w:rsid w:val="000D3D36"/>
    <w:rsid w:val="000D414D"/>
    <w:rsid w:val="000D416D"/>
    <w:rsid w:val="000D4186"/>
    <w:rsid w:val="000D4395"/>
    <w:rsid w:val="000D4534"/>
    <w:rsid w:val="000D45F1"/>
    <w:rsid w:val="000D46FC"/>
    <w:rsid w:val="000D47E4"/>
    <w:rsid w:val="000D4894"/>
    <w:rsid w:val="000D4E86"/>
    <w:rsid w:val="000D4EB1"/>
    <w:rsid w:val="000D51B6"/>
    <w:rsid w:val="000D5487"/>
    <w:rsid w:val="000D5579"/>
    <w:rsid w:val="000D5939"/>
    <w:rsid w:val="000D5BB3"/>
    <w:rsid w:val="000D5BD5"/>
    <w:rsid w:val="000D60AC"/>
    <w:rsid w:val="000D60E8"/>
    <w:rsid w:val="000D63FC"/>
    <w:rsid w:val="000D655C"/>
    <w:rsid w:val="000D6660"/>
    <w:rsid w:val="000D66D1"/>
    <w:rsid w:val="000D6895"/>
    <w:rsid w:val="000D6953"/>
    <w:rsid w:val="000D6DC4"/>
    <w:rsid w:val="000D6FA4"/>
    <w:rsid w:val="000D708B"/>
    <w:rsid w:val="000D73E2"/>
    <w:rsid w:val="000D744E"/>
    <w:rsid w:val="000D7527"/>
    <w:rsid w:val="000D7700"/>
    <w:rsid w:val="000D7721"/>
    <w:rsid w:val="000D7802"/>
    <w:rsid w:val="000D7806"/>
    <w:rsid w:val="000D7836"/>
    <w:rsid w:val="000D7B79"/>
    <w:rsid w:val="000D7D6A"/>
    <w:rsid w:val="000D7E48"/>
    <w:rsid w:val="000D7F97"/>
    <w:rsid w:val="000E0200"/>
    <w:rsid w:val="000E0223"/>
    <w:rsid w:val="000E0335"/>
    <w:rsid w:val="000E03A7"/>
    <w:rsid w:val="000E07F5"/>
    <w:rsid w:val="000E082D"/>
    <w:rsid w:val="000E094A"/>
    <w:rsid w:val="000E0C92"/>
    <w:rsid w:val="000E0E67"/>
    <w:rsid w:val="000E1071"/>
    <w:rsid w:val="000E14F3"/>
    <w:rsid w:val="000E18B0"/>
    <w:rsid w:val="000E198B"/>
    <w:rsid w:val="000E1A41"/>
    <w:rsid w:val="000E1A9E"/>
    <w:rsid w:val="000E1BF8"/>
    <w:rsid w:val="000E1D21"/>
    <w:rsid w:val="000E1EE0"/>
    <w:rsid w:val="000E2609"/>
    <w:rsid w:val="000E26CD"/>
    <w:rsid w:val="000E27EA"/>
    <w:rsid w:val="000E2C4B"/>
    <w:rsid w:val="000E2D27"/>
    <w:rsid w:val="000E2F2B"/>
    <w:rsid w:val="000E2F5A"/>
    <w:rsid w:val="000E356E"/>
    <w:rsid w:val="000E35F1"/>
    <w:rsid w:val="000E3A04"/>
    <w:rsid w:val="000E3A37"/>
    <w:rsid w:val="000E3A7F"/>
    <w:rsid w:val="000E3B7F"/>
    <w:rsid w:val="000E3C1E"/>
    <w:rsid w:val="000E3EC4"/>
    <w:rsid w:val="000E3FBC"/>
    <w:rsid w:val="000E459D"/>
    <w:rsid w:val="000E4750"/>
    <w:rsid w:val="000E4788"/>
    <w:rsid w:val="000E4C8C"/>
    <w:rsid w:val="000E4C9D"/>
    <w:rsid w:val="000E4E61"/>
    <w:rsid w:val="000E51A0"/>
    <w:rsid w:val="000E58E0"/>
    <w:rsid w:val="000E59FD"/>
    <w:rsid w:val="000E5C16"/>
    <w:rsid w:val="000E6201"/>
    <w:rsid w:val="000E68CA"/>
    <w:rsid w:val="000E690A"/>
    <w:rsid w:val="000E695D"/>
    <w:rsid w:val="000E699A"/>
    <w:rsid w:val="000E6FA8"/>
    <w:rsid w:val="000E702D"/>
    <w:rsid w:val="000E719A"/>
    <w:rsid w:val="000E72A8"/>
    <w:rsid w:val="000E7303"/>
    <w:rsid w:val="000E75D1"/>
    <w:rsid w:val="000E7FD0"/>
    <w:rsid w:val="000F0118"/>
    <w:rsid w:val="000F023F"/>
    <w:rsid w:val="000F0582"/>
    <w:rsid w:val="000F0603"/>
    <w:rsid w:val="000F08AF"/>
    <w:rsid w:val="000F0B16"/>
    <w:rsid w:val="000F0B77"/>
    <w:rsid w:val="000F1404"/>
    <w:rsid w:val="000F1480"/>
    <w:rsid w:val="000F1A32"/>
    <w:rsid w:val="000F24AC"/>
    <w:rsid w:val="000F2713"/>
    <w:rsid w:val="000F2E1A"/>
    <w:rsid w:val="000F343E"/>
    <w:rsid w:val="000F3948"/>
    <w:rsid w:val="000F39AA"/>
    <w:rsid w:val="000F3B1E"/>
    <w:rsid w:val="000F3CF6"/>
    <w:rsid w:val="000F3D65"/>
    <w:rsid w:val="000F3F15"/>
    <w:rsid w:val="000F4058"/>
    <w:rsid w:val="000F43EC"/>
    <w:rsid w:val="000F454E"/>
    <w:rsid w:val="000F46D8"/>
    <w:rsid w:val="000F47D5"/>
    <w:rsid w:val="000F48A0"/>
    <w:rsid w:val="000F49EA"/>
    <w:rsid w:val="000F4A60"/>
    <w:rsid w:val="000F4B0A"/>
    <w:rsid w:val="000F4D76"/>
    <w:rsid w:val="000F4E7E"/>
    <w:rsid w:val="000F514F"/>
    <w:rsid w:val="000F52C9"/>
    <w:rsid w:val="000F54AD"/>
    <w:rsid w:val="000F5A73"/>
    <w:rsid w:val="000F5F64"/>
    <w:rsid w:val="000F63D5"/>
    <w:rsid w:val="000F6650"/>
    <w:rsid w:val="000F6AE0"/>
    <w:rsid w:val="000F6C35"/>
    <w:rsid w:val="000F6E53"/>
    <w:rsid w:val="000F6F9E"/>
    <w:rsid w:val="000F7126"/>
    <w:rsid w:val="000F7275"/>
    <w:rsid w:val="000F77FE"/>
    <w:rsid w:val="000F7AFB"/>
    <w:rsid w:val="000F7BB0"/>
    <w:rsid w:val="000F7CDA"/>
    <w:rsid w:val="000F7D76"/>
    <w:rsid w:val="001002AB"/>
    <w:rsid w:val="00100669"/>
    <w:rsid w:val="0010068B"/>
    <w:rsid w:val="00100830"/>
    <w:rsid w:val="00100D89"/>
    <w:rsid w:val="00100F0B"/>
    <w:rsid w:val="00101519"/>
    <w:rsid w:val="00101721"/>
    <w:rsid w:val="0010195B"/>
    <w:rsid w:val="00101B5C"/>
    <w:rsid w:val="00101BA0"/>
    <w:rsid w:val="00101DA2"/>
    <w:rsid w:val="00101E67"/>
    <w:rsid w:val="00101ED4"/>
    <w:rsid w:val="001020E1"/>
    <w:rsid w:val="001021D2"/>
    <w:rsid w:val="00102311"/>
    <w:rsid w:val="0010247B"/>
    <w:rsid w:val="001026A3"/>
    <w:rsid w:val="001028DE"/>
    <w:rsid w:val="00102CB5"/>
    <w:rsid w:val="00102E26"/>
    <w:rsid w:val="00102F10"/>
    <w:rsid w:val="00102FEA"/>
    <w:rsid w:val="00103293"/>
    <w:rsid w:val="001033A4"/>
    <w:rsid w:val="00103442"/>
    <w:rsid w:val="001035F6"/>
    <w:rsid w:val="0010374F"/>
    <w:rsid w:val="00103959"/>
    <w:rsid w:val="00103CCA"/>
    <w:rsid w:val="00103DE9"/>
    <w:rsid w:val="00103FA7"/>
    <w:rsid w:val="00104198"/>
    <w:rsid w:val="0010440E"/>
    <w:rsid w:val="00104824"/>
    <w:rsid w:val="001048AE"/>
    <w:rsid w:val="00104CC5"/>
    <w:rsid w:val="00104E16"/>
    <w:rsid w:val="0010517D"/>
    <w:rsid w:val="0010525A"/>
    <w:rsid w:val="001054F9"/>
    <w:rsid w:val="001055C5"/>
    <w:rsid w:val="00105660"/>
    <w:rsid w:val="0010582B"/>
    <w:rsid w:val="00105A47"/>
    <w:rsid w:val="00105ABA"/>
    <w:rsid w:val="00105C4F"/>
    <w:rsid w:val="0010606B"/>
    <w:rsid w:val="0010634A"/>
    <w:rsid w:val="00106376"/>
    <w:rsid w:val="001069D6"/>
    <w:rsid w:val="00106D10"/>
    <w:rsid w:val="00107244"/>
    <w:rsid w:val="0010748A"/>
    <w:rsid w:val="001074E6"/>
    <w:rsid w:val="00107718"/>
    <w:rsid w:val="00107EB5"/>
    <w:rsid w:val="00110052"/>
    <w:rsid w:val="0011006F"/>
    <w:rsid w:val="00110158"/>
    <w:rsid w:val="001106DA"/>
    <w:rsid w:val="001107B9"/>
    <w:rsid w:val="00110C86"/>
    <w:rsid w:val="00110DE1"/>
    <w:rsid w:val="00110F5F"/>
    <w:rsid w:val="001111EF"/>
    <w:rsid w:val="00111223"/>
    <w:rsid w:val="00111350"/>
    <w:rsid w:val="0011142F"/>
    <w:rsid w:val="00111643"/>
    <w:rsid w:val="0011166B"/>
    <w:rsid w:val="00111A81"/>
    <w:rsid w:val="00111D10"/>
    <w:rsid w:val="00112203"/>
    <w:rsid w:val="00112486"/>
    <w:rsid w:val="00112539"/>
    <w:rsid w:val="00112579"/>
    <w:rsid w:val="00112A1C"/>
    <w:rsid w:val="00112ED5"/>
    <w:rsid w:val="00113072"/>
    <w:rsid w:val="0011325C"/>
    <w:rsid w:val="0011381F"/>
    <w:rsid w:val="00113B42"/>
    <w:rsid w:val="00113E69"/>
    <w:rsid w:val="00113F1A"/>
    <w:rsid w:val="00114480"/>
    <w:rsid w:val="00114568"/>
    <w:rsid w:val="0011485F"/>
    <w:rsid w:val="001148C2"/>
    <w:rsid w:val="00114954"/>
    <w:rsid w:val="00114C21"/>
    <w:rsid w:val="00115521"/>
    <w:rsid w:val="0011567E"/>
    <w:rsid w:val="0011582E"/>
    <w:rsid w:val="001158F2"/>
    <w:rsid w:val="00115B02"/>
    <w:rsid w:val="00115E85"/>
    <w:rsid w:val="00116169"/>
    <w:rsid w:val="001163D1"/>
    <w:rsid w:val="00116539"/>
    <w:rsid w:val="001166A1"/>
    <w:rsid w:val="00116823"/>
    <w:rsid w:val="00116AC9"/>
    <w:rsid w:val="00116B75"/>
    <w:rsid w:val="001176DE"/>
    <w:rsid w:val="0011799C"/>
    <w:rsid w:val="00117E41"/>
    <w:rsid w:val="00117F86"/>
    <w:rsid w:val="00120043"/>
    <w:rsid w:val="00120230"/>
    <w:rsid w:val="00120411"/>
    <w:rsid w:val="0012079D"/>
    <w:rsid w:val="00120E34"/>
    <w:rsid w:val="00120E8D"/>
    <w:rsid w:val="0012121E"/>
    <w:rsid w:val="00121335"/>
    <w:rsid w:val="00121382"/>
    <w:rsid w:val="00121541"/>
    <w:rsid w:val="00121B5E"/>
    <w:rsid w:val="00121E93"/>
    <w:rsid w:val="00121EDE"/>
    <w:rsid w:val="00121F5D"/>
    <w:rsid w:val="00122706"/>
    <w:rsid w:val="00122B44"/>
    <w:rsid w:val="00123681"/>
    <w:rsid w:val="001238F5"/>
    <w:rsid w:val="00123957"/>
    <w:rsid w:val="00123A19"/>
    <w:rsid w:val="00123AB0"/>
    <w:rsid w:val="00123BDF"/>
    <w:rsid w:val="0012410B"/>
    <w:rsid w:val="00124328"/>
    <w:rsid w:val="0012440C"/>
    <w:rsid w:val="00124462"/>
    <w:rsid w:val="001245F3"/>
    <w:rsid w:val="0012465E"/>
    <w:rsid w:val="0012482B"/>
    <w:rsid w:val="00124A0A"/>
    <w:rsid w:val="00124A7A"/>
    <w:rsid w:val="00124E68"/>
    <w:rsid w:val="00125393"/>
    <w:rsid w:val="00125666"/>
    <w:rsid w:val="001257EB"/>
    <w:rsid w:val="00125AD3"/>
    <w:rsid w:val="00125B17"/>
    <w:rsid w:val="001260EA"/>
    <w:rsid w:val="001261A4"/>
    <w:rsid w:val="001261BA"/>
    <w:rsid w:val="00126295"/>
    <w:rsid w:val="00126493"/>
    <w:rsid w:val="0012657B"/>
    <w:rsid w:val="00126F64"/>
    <w:rsid w:val="00127008"/>
    <w:rsid w:val="0012713C"/>
    <w:rsid w:val="00127307"/>
    <w:rsid w:val="0012736F"/>
    <w:rsid w:val="00127422"/>
    <w:rsid w:val="001275A6"/>
    <w:rsid w:val="00127654"/>
    <w:rsid w:val="00127678"/>
    <w:rsid w:val="00127739"/>
    <w:rsid w:val="00127CE6"/>
    <w:rsid w:val="001304C4"/>
    <w:rsid w:val="00130541"/>
    <w:rsid w:val="00130719"/>
    <w:rsid w:val="00130B37"/>
    <w:rsid w:val="00130B64"/>
    <w:rsid w:val="00130E70"/>
    <w:rsid w:val="00130FF4"/>
    <w:rsid w:val="001312DE"/>
    <w:rsid w:val="001315A5"/>
    <w:rsid w:val="001315EB"/>
    <w:rsid w:val="00131B2B"/>
    <w:rsid w:val="00131B4D"/>
    <w:rsid w:val="00131BB3"/>
    <w:rsid w:val="001320D2"/>
    <w:rsid w:val="001322C9"/>
    <w:rsid w:val="001323E0"/>
    <w:rsid w:val="00132432"/>
    <w:rsid w:val="0013245F"/>
    <w:rsid w:val="00132665"/>
    <w:rsid w:val="001327A2"/>
    <w:rsid w:val="00132DA0"/>
    <w:rsid w:val="00132E24"/>
    <w:rsid w:val="00132F4C"/>
    <w:rsid w:val="00132F88"/>
    <w:rsid w:val="001331B5"/>
    <w:rsid w:val="001332BB"/>
    <w:rsid w:val="001332DE"/>
    <w:rsid w:val="001334FF"/>
    <w:rsid w:val="00133885"/>
    <w:rsid w:val="00133938"/>
    <w:rsid w:val="0013397A"/>
    <w:rsid w:val="00133BE8"/>
    <w:rsid w:val="00133FAD"/>
    <w:rsid w:val="00134114"/>
    <w:rsid w:val="001341EF"/>
    <w:rsid w:val="001343DF"/>
    <w:rsid w:val="0013462F"/>
    <w:rsid w:val="0013494F"/>
    <w:rsid w:val="001349BA"/>
    <w:rsid w:val="00134AAE"/>
    <w:rsid w:val="00134DB4"/>
    <w:rsid w:val="00134E51"/>
    <w:rsid w:val="00134F5D"/>
    <w:rsid w:val="00134FA5"/>
    <w:rsid w:val="0013524C"/>
    <w:rsid w:val="001354C7"/>
    <w:rsid w:val="001356D5"/>
    <w:rsid w:val="00135C65"/>
    <w:rsid w:val="00135DC8"/>
    <w:rsid w:val="00135F3C"/>
    <w:rsid w:val="001361F1"/>
    <w:rsid w:val="001363F1"/>
    <w:rsid w:val="001364BC"/>
    <w:rsid w:val="00136660"/>
    <w:rsid w:val="001366A2"/>
    <w:rsid w:val="00136D26"/>
    <w:rsid w:val="001370BE"/>
    <w:rsid w:val="00137319"/>
    <w:rsid w:val="00137470"/>
    <w:rsid w:val="00140405"/>
    <w:rsid w:val="001409FC"/>
    <w:rsid w:val="00140A06"/>
    <w:rsid w:val="00140B17"/>
    <w:rsid w:val="00140B5B"/>
    <w:rsid w:val="00140B81"/>
    <w:rsid w:val="00140C28"/>
    <w:rsid w:val="00141418"/>
    <w:rsid w:val="001415DA"/>
    <w:rsid w:val="001416BD"/>
    <w:rsid w:val="0014174F"/>
    <w:rsid w:val="00141A02"/>
    <w:rsid w:val="00141C08"/>
    <w:rsid w:val="00141CA1"/>
    <w:rsid w:val="0014201B"/>
    <w:rsid w:val="00142062"/>
    <w:rsid w:val="0014210A"/>
    <w:rsid w:val="00142485"/>
    <w:rsid w:val="0014296A"/>
    <w:rsid w:val="00143061"/>
    <w:rsid w:val="00143137"/>
    <w:rsid w:val="00143335"/>
    <w:rsid w:val="00143391"/>
    <w:rsid w:val="001438FC"/>
    <w:rsid w:val="00143B3A"/>
    <w:rsid w:val="00143DDE"/>
    <w:rsid w:val="00143F3D"/>
    <w:rsid w:val="0014413D"/>
    <w:rsid w:val="00145AB8"/>
    <w:rsid w:val="00145BBD"/>
    <w:rsid w:val="00145D7D"/>
    <w:rsid w:val="001463CA"/>
    <w:rsid w:val="00146572"/>
    <w:rsid w:val="0014708A"/>
    <w:rsid w:val="00147197"/>
    <w:rsid w:val="001476D4"/>
    <w:rsid w:val="0014776E"/>
    <w:rsid w:val="00147784"/>
    <w:rsid w:val="00147791"/>
    <w:rsid w:val="001477F4"/>
    <w:rsid w:val="00147B3E"/>
    <w:rsid w:val="00147E99"/>
    <w:rsid w:val="00150056"/>
    <w:rsid w:val="0015007A"/>
    <w:rsid w:val="001501AF"/>
    <w:rsid w:val="0015095B"/>
    <w:rsid w:val="00150A4F"/>
    <w:rsid w:val="00150F85"/>
    <w:rsid w:val="00151028"/>
    <w:rsid w:val="0015144C"/>
    <w:rsid w:val="00151521"/>
    <w:rsid w:val="00151572"/>
    <w:rsid w:val="00151969"/>
    <w:rsid w:val="00151B26"/>
    <w:rsid w:val="00151F5E"/>
    <w:rsid w:val="00151F7E"/>
    <w:rsid w:val="001520FA"/>
    <w:rsid w:val="0015220F"/>
    <w:rsid w:val="00152B3C"/>
    <w:rsid w:val="00152D6E"/>
    <w:rsid w:val="00152E1C"/>
    <w:rsid w:val="00153005"/>
    <w:rsid w:val="0015382A"/>
    <w:rsid w:val="001538A6"/>
    <w:rsid w:val="00153952"/>
    <w:rsid w:val="00153AD9"/>
    <w:rsid w:val="00153C3E"/>
    <w:rsid w:val="00153F3C"/>
    <w:rsid w:val="001540D4"/>
    <w:rsid w:val="00154153"/>
    <w:rsid w:val="00154223"/>
    <w:rsid w:val="00154492"/>
    <w:rsid w:val="001545E0"/>
    <w:rsid w:val="00154908"/>
    <w:rsid w:val="00154E3C"/>
    <w:rsid w:val="00155050"/>
    <w:rsid w:val="00155265"/>
    <w:rsid w:val="001559B7"/>
    <w:rsid w:val="00155DAE"/>
    <w:rsid w:val="0015615D"/>
    <w:rsid w:val="001561D4"/>
    <w:rsid w:val="00156301"/>
    <w:rsid w:val="001565BD"/>
    <w:rsid w:val="00156775"/>
    <w:rsid w:val="00156BB9"/>
    <w:rsid w:val="00157383"/>
    <w:rsid w:val="0015754F"/>
    <w:rsid w:val="00157717"/>
    <w:rsid w:val="001577FE"/>
    <w:rsid w:val="00157826"/>
    <w:rsid w:val="001579E7"/>
    <w:rsid w:val="00157B10"/>
    <w:rsid w:val="00160197"/>
    <w:rsid w:val="00160355"/>
    <w:rsid w:val="0016053D"/>
    <w:rsid w:val="00160A74"/>
    <w:rsid w:val="00160B1A"/>
    <w:rsid w:val="00160EB3"/>
    <w:rsid w:val="001616F0"/>
    <w:rsid w:val="00161826"/>
    <w:rsid w:val="00161B04"/>
    <w:rsid w:val="00161DD3"/>
    <w:rsid w:val="00162094"/>
    <w:rsid w:val="001623A4"/>
    <w:rsid w:val="001625B7"/>
    <w:rsid w:val="0016261F"/>
    <w:rsid w:val="00162C80"/>
    <w:rsid w:val="001630F8"/>
    <w:rsid w:val="0016323F"/>
    <w:rsid w:val="00163676"/>
    <w:rsid w:val="001636EE"/>
    <w:rsid w:val="001637E5"/>
    <w:rsid w:val="001638B6"/>
    <w:rsid w:val="00163961"/>
    <w:rsid w:val="00163A47"/>
    <w:rsid w:val="00163BF8"/>
    <w:rsid w:val="00163F92"/>
    <w:rsid w:val="001642FB"/>
    <w:rsid w:val="00164681"/>
    <w:rsid w:val="00164721"/>
    <w:rsid w:val="00164785"/>
    <w:rsid w:val="00164CE6"/>
    <w:rsid w:val="00164DD5"/>
    <w:rsid w:val="001650A6"/>
    <w:rsid w:val="00165345"/>
    <w:rsid w:val="00165465"/>
    <w:rsid w:val="00165769"/>
    <w:rsid w:val="00165A0B"/>
    <w:rsid w:val="00165C19"/>
    <w:rsid w:val="00165D60"/>
    <w:rsid w:val="001661B4"/>
    <w:rsid w:val="001661D6"/>
    <w:rsid w:val="00166332"/>
    <w:rsid w:val="001663A4"/>
    <w:rsid w:val="001663DB"/>
    <w:rsid w:val="001664C3"/>
    <w:rsid w:val="001666E5"/>
    <w:rsid w:val="0016679D"/>
    <w:rsid w:val="00166919"/>
    <w:rsid w:val="00166C29"/>
    <w:rsid w:val="00166E70"/>
    <w:rsid w:val="001674CC"/>
    <w:rsid w:val="00167650"/>
    <w:rsid w:val="001676ED"/>
    <w:rsid w:val="001700A5"/>
    <w:rsid w:val="001700B5"/>
    <w:rsid w:val="001702E0"/>
    <w:rsid w:val="001705FC"/>
    <w:rsid w:val="0017076B"/>
    <w:rsid w:val="00170888"/>
    <w:rsid w:val="00170AFC"/>
    <w:rsid w:val="00170BD3"/>
    <w:rsid w:val="00171357"/>
    <w:rsid w:val="001716AB"/>
    <w:rsid w:val="00171872"/>
    <w:rsid w:val="001718D9"/>
    <w:rsid w:val="001719EA"/>
    <w:rsid w:val="0017264A"/>
    <w:rsid w:val="00172D10"/>
    <w:rsid w:val="00172D59"/>
    <w:rsid w:val="00172ED9"/>
    <w:rsid w:val="00172F37"/>
    <w:rsid w:val="00172F62"/>
    <w:rsid w:val="00173099"/>
    <w:rsid w:val="001730C2"/>
    <w:rsid w:val="001730D9"/>
    <w:rsid w:val="001738A9"/>
    <w:rsid w:val="00173BC9"/>
    <w:rsid w:val="00173BFF"/>
    <w:rsid w:val="00173E07"/>
    <w:rsid w:val="00174528"/>
    <w:rsid w:val="00174654"/>
    <w:rsid w:val="001747EB"/>
    <w:rsid w:val="00174CD1"/>
    <w:rsid w:val="001750CD"/>
    <w:rsid w:val="001752C8"/>
    <w:rsid w:val="001754EE"/>
    <w:rsid w:val="00175520"/>
    <w:rsid w:val="001755D6"/>
    <w:rsid w:val="001755FC"/>
    <w:rsid w:val="00175895"/>
    <w:rsid w:val="00175935"/>
    <w:rsid w:val="00175A18"/>
    <w:rsid w:val="00175C34"/>
    <w:rsid w:val="0017633D"/>
    <w:rsid w:val="001763B3"/>
    <w:rsid w:val="0017648C"/>
    <w:rsid w:val="001764A5"/>
    <w:rsid w:val="00176697"/>
    <w:rsid w:val="001766DB"/>
    <w:rsid w:val="00176734"/>
    <w:rsid w:val="00176748"/>
    <w:rsid w:val="00176AFC"/>
    <w:rsid w:val="00176E31"/>
    <w:rsid w:val="001772C8"/>
    <w:rsid w:val="00177404"/>
    <w:rsid w:val="001774B6"/>
    <w:rsid w:val="001774D3"/>
    <w:rsid w:val="00177510"/>
    <w:rsid w:val="001777B7"/>
    <w:rsid w:val="001777D3"/>
    <w:rsid w:val="00177816"/>
    <w:rsid w:val="00177996"/>
    <w:rsid w:val="00177AE0"/>
    <w:rsid w:val="00177AFD"/>
    <w:rsid w:val="00177B86"/>
    <w:rsid w:val="00177CE2"/>
    <w:rsid w:val="00177CF4"/>
    <w:rsid w:val="00177F1E"/>
    <w:rsid w:val="001800D0"/>
    <w:rsid w:val="00180116"/>
    <w:rsid w:val="001807A9"/>
    <w:rsid w:val="00180812"/>
    <w:rsid w:val="0018082C"/>
    <w:rsid w:val="00180C02"/>
    <w:rsid w:val="00180C73"/>
    <w:rsid w:val="00180CA5"/>
    <w:rsid w:val="00180DB8"/>
    <w:rsid w:val="00180DD5"/>
    <w:rsid w:val="001810AC"/>
    <w:rsid w:val="00181350"/>
    <w:rsid w:val="0018161C"/>
    <w:rsid w:val="0018176E"/>
    <w:rsid w:val="001818CE"/>
    <w:rsid w:val="00181DFD"/>
    <w:rsid w:val="001821DE"/>
    <w:rsid w:val="00182429"/>
    <w:rsid w:val="001824D3"/>
    <w:rsid w:val="001824FF"/>
    <w:rsid w:val="00182D7D"/>
    <w:rsid w:val="00182F24"/>
    <w:rsid w:val="001831CD"/>
    <w:rsid w:val="001832C4"/>
    <w:rsid w:val="00183592"/>
    <w:rsid w:val="0018363F"/>
    <w:rsid w:val="00183764"/>
    <w:rsid w:val="001839A0"/>
    <w:rsid w:val="00183A22"/>
    <w:rsid w:val="00183EF3"/>
    <w:rsid w:val="001843EF"/>
    <w:rsid w:val="001844BB"/>
    <w:rsid w:val="001844C3"/>
    <w:rsid w:val="00184870"/>
    <w:rsid w:val="00184950"/>
    <w:rsid w:val="00184FD0"/>
    <w:rsid w:val="00185069"/>
    <w:rsid w:val="001852B6"/>
    <w:rsid w:val="00185546"/>
    <w:rsid w:val="00185816"/>
    <w:rsid w:val="00185B7A"/>
    <w:rsid w:val="00185CCB"/>
    <w:rsid w:val="00185D07"/>
    <w:rsid w:val="001864D1"/>
    <w:rsid w:val="00186B84"/>
    <w:rsid w:val="00186CA2"/>
    <w:rsid w:val="00186CD2"/>
    <w:rsid w:val="00187014"/>
    <w:rsid w:val="0018707E"/>
    <w:rsid w:val="001870AB"/>
    <w:rsid w:val="00187102"/>
    <w:rsid w:val="00187221"/>
    <w:rsid w:val="001872B2"/>
    <w:rsid w:val="00187488"/>
    <w:rsid w:val="001876ED"/>
    <w:rsid w:val="00187749"/>
    <w:rsid w:val="00187849"/>
    <w:rsid w:val="0018789B"/>
    <w:rsid w:val="0018792D"/>
    <w:rsid w:val="00187997"/>
    <w:rsid w:val="00187B9B"/>
    <w:rsid w:val="00187E15"/>
    <w:rsid w:val="00187E5B"/>
    <w:rsid w:val="00187E74"/>
    <w:rsid w:val="00187F9D"/>
    <w:rsid w:val="00187FBE"/>
    <w:rsid w:val="00190163"/>
    <w:rsid w:val="001908F8"/>
    <w:rsid w:val="00190A1E"/>
    <w:rsid w:val="00190B3E"/>
    <w:rsid w:val="001912E2"/>
    <w:rsid w:val="00191A2A"/>
    <w:rsid w:val="00191BF5"/>
    <w:rsid w:val="00191C56"/>
    <w:rsid w:val="00191DD2"/>
    <w:rsid w:val="00191E0F"/>
    <w:rsid w:val="00191EC5"/>
    <w:rsid w:val="001920C5"/>
    <w:rsid w:val="00192249"/>
    <w:rsid w:val="001922AC"/>
    <w:rsid w:val="001922FE"/>
    <w:rsid w:val="0019262E"/>
    <w:rsid w:val="00192DC8"/>
    <w:rsid w:val="00192E36"/>
    <w:rsid w:val="00192ED2"/>
    <w:rsid w:val="001930FC"/>
    <w:rsid w:val="001932A6"/>
    <w:rsid w:val="0019344A"/>
    <w:rsid w:val="00193567"/>
    <w:rsid w:val="001939BF"/>
    <w:rsid w:val="00193D1E"/>
    <w:rsid w:val="00193E17"/>
    <w:rsid w:val="00193FA0"/>
    <w:rsid w:val="0019484D"/>
    <w:rsid w:val="00194A0F"/>
    <w:rsid w:val="00194B51"/>
    <w:rsid w:val="0019510E"/>
    <w:rsid w:val="00195512"/>
    <w:rsid w:val="0019558F"/>
    <w:rsid w:val="00196088"/>
    <w:rsid w:val="001962D1"/>
    <w:rsid w:val="001967F3"/>
    <w:rsid w:val="00196902"/>
    <w:rsid w:val="00196BE4"/>
    <w:rsid w:val="00196CC1"/>
    <w:rsid w:val="001970C6"/>
    <w:rsid w:val="00197294"/>
    <w:rsid w:val="00197522"/>
    <w:rsid w:val="001976A1"/>
    <w:rsid w:val="0019786E"/>
    <w:rsid w:val="00197A47"/>
    <w:rsid w:val="001A01B9"/>
    <w:rsid w:val="001A02EB"/>
    <w:rsid w:val="001A0303"/>
    <w:rsid w:val="001A03B3"/>
    <w:rsid w:val="001A090B"/>
    <w:rsid w:val="001A0C22"/>
    <w:rsid w:val="001A0CB3"/>
    <w:rsid w:val="001A0D6D"/>
    <w:rsid w:val="001A102F"/>
    <w:rsid w:val="001A14A4"/>
    <w:rsid w:val="001A1572"/>
    <w:rsid w:val="001A183D"/>
    <w:rsid w:val="001A1CA7"/>
    <w:rsid w:val="001A1DC1"/>
    <w:rsid w:val="001A2019"/>
    <w:rsid w:val="001A2024"/>
    <w:rsid w:val="001A2787"/>
    <w:rsid w:val="001A2A80"/>
    <w:rsid w:val="001A2C40"/>
    <w:rsid w:val="001A2D05"/>
    <w:rsid w:val="001A2EA0"/>
    <w:rsid w:val="001A3205"/>
    <w:rsid w:val="001A332F"/>
    <w:rsid w:val="001A3653"/>
    <w:rsid w:val="001A3A1C"/>
    <w:rsid w:val="001A3A62"/>
    <w:rsid w:val="001A3C4B"/>
    <w:rsid w:val="001A4016"/>
    <w:rsid w:val="001A40E0"/>
    <w:rsid w:val="001A4259"/>
    <w:rsid w:val="001A446E"/>
    <w:rsid w:val="001A45AB"/>
    <w:rsid w:val="001A4975"/>
    <w:rsid w:val="001A4C2D"/>
    <w:rsid w:val="001A4CFE"/>
    <w:rsid w:val="001A4D24"/>
    <w:rsid w:val="001A4FE4"/>
    <w:rsid w:val="001A5720"/>
    <w:rsid w:val="001A58FB"/>
    <w:rsid w:val="001A59BE"/>
    <w:rsid w:val="001A5EB0"/>
    <w:rsid w:val="001A5EFC"/>
    <w:rsid w:val="001A5FC1"/>
    <w:rsid w:val="001A602A"/>
    <w:rsid w:val="001A61A3"/>
    <w:rsid w:val="001A63A1"/>
    <w:rsid w:val="001A63A2"/>
    <w:rsid w:val="001A65C7"/>
    <w:rsid w:val="001A6768"/>
    <w:rsid w:val="001A6852"/>
    <w:rsid w:val="001A68DD"/>
    <w:rsid w:val="001A695B"/>
    <w:rsid w:val="001A6B5F"/>
    <w:rsid w:val="001A6BBB"/>
    <w:rsid w:val="001A6ED0"/>
    <w:rsid w:val="001A6F52"/>
    <w:rsid w:val="001A7123"/>
    <w:rsid w:val="001A7453"/>
    <w:rsid w:val="001A7460"/>
    <w:rsid w:val="001A7968"/>
    <w:rsid w:val="001A79CF"/>
    <w:rsid w:val="001A7A26"/>
    <w:rsid w:val="001A7F9C"/>
    <w:rsid w:val="001B001A"/>
    <w:rsid w:val="001B0178"/>
    <w:rsid w:val="001B03A0"/>
    <w:rsid w:val="001B0427"/>
    <w:rsid w:val="001B047C"/>
    <w:rsid w:val="001B061B"/>
    <w:rsid w:val="001B079F"/>
    <w:rsid w:val="001B07D6"/>
    <w:rsid w:val="001B0814"/>
    <w:rsid w:val="001B0918"/>
    <w:rsid w:val="001B0ADD"/>
    <w:rsid w:val="001B0CDF"/>
    <w:rsid w:val="001B0FAC"/>
    <w:rsid w:val="001B100D"/>
    <w:rsid w:val="001B1034"/>
    <w:rsid w:val="001B1499"/>
    <w:rsid w:val="001B15A6"/>
    <w:rsid w:val="001B17DA"/>
    <w:rsid w:val="001B1A64"/>
    <w:rsid w:val="001B1B45"/>
    <w:rsid w:val="001B1BC5"/>
    <w:rsid w:val="001B1C3B"/>
    <w:rsid w:val="001B1C41"/>
    <w:rsid w:val="001B1CD7"/>
    <w:rsid w:val="001B296B"/>
    <w:rsid w:val="001B2A14"/>
    <w:rsid w:val="001B31D0"/>
    <w:rsid w:val="001B31FB"/>
    <w:rsid w:val="001B35F9"/>
    <w:rsid w:val="001B3705"/>
    <w:rsid w:val="001B3734"/>
    <w:rsid w:val="001B3A7C"/>
    <w:rsid w:val="001B3EB5"/>
    <w:rsid w:val="001B400F"/>
    <w:rsid w:val="001B4075"/>
    <w:rsid w:val="001B42A3"/>
    <w:rsid w:val="001B43E8"/>
    <w:rsid w:val="001B4508"/>
    <w:rsid w:val="001B4588"/>
    <w:rsid w:val="001B459A"/>
    <w:rsid w:val="001B4D25"/>
    <w:rsid w:val="001B4D98"/>
    <w:rsid w:val="001B5070"/>
    <w:rsid w:val="001B51CB"/>
    <w:rsid w:val="001B533B"/>
    <w:rsid w:val="001B54BE"/>
    <w:rsid w:val="001B572C"/>
    <w:rsid w:val="001B57D4"/>
    <w:rsid w:val="001B627A"/>
    <w:rsid w:val="001B6448"/>
    <w:rsid w:val="001B6B7E"/>
    <w:rsid w:val="001B6BAD"/>
    <w:rsid w:val="001B6F81"/>
    <w:rsid w:val="001B70A1"/>
    <w:rsid w:val="001B76B5"/>
    <w:rsid w:val="001B7802"/>
    <w:rsid w:val="001B7D87"/>
    <w:rsid w:val="001B7E7B"/>
    <w:rsid w:val="001B7E89"/>
    <w:rsid w:val="001C0463"/>
    <w:rsid w:val="001C04FE"/>
    <w:rsid w:val="001C05EF"/>
    <w:rsid w:val="001C0985"/>
    <w:rsid w:val="001C10DE"/>
    <w:rsid w:val="001C11EB"/>
    <w:rsid w:val="001C13D8"/>
    <w:rsid w:val="001C15ED"/>
    <w:rsid w:val="001C17B1"/>
    <w:rsid w:val="001C18FB"/>
    <w:rsid w:val="001C19DF"/>
    <w:rsid w:val="001C1B45"/>
    <w:rsid w:val="001C1FB2"/>
    <w:rsid w:val="001C1FCF"/>
    <w:rsid w:val="001C2232"/>
    <w:rsid w:val="001C25DA"/>
    <w:rsid w:val="001C2668"/>
    <w:rsid w:val="001C2D6D"/>
    <w:rsid w:val="001C2EEF"/>
    <w:rsid w:val="001C31B9"/>
    <w:rsid w:val="001C3321"/>
    <w:rsid w:val="001C394A"/>
    <w:rsid w:val="001C3D04"/>
    <w:rsid w:val="001C3EC5"/>
    <w:rsid w:val="001C4737"/>
    <w:rsid w:val="001C4833"/>
    <w:rsid w:val="001C48DA"/>
    <w:rsid w:val="001C4A99"/>
    <w:rsid w:val="001C580F"/>
    <w:rsid w:val="001C58C0"/>
    <w:rsid w:val="001C5C8A"/>
    <w:rsid w:val="001C6197"/>
    <w:rsid w:val="001C680C"/>
    <w:rsid w:val="001C68EB"/>
    <w:rsid w:val="001C6B35"/>
    <w:rsid w:val="001C6E36"/>
    <w:rsid w:val="001C6ECF"/>
    <w:rsid w:val="001C7433"/>
    <w:rsid w:val="001C77DB"/>
    <w:rsid w:val="001C7BBA"/>
    <w:rsid w:val="001C7C96"/>
    <w:rsid w:val="001C7CF5"/>
    <w:rsid w:val="001C7D9C"/>
    <w:rsid w:val="001D00BA"/>
    <w:rsid w:val="001D0217"/>
    <w:rsid w:val="001D03B9"/>
    <w:rsid w:val="001D091B"/>
    <w:rsid w:val="001D0AC4"/>
    <w:rsid w:val="001D0D78"/>
    <w:rsid w:val="001D0FE7"/>
    <w:rsid w:val="001D112C"/>
    <w:rsid w:val="001D11F0"/>
    <w:rsid w:val="001D27B6"/>
    <w:rsid w:val="001D2BA0"/>
    <w:rsid w:val="001D35D5"/>
    <w:rsid w:val="001D3722"/>
    <w:rsid w:val="001D3813"/>
    <w:rsid w:val="001D39D7"/>
    <w:rsid w:val="001D3DAC"/>
    <w:rsid w:val="001D4080"/>
    <w:rsid w:val="001D4188"/>
    <w:rsid w:val="001D41D1"/>
    <w:rsid w:val="001D41E2"/>
    <w:rsid w:val="001D437D"/>
    <w:rsid w:val="001D45BA"/>
    <w:rsid w:val="001D4679"/>
    <w:rsid w:val="001D48E3"/>
    <w:rsid w:val="001D4B50"/>
    <w:rsid w:val="001D4D89"/>
    <w:rsid w:val="001D4F82"/>
    <w:rsid w:val="001D51D8"/>
    <w:rsid w:val="001D5301"/>
    <w:rsid w:val="001D5466"/>
    <w:rsid w:val="001D585C"/>
    <w:rsid w:val="001D5903"/>
    <w:rsid w:val="001D595B"/>
    <w:rsid w:val="001D59BC"/>
    <w:rsid w:val="001D5B41"/>
    <w:rsid w:val="001D5C65"/>
    <w:rsid w:val="001D5D1B"/>
    <w:rsid w:val="001D670F"/>
    <w:rsid w:val="001D68FE"/>
    <w:rsid w:val="001D6923"/>
    <w:rsid w:val="001D6C21"/>
    <w:rsid w:val="001D6DC1"/>
    <w:rsid w:val="001D72EF"/>
    <w:rsid w:val="001D7348"/>
    <w:rsid w:val="001D7541"/>
    <w:rsid w:val="001D7715"/>
    <w:rsid w:val="001E0259"/>
    <w:rsid w:val="001E0263"/>
    <w:rsid w:val="001E035B"/>
    <w:rsid w:val="001E03CE"/>
    <w:rsid w:val="001E0A98"/>
    <w:rsid w:val="001E0B9A"/>
    <w:rsid w:val="001E0C41"/>
    <w:rsid w:val="001E0CEF"/>
    <w:rsid w:val="001E0F6D"/>
    <w:rsid w:val="001E15FE"/>
    <w:rsid w:val="001E161D"/>
    <w:rsid w:val="001E17B2"/>
    <w:rsid w:val="001E1BB8"/>
    <w:rsid w:val="001E2351"/>
    <w:rsid w:val="001E2525"/>
    <w:rsid w:val="001E2729"/>
    <w:rsid w:val="001E2862"/>
    <w:rsid w:val="001E295A"/>
    <w:rsid w:val="001E2A37"/>
    <w:rsid w:val="001E2C18"/>
    <w:rsid w:val="001E3584"/>
    <w:rsid w:val="001E3A51"/>
    <w:rsid w:val="001E3B09"/>
    <w:rsid w:val="001E3B15"/>
    <w:rsid w:val="001E3C0D"/>
    <w:rsid w:val="001E436A"/>
    <w:rsid w:val="001E44C6"/>
    <w:rsid w:val="001E45D5"/>
    <w:rsid w:val="001E462A"/>
    <w:rsid w:val="001E4C0D"/>
    <w:rsid w:val="001E4D03"/>
    <w:rsid w:val="001E506B"/>
    <w:rsid w:val="001E509F"/>
    <w:rsid w:val="001E519F"/>
    <w:rsid w:val="001E5308"/>
    <w:rsid w:val="001E5462"/>
    <w:rsid w:val="001E5475"/>
    <w:rsid w:val="001E549E"/>
    <w:rsid w:val="001E58C1"/>
    <w:rsid w:val="001E5CE5"/>
    <w:rsid w:val="001E5D29"/>
    <w:rsid w:val="001E5E9C"/>
    <w:rsid w:val="001E60BD"/>
    <w:rsid w:val="001E6125"/>
    <w:rsid w:val="001E63C7"/>
    <w:rsid w:val="001E6428"/>
    <w:rsid w:val="001E65C4"/>
    <w:rsid w:val="001E69E0"/>
    <w:rsid w:val="001E74CA"/>
    <w:rsid w:val="001E7518"/>
    <w:rsid w:val="001E758F"/>
    <w:rsid w:val="001E765C"/>
    <w:rsid w:val="001E7741"/>
    <w:rsid w:val="001E77A4"/>
    <w:rsid w:val="001E77D1"/>
    <w:rsid w:val="001E7846"/>
    <w:rsid w:val="001E787B"/>
    <w:rsid w:val="001E79DD"/>
    <w:rsid w:val="001E79E2"/>
    <w:rsid w:val="001E7A2D"/>
    <w:rsid w:val="001E7C26"/>
    <w:rsid w:val="001F0008"/>
    <w:rsid w:val="001F00BC"/>
    <w:rsid w:val="001F04D8"/>
    <w:rsid w:val="001F08E5"/>
    <w:rsid w:val="001F09AF"/>
    <w:rsid w:val="001F0A12"/>
    <w:rsid w:val="001F0C8D"/>
    <w:rsid w:val="001F1458"/>
    <w:rsid w:val="001F1A7E"/>
    <w:rsid w:val="001F1ACF"/>
    <w:rsid w:val="001F1F32"/>
    <w:rsid w:val="001F201C"/>
    <w:rsid w:val="001F219E"/>
    <w:rsid w:val="001F2403"/>
    <w:rsid w:val="001F25EF"/>
    <w:rsid w:val="001F28BF"/>
    <w:rsid w:val="001F28DC"/>
    <w:rsid w:val="001F325B"/>
    <w:rsid w:val="001F34E1"/>
    <w:rsid w:val="001F37CE"/>
    <w:rsid w:val="001F3B91"/>
    <w:rsid w:val="001F3D7C"/>
    <w:rsid w:val="001F4229"/>
    <w:rsid w:val="001F4316"/>
    <w:rsid w:val="001F4355"/>
    <w:rsid w:val="001F452E"/>
    <w:rsid w:val="001F475C"/>
    <w:rsid w:val="001F4A26"/>
    <w:rsid w:val="001F4BD7"/>
    <w:rsid w:val="001F4C53"/>
    <w:rsid w:val="001F4D28"/>
    <w:rsid w:val="001F4E1E"/>
    <w:rsid w:val="001F4F9A"/>
    <w:rsid w:val="001F51CB"/>
    <w:rsid w:val="001F5646"/>
    <w:rsid w:val="001F56D3"/>
    <w:rsid w:val="001F57FF"/>
    <w:rsid w:val="001F58F5"/>
    <w:rsid w:val="001F5956"/>
    <w:rsid w:val="001F5A25"/>
    <w:rsid w:val="001F5A4A"/>
    <w:rsid w:val="001F5AE6"/>
    <w:rsid w:val="001F5B4A"/>
    <w:rsid w:val="001F5C00"/>
    <w:rsid w:val="001F5C54"/>
    <w:rsid w:val="001F5D90"/>
    <w:rsid w:val="001F5F4E"/>
    <w:rsid w:val="001F61D7"/>
    <w:rsid w:val="001F6B23"/>
    <w:rsid w:val="001F6BCF"/>
    <w:rsid w:val="001F6D8B"/>
    <w:rsid w:val="001F7077"/>
    <w:rsid w:val="001F72B2"/>
    <w:rsid w:val="001F7666"/>
    <w:rsid w:val="001F7668"/>
    <w:rsid w:val="001F7CC6"/>
    <w:rsid w:val="001F7DD5"/>
    <w:rsid w:val="001F7FC2"/>
    <w:rsid w:val="00200026"/>
    <w:rsid w:val="0020021A"/>
    <w:rsid w:val="00200333"/>
    <w:rsid w:val="002003F9"/>
    <w:rsid w:val="0020057E"/>
    <w:rsid w:val="00200D57"/>
    <w:rsid w:val="00200EC8"/>
    <w:rsid w:val="0020101D"/>
    <w:rsid w:val="00201DC2"/>
    <w:rsid w:val="0020232A"/>
    <w:rsid w:val="002026BF"/>
    <w:rsid w:val="00202A30"/>
    <w:rsid w:val="00202A5F"/>
    <w:rsid w:val="00202DA7"/>
    <w:rsid w:val="00202F74"/>
    <w:rsid w:val="0020318B"/>
    <w:rsid w:val="002031AB"/>
    <w:rsid w:val="00203310"/>
    <w:rsid w:val="0020347A"/>
    <w:rsid w:val="00203AD7"/>
    <w:rsid w:val="00203B39"/>
    <w:rsid w:val="00203B3C"/>
    <w:rsid w:val="00203D52"/>
    <w:rsid w:val="00203E7E"/>
    <w:rsid w:val="002040C7"/>
    <w:rsid w:val="002044AA"/>
    <w:rsid w:val="00204709"/>
    <w:rsid w:val="00204843"/>
    <w:rsid w:val="00204B36"/>
    <w:rsid w:val="00204BAA"/>
    <w:rsid w:val="00204CEC"/>
    <w:rsid w:val="00205236"/>
    <w:rsid w:val="0020559E"/>
    <w:rsid w:val="00205B3A"/>
    <w:rsid w:val="0020610A"/>
    <w:rsid w:val="002064C9"/>
    <w:rsid w:val="00206676"/>
    <w:rsid w:val="0020687E"/>
    <w:rsid w:val="00206A85"/>
    <w:rsid w:val="00206CA4"/>
    <w:rsid w:val="002070EA"/>
    <w:rsid w:val="00207700"/>
    <w:rsid w:val="00207853"/>
    <w:rsid w:val="002079D9"/>
    <w:rsid w:val="00210269"/>
    <w:rsid w:val="002105BF"/>
    <w:rsid w:val="00210C8D"/>
    <w:rsid w:val="00210F5F"/>
    <w:rsid w:val="00210FDF"/>
    <w:rsid w:val="00210FF4"/>
    <w:rsid w:val="002111C6"/>
    <w:rsid w:val="00211279"/>
    <w:rsid w:val="002118CB"/>
    <w:rsid w:val="0021193D"/>
    <w:rsid w:val="0021199C"/>
    <w:rsid w:val="00211B2F"/>
    <w:rsid w:val="00211B32"/>
    <w:rsid w:val="00211D11"/>
    <w:rsid w:val="00211D71"/>
    <w:rsid w:val="00211FFF"/>
    <w:rsid w:val="00212222"/>
    <w:rsid w:val="00212706"/>
    <w:rsid w:val="002128AE"/>
    <w:rsid w:val="002128DB"/>
    <w:rsid w:val="00212B11"/>
    <w:rsid w:val="00212FD8"/>
    <w:rsid w:val="0021304A"/>
    <w:rsid w:val="002130AE"/>
    <w:rsid w:val="002134DA"/>
    <w:rsid w:val="0021353E"/>
    <w:rsid w:val="002135B7"/>
    <w:rsid w:val="002135C0"/>
    <w:rsid w:val="0021365E"/>
    <w:rsid w:val="002136AD"/>
    <w:rsid w:val="002136DD"/>
    <w:rsid w:val="0021393D"/>
    <w:rsid w:val="00213A2B"/>
    <w:rsid w:val="00213AA0"/>
    <w:rsid w:val="00213D55"/>
    <w:rsid w:val="00213F32"/>
    <w:rsid w:val="002141CA"/>
    <w:rsid w:val="002142D3"/>
    <w:rsid w:val="0021443E"/>
    <w:rsid w:val="002144DE"/>
    <w:rsid w:val="002146CF"/>
    <w:rsid w:val="002147CD"/>
    <w:rsid w:val="002147D6"/>
    <w:rsid w:val="00214A3D"/>
    <w:rsid w:val="00214E34"/>
    <w:rsid w:val="00215065"/>
    <w:rsid w:val="002150B5"/>
    <w:rsid w:val="00215329"/>
    <w:rsid w:val="0021540F"/>
    <w:rsid w:val="00215619"/>
    <w:rsid w:val="00215821"/>
    <w:rsid w:val="00215A04"/>
    <w:rsid w:val="00215C09"/>
    <w:rsid w:val="00215CD9"/>
    <w:rsid w:val="00215D24"/>
    <w:rsid w:val="00215DA9"/>
    <w:rsid w:val="0021653C"/>
    <w:rsid w:val="00216DD8"/>
    <w:rsid w:val="0021709E"/>
    <w:rsid w:val="002171ED"/>
    <w:rsid w:val="0021726E"/>
    <w:rsid w:val="002172CA"/>
    <w:rsid w:val="002178CA"/>
    <w:rsid w:val="00217919"/>
    <w:rsid w:val="002179F6"/>
    <w:rsid w:val="00217D07"/>
    <w:rsid w:val="00217E30"/>
    <w:rsid w:val="00217E33"/>
    <w:rsid w:val="00217E48"/>
    <w:rsid w:val="00220E7E"/>
    <w:rsid w:val="00220EC6"/>
    <w:rsid w:val="002210AF"/>
    <w:rsid w:val="002212B8"/>
    <w:rsid w:val="002216B1"/>
    <w:rsid w:val="00221B95"/>
    <w:rsid w:val="00221CDB"/>
    <w:rsid w:val="00221CDE"/>
    <w:rsid w:val="00221D83"/>
    <w:rsid w:val="00221FFB"/>
    <w:rsid w:val="0022203A"/>
    <w:rsid w:val="00222570"/>
    <w:rsid w:val="00222764"/>
    <w:rsid w:val="002229FB"/>
    <w:rsid w:val="00222E0F"/>
    <w:rsid w:val="0022347E"/>
    <w:rsid w:val="0022357E"/>
    <w:rsid w:val="00223715"/>
    <w:rsid w:val="002238D6"/>
    <w:rsid w:val="00223C56"/>
    <w:rsid w:val="00223E4D"/>
    <w:rsid w:val="00224042"/>
    <w:rsid w:val="002241FD"/>
    <w:rsid w:val="0022420E"/>
    <w:rsid w:val="00224502"/>
    <w:rsid w:val="0022467C"/>
    <w:rsid w:val="0022491A"/>
    <w:rsid w:val="00224A14"/>
    <w:rsid w:val="00224A5D"/>
    <w:rsid w:val="00224D7F"/>
    <w:rsid w:val="00224E28"/>
    <w:rsid w:val="00224FBC"/>
    <w:rsid w:val="00225067"/>
    <w:rsid w:val="0022509F"/>
    <w:rsid w:val="002250A7"/>
    <w:rsid w:val="002250AE"/>
    <w:rsid w:val="002252C1"/>
    <w:rsid w:val="002256F7"/>
    <w:rsid w:val="002258B4"/>
    <w:rsid w:val="00225AAA"/>
    <w:rsid w:val="00225AEA"/>
    <w:rsid w:val="00225C2F"/>
    <w:rsid w:val="0022613D"/>
    <w:rsid w:val="002263AF"/>
    <w:rsid w:val="0022658F"/>
    <w:rsid w:val="00226668"/>
    <w:rsid w:val="002267B2"/>
    <w:rsid w:val="002268EA"/>
    <w:rsid w:val="00226C21"/>
    <w:rsid w:val="00227056"/>
    <w:rsid w:val="00227511"/>
    <w:rsid w:val="002276B7"/>
    <w:rsid w:val="00227749"/>
    <w:rsid w:val="00227750"/>
    <w:rsid w:val="00227794"/>
    <w:rsid w:val="00227EC2"/>
    <w:rsid w:val="00230277"/>
    <w:rsid w:val="0023029C"/>
    <w:rsid w:val="002302FC"/>
    <w:rsid w:val="002303C6"/>
    <w:rsid w:val="00230D30"/>
    <w:rsid w:val="00230DC9"/>
    <w:rsid w:val="00230F07"/>
    <w:rsid w:val="0023153C"/>
    <w:rsid w:val="0023194F"/>
    <w:rsid w:val="002319B1"/>
    <w:rsid w:val="00231DFE"/>
    <w:rsid w:val="00232166"/>
    <w:rsid w:val="00232359"/>
    <w:rsid w:val="00232A72"/>
    <w:rsid w:val="00232BAA"/>
    <w:rsid w:val="00232DF2"/>
    <w:rsid w:val="00232E14"/>
    <w:rsid w:val="00232E5E"/>
    <w:rsid w:val="00233288"/>
    <w:rsid w:val="0023356F"/>
    <w:rsid w:val="00233656"/>
    <w:rsid w:val="00233749"/>
    <w:rsid w:val="002338E8"/>
    <w:rsid w:val="00233B5C"/>
    <w:rsid w:val="00233DB8"/>
    <w:rsid w:val="00233E26"/>
    <w:rsid w:val="00233E5C"/>
    <w:rsid w:val="00233ED8"/>
    <w:rsid w:val="00233FD6"/>
    <w:rsid w:val="002346D9"/>
    <w:rsid w:val="00234E56"/>
    <w:rsid w:val="00234EB2"/>
    <w:rsid w:val="00234F86"/>
    <w:rsid w:val="0023552E"/>
    <w:rsid w:val="00235968"/>
    <w:rsid w:val="00235B35"/>
    <w:rsid w:val="00235BFB"/>
    <w:rsid w:val="00235D31"/>
    <w:rsid w:val="00236008"/>
    <w:rsid w:val="00236124"/>
    <w:rsid w:val="00236259"/>
    <w:rsid w:val="00236570"/>
    <w:rsid w:val="0023670F"/>
    <w:rsid w:val="00236722"/>
    <w:rsid w:val="002367F0"/>
    <w:rsid w:val="00237015"/>
    <w:rsid w:val="00237507"/>
    <w:rsid w:val="0023752E"/>
    <w:rsid w:val="0023757C"/>
    <w:rsid w:val="00237677"/>
    <w:rsid w:val="00237701"/>
    <w:rsid w:val="002377EC"/>
    <w:rsid w:val="00237C25"/>
    <w:rsid w:val="00237C85"/>
    <w:rsid w:val="00237D02"/>
    <w:rsid w:val="00237EEE"/>
    <w:rsid w:val="00240167"/>
    <w:rsid w:val="0024032B"/>
    <w:rsid w:val="002406E1"/>
    <w:rsid w:val="00240932"/>
    <w:rsid w:val="00240A59"/>
    <w:rsid w:val="00240D88"/>
    <w:rsid w:val="0024116F"/>
    <w:rsid w:val="00241806"/>
    <w:rsid w:val="002419E1"/>
    <w:rsid w:val="00241AD7"/>
    <w:rsid w:val="00241BC3"/>
    <w:rsid w:val="002422D1"/>
    <w:rsid w:val="00242379"/>
    <w:rsid w:val="002425C0"/>
    <w:rsid w:val="00242766"/>
    <w:rsid w:val="00242878"/>
    <w:rsid w:val="00242CCC"/>
    <w:rsid w:val="00242EB7"/>
    <w:rsid w:val="00243051"/>
    <w:rsid w:val="002432D1"/>
    <w:rsid w:val="00243799"/>
    <w:rsid w:val="002437AD"/>
    <w:rsid w:val="002437F7"/>
    <w:rsid w:val="00243AFA"/>
    <w:rsid w:val="00243D04"/>
    <w:rsid w:val="00243E8B"/>
    <w:rsid w:val="00243F0D"/>
    <w:rsid w:val="0024431C"/>
    <w:rsid w:val="0024456F"/>
    <w:rsid w:val="00244969"/>
    <w:rsid w:val="00244C6C"/>
    <w:rsid w:val="00244EA6"/>
    <w:rsid w:val="00244EAE"/>
    <w:rsid w:val="00245424"/>
    <w:rsid w:val="0024573A"/>
    <w:rsid w:val="002457C1"/>
    <w:rsid w:val="0024588B"/>
    <w:rsid w:val="00245BF1"/>
    <w:rsid w:val="00245F0C"/>
    <w:rsid w:val="00245F73"/>
    <w:rsid w:val="002465C5"/>
    <w:rsid w:val="002465CE"/>
    <w:rsid w:val="00246682"/>
    <w:rsid w:val="0024668D"/>
    <w:rsid w:val="00246ABF"/>
    <w:rsid w:val="00246D5F"/>
    <w:rsid w:val="00246F03"/>
    <w:rsid w:val="002474CC"/>
    <w:rsid w:val="002474F0"/>
    <w:rsid w:val="00247599"/>
    <w:rsid w:val="0024773E"/>
    <w:rsid w:val="0024780E"/>
    <w:rsid w:val="00247A12"/>
    <w:rsid w:val="00247A18"/>
    <w:rsid w:val="00247BEA"/>
    <w:rsid w:val="00247C95"/>
    <w:rsid w:val="00247CD5"/>
    <w:rsid w:val="00250018"/>
    <w:rsid w:val="0025015C"/>
    <w:rsid w:val="002501C7"/>
    <w:rsid w:val="0025093D"/>
    <w:rsid w:val="002509CE"/>
    <w:rsid w:val="002509FE"/>
    <w:rsid w:val="00250A36"/>
    <w:rsid w:val="00250E62"/>
    <w:rsid w:val="002512AA"/>
    <w:rsid w:val="00251401"/>
    <w:rsid w:val="00251693"/>
    <w:rsid w:val="002516B7"/>
    <w:rsid w:val="002517BC"/>
    <w:rsid w:val="002519D3"/>
    <w:rsid w:val="00251E29"/>
    <w:rsid w:val="00252029"/>
    <w:rsid w:val="00252072"/>
    <w:rsid w:val="00252528"/>
    <w:rsid w:val="00252719"/>
    <w:rsid w:val="00252890"/>
    <w:rsid w:val="00252898"/>
    <w:rsid w:val="00252CC6"/>
    <w:rsid w:val="00252F33"/>
    <w:rsid w:val="00252FE9"/>
    <w:rsid w:val="00253A58"/>
    <w:rsid w:val="00253F47"/>
    <w:rsid w:val="00253F7D"/>
    <w:rsid w:val="00253FB8"/>
    <w:rsid w:val="00254470"/>
    <w:rsid w:val="002544C2"/>
    <w:rsid w:val="0025459C"/>
    <w:rsid w:val="002546A9"/>
    <w:rsid w:val="00254775"/>
    <w:rsid w:val="002549BC"/>
    <w:rsid w:val="00255137"/>
    <w:rsid w:val="0025526A"/>
    <w:rsid w:val="00255578"/>
    <w:rsid w:val="002556B3"/>
    <w:rsid w:val="002556E1"/>
    <w:rsid w:val="00255956"/>
    <w:rsid w:val="00255A78"/>
    <w:rsid w:val="00255BF8"/>
    <w:rsid w:val="00255C80"/>
    <w:rsid w:val="0025616F"/>
    <w:rsid w:val="002563EC"/>
    <w:rsid w:val="0025664F"/>
    <w:rsid w:val="0025668E"/>
    <w:rsid w:val="002566AB"/>
    <w:rsid w:val="002568E7"/>
    <w:rsid w:val="00256ADD"/>
    <w:rsid w:val="00256BE4"/>
    <w:rsid w:val="00256D78"/>
    <w:rsid w:val="00256E95"/>
    <w:rsid w:val="00256F85"/>
    <w:rsid w:val="002571BB"/>
    <w:rsid w:val="002576C5"/>
    <w:rsid w:val="00257D10"/>
    <w:rsid w:val="00257D45"/>
    <w:rsid w:val="00257D71"/>
    <w:rsid w:val="00257F05"/>
    <w:rsid w:val="00260320"/>
    <w:rsid w:val="00260441"/>
    <w:rsid w:val="0026086F"/>
    <w:rsid w:val="00260B9E"/>
    <w:rsid w:val="00260BDC"/>
    <w:rsid w:val="00260BE4"/>
    <w:rsid w:val="00260DDA"/>
    <w:rsid w:val="00261102"/>
    <w:rsid w:val="00261486"/>
    <w:rsid w:val="00261624"/>
    <w:rsid w:val="002618F3"/>
    <w:rsid w:val="0026196C"/>
    <w:rsid w:val="00261B14"/>
    <w:rsid w:val="00261C78"/>
    <w:rsid w:val="00261D2F"/>
    <w:rsid w:val="00261DD1"/>
    <w:rsid w:val="00261FEE"/>
    <w:rsid w:val="002625B1"/>
    <w:rsid w:val="002625CD"/>
    <w:rsid w:val="0026269C"/>
    <w:rsid w:val="00262AC3"/>
    <w:rsid w:val="00262ACD"/>
    <w:rsid w:val="00262BA1"/>
    <w:rsid w:val="00262DD9"/>
    <w:rsid w:val="002630EB"/>
    <w:rsid w:val="002631AE"/>
    <w:rsid w:val="002633CF"/>
    <w:rsid w:val="00263439"/>
    <w:rsid w:val="002637D2"/>
    <w:rsid w:val="00263CF9"/>
    <w:rsid w:val="00263F17"/>
    <w:rsid w:val="002640CA"/>
    <w:rsid w:val="00264100"/>
    <w:rsid w:val="00264112"/>
    <w:rsid w:val="002643CA"/>
    <w:rsid w:val="00264448"/>
    <w:rsid w:val="0026454F"/>
    <w:rsid w:val="0026456E"/>
    <w:rsid w:val="0026461A"/>
    <w:rsid w:val="0026467F"/>
    <w:rsid w:val="002647AF"/>
    <w:rsid w:val="0026483C"/>
    <w:rsid w:val="002648C0"/>
    <w:rsid w:val="00264913"/>
    <w:rsid w:val="00264EEC"/>
    <w:rsid w:val="00265041"/>
    <w:rsid w:val="002650E2"/>
    <w:rsid w:val="0026540F"/>
    <w:rsid w:val="002654AF"/>
    <w:rsid w:val="002656F4"/>
    <w:rsid w:val="002658EF"/>
    <w:rsid w:val="00265BA7"/>
    <w:rsid w:val="00265CD1"/>
    <w:rsid w:val="00266140"/>
    <w:rsid w:val="0026615E"/>
    <w:rsid w:val="002664D5"/>
    <w:rsid w:val="00266567"/>
    <w:rsid w:val="00266588"/>
    <w:rsid w:val="002667CA"/>
    <w:rsid w:val="0026689A"/>
    <w:rsid w:val="002668EB"/>
    <w:rsid w:val="00266B0F"/>
    <w:rsid w:val="002671AB"/>
    <w:rsid w:val="0026730F"/>
    <w:rsid w:val="002673CC"/>
    <w:rsid w:val="00267B57"/>
    <w:rsid w:val="00267C0D"/>
    <w:rsid w:val="00267D62"/>
    <w:rsid w:val="00270014"/>
    <w:rsid w:val="00270017"/>
    <w:rsid w:val="00270290"/>
    <w:rsid w:val="00270383"/>
    <w:rsid w:val="00270719"/>
    <w:rsid w:val="0027096B"/>
    <w:rsid w:val="00270B0A"/>
    <w:rsid w:val="00270E3C"/>
    <w:rsid w:val="00271269"/>
    <w:rsid w:val="002712AD"/>
    <w:rsid w:val="0027150C"/>
    <w:rsid w:val="002717B1"/>
    <w:rsid w:val="00271C81"/>
    <w:rsid w:val="00271E5E"/>
    <w:rsid w:val="00271EC6"/>
    <w:rsid w:val="00271FDE"/>
    <w:rsid w:val="00272266"/>
    <w:rsid w:val="002723FE"/>
    <w:rsid w:val="00272751"/>
    <w:rsid w:val="00272A3D"/>
    <w:rsid w:val="00272D3A"/>
    <w:rsid w:val="00272F67"/>
    <w:rsid w:val="0027312B"/>
    <w:rsid w:val="00273231"/>
    <w:rsid w:val="002734B7"/>
    <w:rsid w:val="0027352C"/>
    <w:rsid w:val="00273A74"/>
    <w:rsid w:val="00273A98"/>
    <w:rsid w:val="00273C44"/>
    <w:rsid w:val="00273D55"/>
    <w:rsid w:val="00273F7F"/>
    <w:rsid w:val="00274104"/>
    <w:rsid w:val="00274C62"/>
    <w:rsid w:val="00274E39"/>
    <w:rsid w:val="00274E49"/>
    <w:rsid w:val="00275026"/>
    <w:rsid w:val="0027504D"/>
    <w:rsid w:val="002750EB"/>
    <w:rsid w:val="0027528D"/>
    <w:rsid w:val="00275370"/>
    <w:rsid w:val="002756D4"/>
    <w:rsid w:val="00275BAA"/>
    <w:rsid w:val="00275E50"/>
    <w:rsid w:val="00276574"/>
    <w:rsid w:val="00276944"/>
    <w:rsid w:val="00276AF9"/>
    <w:rsid w:val="00276CAD"/>
    <w:rsid w:val="0027701F"/>
    <w:rsid w:val="00277198"/>
    <w:rsid w:val="002772F2"/>
    <w:rsid w:val="00277399"/>
    <w:rsid w:val="002777D6"/>
    <w:rsid w:val="0027789B"/>
    <w:rsid w:val="00277C97"/>
    <w:rsid w:val="00277DBC"/>
    <w:rsid w:val="00277F8B"/>
    <w:rsid w:val="00280616"/>
    <w:rsid w:val="002806D9"/>
    <w:rsid w:val="0028080A"/>
    <w:rsid w:val="00280966"/>
    <w:rsid w:val="00281040"/>
    <w:rsid w:val="002811E7"/>
    <w:rsid w:val="002814AE"/>
    <w:rsid w:val="002816AF"/>
    <w:rsid w:val="00281957"/>
    <w:rsid w:val="00281C23"/>
    <w:rsid w:val="00281D74"/>
    <w:rsid w:val="00282184"/>
    <w:rsid w:val="002822DD"/>
    <w:rsid w:val="002829CC"/>
    <w:rsid w:val="00282E90"/>
    <w:rsid w:val="00282F78"/>
    <w:rsid w:val="00282FDF"/>
    <w:rsid w:val="0028302D"/>
    <w:rsid w:val="0028348D"/>
    <w:rsid w:val="00283730"/>
    <w:rsid w:val="00283B0F"/>
    <w:rsid w:val="00283C63"/>
    <w:rsid w:val="00283D7F"/>
    <w:rsid w:val="00283DD8"/>
    <w:rsid w:val="00284207"/>
    <w:rsid w:val="00284491"/>
    <w:rsid w:val="00284886"/>
    <w:rsid w:val="00284928"/>
    <w:rsid w:val="00284997"/>
    <w:rsid w:val="00284D1A"/>
    <w:rsid w:val="00284D97"/>
    <w:rsid w:val="00284DD3"/>
    <w:rsid w:val="0028579B"/>
    <w:rsid w:val="00285CB4"/>
    <w:rsid w:val="00285E08"/>
    <w:rsid w:val="00285E27"/>
    <w:rsid w:val="0028663E"/>
    <w:rsid w:val="0028681D"/>
    <w:rsid w:val="0028691E"/>
    <w:rsid w:val="00286980"/>
    <w:rsid w:val="00286B16"/>
    <w:rsid w:val="00286ECA"/>
    <w:rsid w:val="00286F8D"/>
    <w:rsid w:val="00287042"/>
    <w:rsid w:val="0028727C"/>
    <w:rsid w:val="00287310"/>
    <w:rsid w:val="00287486"/>
    <w:rsid w:val="002875AC"/>
    <w:rsid w:val="00287613"/>
    <w:rsid w:val="002877C0"/>
    <w:rsid w:val="002879FA"/>
    <w:rsid w:val="00287A97"/>
    <w:rsid w:val="00287E0E"/>
    <w:rsid w:val="00290099"/>
    <w:rsid w:val="002902EA"/>
    <w:rsid w:val="0029039B"/>
    <w:rsid w:val="0029098C"/>
    <w:rsid w:val="00290AAD"/>
    <w:rsid w:val="00290B60"/>
    <w:rsid w:val="00290E98"/>
    <w:rsid w:val="002910BF"/>
    <w:rsid w:val="002910E0"/>
    <w:rsid w:val="002914DF"/>
    <w:rsid w:val="002914FC"/>
    <w:rsid w:val="002917F9"/>
    <w:rsid w:val="00291DA7"/>
    <w:rsid w:val="002922CA"/>
    <w:rsid w:val="002924ED"/>
    <w:rsid w:val="0029256D"/>
    <w:rsid w:val="00292578"/>
    <w:rsid w:val="00292752"/>
    <w:rsid w:val="0029277C"/>
    <w:rsid w:val="002927D0"/>
    <w:rsid w:val="002927EF"/>
    <w:rsid w:val="002928F4"/>
    <w:rsid w:val="002929EE"/>
    <w:rsid w:val="00292AE0"/>
    <w:rsid w:val="00292D8F"/>
    <w:rsid w:val="00292F25"/>
    <w:rsid w:val="00293046"/>
    <w:rsid w:val="00293106"/>
    <w:rsid w:val="00293131"/>
    <w:rsid w:val="00293291"/>
    <w:rsid w:val="00293301"/>
    <w:rsid w:val="00293342"/>
    <w:rsid w:val="00293466"/>
    <w:rsid w:val="00293489"/>
    <w:rsid w:val="002937EF"/>
    <w:rsid w:val="00293B9E"/>
    <w:rsid w:val="002940C3"/>
    <w:rsid w:val="0029415D"/>
    <w:rsid w:val="00294170"/>
    <w:rsid w:val="00294327"/>
    <w:rsid w:val="00294809"/>
    <w:rsid w:val="00294A66"/>
    <w:rsid w:val="00294E7D"/>
    <w:rsid w:val="002952D8"/>
    <w:rsid w:val="00295404"/>
    <w:rsid w:val="00295489"/>
    <w:rsid w:val="002954EC"/>
    <w:rsid w:val="002957C4"/>
    <w:rsid w:val="0029582E"/>
    <w:rsid w:val="00295995"/>
    <w:rsid w:val="00295A12"/>
    <w:rsid w:val="00295A33"/>
    <w:rsid w:val="00295B63"/>
    <w:rsid w:val="00295D26"/>
    <w:rsid w:val="00296014"/>
    <w:rsid w:val="002962E6"/>
    <w:rsid w:val="00296D2B"/>
    <w:rsid w:val="002972E1"/>
    <w:rsid w:val="00297A99"/>
    <w:rsid w:val="00297B82"/>
    <w:rsid w:val="00297E5E"/>
    <w:rsid w:val="002A0317"/>
    <w:rsid w:val="002A03DE"/>
    <w:rsid w:val="002A07CD"/>
    <w:rsid w:val="002A0858"/>
    <w:rsid w:val="002A0A02"/>
    <w:rsid w:val="002A0A88"/>
    <w:rsid w:val="002A0CD2"/>
    <w:rsid w:val="002A13D1"/>
    <w:rsid w:val="002A1456"/>
    <w:rsid w:val="002A1573"/>
    <w:rsid w:val="002A15D8"/>
    <w:rsid w:val="002A18D2"/>
    <w:rsid w:val="002A19A2"/>
    <w:rsid w:val="002A1B34"/>
    <w:rsid w:val="002A1C16"/>
    <w:rsid w:val="002A2787"/>
    <w:rsid w:val="002A2B61"/>
    <w:rsid w:val="002A313A"/>
    <w:rsid w:val="002A3179"/>
    <w:rsid w:val="002A3257"/>
    <w:rsid w:val="002A3292"/>
    <w:rsid w:val="002A3A49"/>
    <w:rsid w:val="002A3CFD"/>
    <w:rsid w:val="002A3EA2"/>
    <w:rsid w:val="002A4132"/>
    <w:rsid w:val="002A4221"/>
    <w:rsid w:val="002A466C"/>
    <w:rsid w:val="002A46B9"/>
    <w:rsid w:val="002A4EA4"/>
    <w:rsid w:val="002A5068"/>
    <w:rsid w:val="002A52D1"/>
    <w:rsid w:val="002A5B34"/>
    <w:rsid w:val="002A5BCC"/>
    <w:rsid w:val="002A648C"/>
    <w:rsid w:val="002A69C6"/>
    <w:rsid w:val="002A6A37"/>
    <w:rsid w:val="002A728E"/>
    <w:rsid w:val="002A7347"/>
    <w:rsid w:val="002A75AE"/>
    <w:rsid w:val="002A7744"/>
    <w:rsid w:val="002A7A3E"/>
    <w:rsid w:val="002A7B9D"/>
    <w:rsid w:val="002A7F12"/>
    <w:rsid w:val="002B002F"/>
    <w:rsid w:val="002B038F"/>
    <w:rsid w:val="002B0486"/>
    <w:rsid w:val="002B0499"/>
    <w:rsid w:val="002B0BA4"/>
    <w:rsid w:val="002B0DCB"/>
    <w:rsid w:val="002B0E1C"/>
    <w:rsid w:val="002B0FE7"/>
    <w:rsid w:val="002B1445"/>
    <w:rsid w:val="002B165A"/>
    <w:rsid w:val="002B1709"/>
    <w:rsid w:val="002B1740"/>
    <w:rsid w:val="002B1820"/>
    <w:rsid w:val="002B19FE"/>
    <w:rsid w:val="002B1A67"/>
    <w:rsid w:val="002B1BA3"/>
    <w:rsid w:val="002B2485"/>
    <w:rsid w:val="002B2627"/>
    <w:rsid w:val="002B26A2"/>
    <w:rsid w:val="002B2751"/>
    <w:rsid w:val="002B2DF5"/>
    <w:rsid w:val="002B3151"/>
    <w:rsid w:val="002B366D"/>
    <w:rsid w:val="002B3BD7"/>
    <w:rsid w:val="002B3C56"/>
    <w:rsid w:val="002B3D3B"/>
    <w:rsid w:val="002B3E4F"/>
    <w:rsid w:val="002B3F77"/>
    <w:rsid w:val="002B4078"/>
    <w:rsid w:val="002B45F9"/>
    <w:rsid w:val="002B4722"/>
    <w:rsid w:val="002B47A1"/>
    <w:rsid w:val="002B5080"/>
    <w:rsid w:val="002B534A"/>
    <w:rsid w:val="002B558F"/>
    <w:rsid w:val="002B5875"/>
    <w:rsid w:val="002B5C23"/>
    <w:rsid w:val="002B606D"/>
    <w:rsid w:val="002B60CB"/>
    <w:rsid w:val="002B627D"/>
    <w:rsid w:val="002B649E"/>
    <w:rsid w:val="002B64A3"/>
    <w:rsid w:val="002B65C7"/>
    <w:rsid w:val="002B6882"/>
    <w:rsid w:val="002B6B4F"/>
    <w:rsid w:val="002B6C64"/>
    <w:rsid w:val="002B6CFB"/>
    <w:rsid w:val="002B6D3A"/>
    <w:rsid w:val="002B6E97"/>
    <w:rsid w:val="002B7AD5"/>
    <w:rsid w:val="002B7BAF"/>
    <w:rsid w:val="002B7BEB"/>
    <w:rsid w:val="002B7CCD"/>
    <w:rsid w:val="002C0046"/>
    <w:rsid w:val="002C00E0"/>
    <w:rsid w:val="002C05F0"/>
    <w:rsid w:val="002C0661"/>
    <w:rsid w:val="002C085E"/>
    <w:rsid w:val="002C089B"/>
    <w:rsid w:val="002C093A"/>
    <w:rsid w:val="002C0C05"/>
    <w:rsid w:val="002C0FF0"/>
    <w:rsid w:val="002C17DF"/>
    <w:rsid w:val="002C1C93"/>
    <w:rsid w:val="002C1D99"/>
    <w:rsid w:val="002C2151"/>
    <w:rsid w:val="002C230C"/>
    <w:rsid w:val="002C2311"/>
    <w:rsid w:val="002C24F2"/>
    <w:rsid w:val="002C259F"/>
    <w:rsid w:val="002C2802"/>
    <w:rsid w:val="002C2CDB"/>
    <w:rsid w:val="002C2E02"/>
    <w:rsid w:val="002C2ECE"/>
    <w:rsid w:val="002C2F3D"/>
    <w:rsid w:val="002C30C5"/>
    <w:rsid w:val="002C33B4"/>
    <w:rsid w:val="002C33B8"/>
    <w:rsid w:val="002C3623"/>
    <w:rsid w:val="002C3AE6"/>
    <w:rsid w:val="002C3C14"/>
    <w:rsid w:val="002C3CD0"/>
    <w:rsid w:val="002C3FDC"/>
    <w:rsid w:val="002C4BB7"/>
    <w:rsid w:val="002C4CF3"/>
    <w:rsid w:val="002C530A"/>
    <w:rsid w:val="002C5558"/>
    <w:rsid w:val="002C5771"/>
    <w:rsid w:val="002C57CD"/>
    <w:rsid w:val="002C5A58"/>
    <w:rsid w:val="002C5A7A"/>
    <w:rsid w:val="002C5B07"/>
    <w:rsid w:val="002C5B23"/>
    <w:rsid w:val="002C5E51"/>
    <w:rsid w:val="002C5FCC"/>
    <w:rsid w:val="002C64FE"/>
    <w:rsid w:val="002C655E"/>
    <w:rsid w:val="002C66B2"/>
    <w:rsid w:val="002C6A79"/>
    <w:rsid w:val="002C6B27"/>
    <w:rsid w:val="002C6B40"/>
    <w:rsid w:val="002C6DA1"/>
    <w:rsid w:val="002C7857"/>
    <w:rsid w:val="002C7AF2"/>
    <w:rsid w:val="002C7B8E"/>
    <w:rsid w:val="002C7E85"/>
    <w:rsid w:val="002C7F07"/>
    <w:rsid w:val="002C7FA2"/>
    <w:rsid w:val="002D032B"/>
    <w:rsid w:val="002D0428"/>
    <w:rsid w:val="002D0AE3"/>
    <w:rsid w:val="002D0C3B"/>
    <w:rsid w:val="002D0C57"/>
    <w:rsid w:val="002D0CEC"/>
    <w:rsid w:val="002D0E6B"/>
    <w:rsid w:val="002D0F86"/>
    <w:rsid w:val="002D1035"/>
    <w:rsid w:val="002D14B9"/>
    <w:rsid w:val="002D1A52"/>
    <w:rsid w:val="002D1AF8"/>
    <w:rsid w:val="002D1B95"/>
    <w:rsid w:val="002D1FC1"/>
    <w:rsid w:val="002D22B1"/>
    <w:rsid w:val="002D29DA"/>
    <w:rsid w:val="002D2C46"/>
    <w:rsid w:val="002D2C48"/>
    <w:rsid w:val="002D2D7A"/>
    <w:rsid w:val="002D30A9"/>
    <w:rsid w:val="002D3157"/>
    <w:rsid w:val="002D333B"/>
    <w:rsid w:val="002D347A"/>
    <w:rsid w:val="002D3499"/>
    <w:rsid w:val="002D3704"/>
    <w:rsid w:val="002D385E"/>
    <w:rsid w:val="002D387A"/>
    <w:rsid w:val="002D3A30"/>
    <w:rsid w:val="002D3A51"/>
    <w:rsid w:val="002D3BEB"/>
    <w:rsid w:val="002D3E5C"/>
    <w:rsid w:val="002D3F07"/>
    <w:rsid w:val="002D409F"/>
    <w:rsid w:val="002D40F0"/>
    <w:rsid w:val="002D4273"/>
    <w:rsid w:val="002D4719"/>
    <w:rsid w:val="002D5184"/>
    <w:rsid w:val="002D52D4"/>
    <w:rsid w:val="002D55EB"/>
    <w:rsid w:val="002D563C"/>
    <w:rsid w:val="002D58F7"/>
    <w:rsid w:val="002D5C45"/>
    <w:rsid w:val="002D5CF9"/>
    <w:rsid w:val="002D5E62"/>
    <w:rsid w:val="002D5FFF"/>
    <w:rsid w:val="002D62A4"/>
    <w:rsid w:val="002D62A9"/>
    <w:rsid w:val="002D636B"/>
    <w:rsid w:val="002D6CF0"/>
    <w:rsid w:val="002D6FFE"/>
    <w:rsid w:val="002D7047"/>
    <w:rsid w:val="002D70C1"/>
    <w:rsid w:val="002D784E"/>
    <w:rsid w:val="002D7930"/>
    <w:rsid w:val="002D7B18"/>
    <w:rsid w:val="002D7B49"/>
    <w:rsid w:val="002E090F"/>
    <w:rsid w:val="002E0967"/>
    <w:rsid w:val="002E0F16"/>
    <w:rsid w:val="002E0FA2"/>
    <w:rsid w:val="002E1038"/>
    <w:rsid w:val="002E13A0"/>
    <w:rsid w:val="002E185A"/>
    <w:rsid w:val="002E1C42"/>
    <w:rsid w:val="002E1E26"/>
    <w:rsid w:val="002E2748"/>
    <w:rsid w:val="002E2A70"/>
    <w:rsid w:val="002E2B77"/>
    <w:rsid w:val="002E33BF"/>
    <w:rsid w:val="002E37B5"/>
    <w:rsid w:val="002E380E"/>
    <w:rsid w:val="002E3B41"/>
    <w:rsid w:val="002E3DF0"/>
    <w:rsid w:val="002E4608"/>
    <w:rsid w:val="002E4671"/>
    <w:rsid w:val="002E4E82"/>
    <w:rsid w:val="002E4EE2"/>
    <w:rsid w:val="002E5335"/>
    <w:rsid w:val="002E5734"/>
    <w:rsid w:val="002E5811"/>
    <w:rsid w:val="002E5AF7"/>
    <w:rsid w:val="002E5CF2"/>
    <w:rsid w:val="002E5F3B"/>
    <w:rsid w:val="002E660A"/>
    <w:rsid w:val="002E6799"/>
    <w:rsid w:val="002E6C40"/>
    <w:rsid w:val="002E6CCF"/>
    <w:rsid w:val="002E6E72"/>
    <w:rsid w:val="002E706B"/>
    <w:rsid w:val="002E7523"/>
    <w:rsid w:val="002E7AA9"/>
    <w:rsid w:val="002E7ABC"/>
    <w:rsid w:val="002E7BCD"/>
    <w:rsid w:val="002E7D0A"/>
    <w:rsid w:val="002F0567"/>
    <w:rsid w:val="002F077D"/>
    <w:rsid w:val="002F08DC"/>
    <w:rsid w:val="002F0A6D"/>
    <w:rsid w:val="002F0A73"/>
    <w:rsid w:val="002F1017"/>
    <w:rsid w:val="002F121B"/>
    <w:rsid w:val="002F1306"/>
    <w:rsid w:val="002F13EB"/>
    <w:rsid w:val="002F140F"/>
    <w:rsid w:val="002F182E"/>
    <w:rsid w:val="002F1B67"/>
    <w:rsid w:val="002F2568"/>
    <w:rsid w:val="002F2624"/>
    <w:rsid w:val="002F29CB"/>
    <w:rsid w:val="002F2B44"/>
    <w:rsid w:val="002F2B8F"/>
    <w:rsid w:val="002F2EEA"/>
    <w:rsid w:val="002F3437"/>
    <w:rsid w:val="002F3659"/>
    <w:rsid w:val="002F3BAD"/>
    <w:rsid w:val="002F3E3D"/>
    <w:rsid w:val="002F4122"/>
    <w:rsid w:val="002F41C9"/>
    <w:rsid w:val="002F476D"/>
    <w:rsid w:val="002F47C6"/>
    <w:rsid w:val="002F4893"/>
    <w:rsid w:val="002F4A47"/>
    <w:rsid w:val="002F4BDF"/>
    <w:rsid w:val="002F4C97"/>
    <w:rsid w:val="002F4FC1"/>
    <w:rsid w:val="002F50A4"/>
    <w:rsid w:val="002F538A"/>
    <w:rsid w:val="002F6268"/>
    <w:rsid w:val="002F644B"/>
    <w:rsid w:val="002F65FA"/>
    <w:rsid w:val="002F688E"/>
    <w:rsid w:val="002F6B0D"/>
    <w:rsid w:val="002F6B84"/>
    <w:rsid w:val="002F6D2F"/>
    <w:rsid w:val="002F6D5F"/>
    <w:rsid w:val="002F76CC"/>
    <w:rsid w:val="002F77DD"/>
    <w:rsid w:val="002F78D9"/>
    <w:rsid w:val="002F793B"/>
    <w:rsid w:val="002F7AC3"/>
    <w:rsid w:val="003001EC"/>
    <w:rsid w:val="00300613"/>
    <w:rsid w:val="003008AD"/>
    <w:rsid w:val="003008E3"/>
    <w:rsid w:val="00300C7C"/>
    <w:rsid w:val="00300C85"/>
    <w:rsid w:val="00300EF7"/>
    <w:rsid w:val="0030122E"/>
    <w:rsid w:val="00301354"/>
    <w:rsid w:val="0030179B"/>
    <w:rsid w:val="00301BE1"/>
    <w:rsid w:val="00302431"/>
    <w:rsid w:val="003025C8"/>
    <w:rsid w:val="003026DD"/>
    <w:rsid w:val="003026F0"/>
    <w:rsid w:val="0030276D"/>
    <w:rsid w:val="00302821"/>
    <w:rsid w:val="00302946"/>
    <w:rsid w:val="00302A86"/>
    <w:rsid w:val="00302B76"/>
    <w:rsid w:val="00302C8D"/>
    <w:rsid w:val="00302D6C"/>
    <w:rsid w:val="00302E3D"/>
    <w:rsid w:val="00303524"/>
    <w:rsid w:val="00303BB2"/>
    <w:rsid w:val="00303F41"/>
    <w:rsid w:val="00303F7C"/>
    <w:rsid w:val="003041B9"/>
    <w:rsid w:val="003041DB"/>
    <w:rsid w:val="0030429A"/>
    <w:rsid w:val="003042F3"/>
    <w:rsid w:val="00304447"/>
    <w:rsid w:val="0030452E"/>
    <w:rsid w:val="003047CA"/>
    <w:rsid w:val="003048A6"/>
    <w:rsid w:val="003049D1"/>
    <w:rsid w:val="00304A1C"/>
    <w:rsid w:val="00304AA6"/>
    <w:rsid w:val="00304C4D"/>
    <w:rsid w:val="00304E0B"/>
    <w:rsid w:val="00304E21"/>
    <w:rsid w:val="00304E88"/>
    <w:rsid w:val="00305165"/>
    <w:rsid w:val="003051C3"/>
    <w:rsid w:val="00305253"/>
    <w:rsid w:val="003052FF"/>
    <w:rsid w:val="003053C2"/>
    <w:rsid w:val="003054C3"/>
    <w:rsid w:val="00305895"/>
    <w:rsid w:val="00305CA8"/>
    <w:rsid w:val="00305DBB"/>
    <w:rsid w:val="00305DE3"/>
    <w:rsid w:val="003061A9"/>
    <w:rsid w:val="00306342"/>
    <w:rsid w:val="003065FD"/>
    <w:rsid w:val="0030679B"/>
    <w:rsid w:val="003067B0"/>
    <w:rsid w:val="00306914"/>
    <w:rsid w:val="00306DA0"/>
    <w:rsid w:val="00306FED"/>
    <w:rsid w:val="003076A7"/>
    <w:rsid w:val="003078FC"/>
    <w:rsid w:val="00307C81"/>
    <w:rsid w:val="003100B4"/>
    <w:rsid w:val="00310475"/>
    <w:rsid w:val="003107E7"/>
    <w:rsid w:val="00310AF2"/>
    <w:rsid w:val="00310CE4"/>
    <w:rsid w:val="0031100E"/>
    <w:rsid w:val="00311194"/>
    <w:rsid w:val="0031125F"/>
    <w:rsid w:val="0031136C"/>
    <w:rsid w:val="0031177F"/>
    <w:rsid w:val="00311B7B"/>
    <w:rsid w:val="00311F51"/>
    <w:rsid w:val="003122E8"/>
    <w:rsid w:val="00312635"/>
    <w:rsid w:val="00312B96"/>
    <w:rsid w:val="00312BA3"/>
    <w:rsid w:val="00313B7C"/>
    <w:rsid w:val="00313C32"/>
    <w:rsid w:val="00314017"/>
    <w:rsid w:val="00314034"/>
    <w:rsid w:val="00314397"/>
    <w:rsid w:val="003144BA"/>
    <w:rsid w:val="00314523"/>
    <w:rsid w:val="00314645"/>
    <w:rsid w:val="003149A3"/>
    <w:rsid w:val="00314B2A"/>
    <w:rsid w:val="00315000"/>
    <w:rsid w:val="003150C5"/>
    <w:rsid w:val="0031550B"/>
    <w:rsid w:val="00315540"/>
    <w:rsid w:val="00315A9D"/>
    <w:rsid w:val="00315E08"/>
    <w:rsid w:val="00315FCE"/>
    <w:rsid w:val="00316499"/>
    <w:rsid w:val="00316755"/>
    <w:rsid w:val="003169B6"/>
    <w:rsid w:val="00316C69"/>
    <w:rsid w:val="003171CB"/>
    <w:rsid w:val="00317261"/>
    <w:rsid w:val="0031736F"/>
    <w:rsid w:val="00317766"/>
    <w:rsid w:val="003179CF"/>
    <w:rsid w:val="00317E3D"/>
    <w:rsid w:val="00320010"/>
    <w:rsid w:val="003201FF"/>
    <w:rsid w:val="00320682"/>
    <w:rsid w:val="00320862"/>
    <w:rsid w:val="00320881"/>
    <w:rsid w:val="003214CE"/>
    <w:rsid w:val="00321665"/>
    <w:rsid w:val="00321A5B"/>
    <w:rsid w:val="00321D00"/>
    <w:rsid w:val="00321D56"/>
    <w:rsid w:val="00321F48"/>
    <w:rsid w:val="00321FB7"/>
    <w:rsid w:val="003220F3"/>
    <w:rsid w:val="0032220B"/>
    <w:rsid w:val="0032238A"/>
    <w:rsid w:val="00322A19"/>
    <w:rsid w:val="00322B6A"/>
    <w:rsid w:val="00322CD0"/>
    <w:rsid w:val="00322ED9"/>
    <w:rsid w:val="00322FA3"/>
    <w:rsid w:val="00323450"/>
    <w:rsid w:val="0032350B"/>
    <w:rsid w:val="00323BC5"/>
    <w:rsid w:val="00323BEB"/>
    <w:rsid w:val="003242F7"/>
    <w:rsid w:val="00324673"/>
    <w:rsid w:val="00324B9B"/>
    <w:rsid w:val="00324D46"/>
    <w:rsid w:val="00324DE1"/>
    <w:rsid w:val="003250DD"/>
    <w:rsid w:val="003257CD"/>
    <w:rsid w:val="003259CA"/>
    <w:rsid w:val="00325B0D"/>
    <w:rsid w:val="00325B56"/>
    <w:rsid w:val="00325DF1"/>
    <w:rsid w:val="00325E22"/>
    <w:rsid w:val="0032655A"/>
    <w:rsid w:val="003268E8"/>
    <w:rsid w:val="00326C01"/>
    <w:rsid w:val="00326D93"/>
    <w:rsid w:val="003270C8"/>
    <w:rsid w:val="003273F4"/>
    <w:rsid w:val="0032744B"/>
    <w:rsid w:val="00327607"/>
    <w:rsid w:val="00327618"/>
    <w:rsid w:val="00327764"/>
    <w:rsid w:val="003279D2"/>
    <w:rsid w:val="00327C5F"/>
    <w:rsid w:val="00327FFA"/>
    <w:rsid w:val="00330315"/>
    <w:rsid w:val="003308CB"/>
    <w:rsid w:val="00330F5F"/>
    <w:rsid w:val="003313FF"/>
    <w:rsid w:val="00331867"/>
    <w:rsid w:val="00331871"/>
    <w:rsid w:val="003319F5"/>
    <w:rsid w:val="00331AB5"/>
    <w:rsid w:val="00331DB9"/>
    <w:rsid w:val="0033200C"/>
    <w:rsid w:val="0033227C"/>
    <w:rsid w:val="003322F4"/>
    <w:rsid w:val="0033265D"/>
    <w:rsid w:val="0033272D"/>
    <w:rsid w:val="003328DC"/>
    <w:rsid w:val="00332BE1"/>
    <w:rsid w:val="00332D95"/>
    <w:rsid w:val="00333302"/>
    <w:rsid w:val="00333880"/>
    <w:rsid w:val="0033389B"/>
    <w:rsid w:val="003338D8"/>
    <w:rsid w:val="0033391C"/>
    <w:rsid w:val="00333CAD"/>
    <w:rsid w:val="00333F29"/>
    <w:rsid w:val="0033435C"/>
    <w:rsid w:val="00334AA7"/>
    <w:rsid w:val="0033504D"/>
    <w:rsid w:val="00335190"/>
    <w:rsid w:val="003351D9"/>
    <w:rsid w:val="0033532E"/>
    <w:rsid w:val="00335BDA"/>
    <w:rsid w:val="00335CE3"/>
    <w:rsid w:val="00335E9E"/>
    <w:rsid w:val="00336146"/>
    <w:rsid w:val="003364E2"/>
    <w:rsid w:val="00336662"/>
    <w:rsid w:val="003366AE"/>
    <w:rsid w:val="003369EE"/>
    <w:rsid w:val="00336A2E"/>
    <w:rsid w:val="00336A91"/>
    <w:rsid w:val="00336DB6"/>
    <w:rsid w:val="00336F08"/>
    <w:rsid w:val="003370CB"/>
    <w:rsid w:val="0033723E"/>
    <w:rsid w:val="0033735C"/>
    <w:rsid w:val="0033798E"/>
    <w:rsid w:val="00337F55"/>
    <w:rsid w:val="00337F79"/>
    <w:rsid w:val="0034027E"/>
    <w:rsid w:val="00340626"/>
    <w:rsid w:val="00340750"/>
    <w:rsid w:val="00340B0D"/>
    <w:rsid w:val="00340B2F"/>
    <w:rsid w:val="00340CA2"/>
    <w:rsid w:val="00340ED5"/>
    <w:rsid w:val="00340F9F"/>
    <w:rsid w:val="00341359"/>
    <w:rsid w:val="003413D6"/>
    <w:rsid w:val="0034152B"/>
    <w:rsid w:val="003416A4"/>
    <w:rsid w:val="003416C2"/>
    <w:rsid w:val="00341C05"/>
    <w:rsid w:val="00341D0F"/>
    <w:rsid w:val="00341EF2"/>
    <w:rsid w:val="003420BF"/>
    <w:rsid w:val="003423CA"/>
    <w:rsid w:val="003425BE"/>
    <w:rsid w:val="0034287B"/>
    <w:rsid w:val="00342965"/>
    <w:rsid w:val="003429B5"/>
    <w:rsid w:val="00342BA1"/>
    <w:rsid w:val="00342BE0"/>
    <w:rsid w:val="00342FDE"/>
    <w:rsid w:val="0034313B"/>
    <w:rsid w:val="003431AA"/>
    <w:rsid w:val="003431F1"/>
    <w:rsid w:val="00343F07"/>
    <w:rsid w:val="003443FB"/>
    <w:rsid w:val="00344488"/>
    <w:rsid w:val="003444CF"/>
    <w:rsid w:val="003445AC"/>
    <w:rsid w:val="00344760"/>
    <w:rsid w:val="00344B24"/>
    <w:rsid w:val="00344E5B"/>
    <w:rsid w:val="0034500C"/>
    <w:rsid w:val="003450B8"/>
    <w:rsid w:val="00345185"/>
    <w:rsid w:val="003454BD"/>
    <w:rsid w:val="003458B8"/>
    <w:rsid w:val="00345B6E"/>
    <w:rsid w:val="003461F2"/>
    <w:rsid w:val="00346411"/>
    <w:rsid w:val="003466AD"/>
    <w:rsid w:val="003469AA"/>
    <w:rsid w:val="00346E65"/>
    <w:rsid w:val="00346F1B"/>
    <w:rsid w:val="00347337"/>
    <w:rsid w:val="003473BB"/>
    <w:rsid w:val="003473FB"/>
    <w:rsid w:val="00347505"/>
    <w:rsid w:val="00347690"/>
    <w:rsid w:val="00347719"/>
    <w:rsid w:val="00347A1E"/>
    <w:rsid w:val="00347C45"/>
    <w:rsid w:val="00347D45"/>
    <w:rsid w:val="00347DF7"/>
    <w:rsid w:val="00347F2F"/>
    <w:rsid w:val="00347FD5"/>
    <w:rsid w:val="003502F1"/>
    <w:rsid w:val="003503E7"/>
    <w:rsid w:val="00350557"/>
    <w:rsid w:val="00350967"/>
    <w:rsid w:val="00350A35"/>
    <w:rsid w:val="00350D13"/>
    <w:rsid w:val="00350EDC"/>
    <w:rsid w:val="003510D7"/>
    <w:rsid w:val="0035152F"/>
    <w:rsid w:val="00351630"/>
    <w:rsid w:val="0035178A"/>
    <w:rsid w:val="00351954"/>
    <w:rsid w:val="00351C0B"/>
    <w:rsid w:val="00351FC7"/>
    <w:rsid w:val="003520DC"/>
    <w:rsid w:val="00352337"/>
    <w:rsid w:val="003524DB"/>
    <w:rsid w:val="00352522"/>
    <w:rsid w:val="003525B9"/>
    <w:rsid w:val="003528A2"/>
    <w:rsid w:val="0035296F"/>
    <w:rsid w:val="00352E69"/>
    <w:rsid w:val="00352EBF"/>
    <w:rsid w:val="00352EE8"/>
    <w:rsid w:val="00352EF6"/>
    <w:rsid w:val="003530CF"/>
    <w:rsid w:val="003530D4"/>
    <w:rsid w:val="00353333"/>
    <w:rsid w:val="00353907"/>
    <w:rsid w:val="00353C8B"/>
    <w:rsid w:val="00353E7D"/>
    <w:rsid w:val="003542D4"/>
    <w:rsid w:val="003543DA"/>
    <w:rsid w:val="00354514"/>
    <w:rsid w:val="0035483F"/>
    <w:rsid w:val="00354B65"/>
    <w:rsid w:val="00354B6B"/>
    <w:rsid w:val="00354B7A"/>
    <w:rsid w:val="00354F05"/>
    <w:rsid w:val="00355439"/>
    <w:rsid w:val="003555F5"/>
    <w:rsid w:val="00355B3F"/>
    <w:rsid w:val="0035616C"/>
    <w:rsid w:val="00356450"/>
    <w:rsid w:val="00356A2D"/>
    <w:rsid w:val="00356ADE"/>
    <w:rsid w:val="00356DB8"/>
    <w:rsid w:val="00356EF5"/>
    <w:rsid w:val="00357466"/>
    <w:rsid w:val="0035798B"/>
    <w:rsid w:val="00357999"/>
    <w:rsid w:val="00357A18"/>
    <w:rsid w:val="00357EF9"/>
    <w:rsid w:val="00357FCD"/>
    <w:rsid w:val="00360101"/>
    <w:rsid w:val="00360125"/>
    <w:rsid w:val="00360258"/>
    <w:rsid w:val="0036088E"/>
    <w:rsid w:val="003608DB"/>
    <w:rsid w:val="00360D85"/>
    <w:rsid w:val="00360F07"/>
    <w:rsid w:val="00361109"/>
    <w:rsid w:val="00361A6B"/>
    <w:rsid w:val="0036202E"/>
    <w:rsid w:val="00362166"/>
    <w:rsid w:val="003623F6"/>
    <w:rsid w:val="00362556"/>
    <w:rsid w:val="00362709"/>
    <w:rsid w:val="0036283F"/>
    <w:rsid w:val="00362CBC"/>
    <w:rsid w:val="00362F6B"/>
    <w:rsid w:val="00362F78"/>
    <w:rsid w:val="00363328"/>
    <w:rsid w:val="0036335B"/>
    <w:rsid w:val="003636C9"/>
    <w:rsid w:val="00363D5D"/>
    <w:rsid w:val="00363F44"/>
    <w:rsid w:val="003641FE"/>
    <w:rsid w:val="003642E2"/>
    <w:rsid w:val="003644C1"/>
    <w:rsid w:val="0036461E"/>
    <w:rsid w:val="0036495E"/>
    <w:rsid w:val="00364B70"/>
    <w:rsid w:val="00364DAF"/>
    <w:rsid w:val="00364F6F"/>
    <w:rsid w:val="003652AD"/>
    <w:rsid w:val="0036554A"/>
    <w:rsid w:val="003656AA"/>
    <w:rsid w:val="00365C98"/>
    <w:rsid w:val="00365EE8"/>
    <w:rsid w:val="00365F42"/>
    <w:rsid w:val="00365F6D"/>
    <w:rsid w:val="00366965"/>
    <w:rsid w:val="00366EF0"/>
    <w:rsid w:val="003671D4"/>
    <w:rsid w:val="00367409"/>
    <w:rsid w:val="00367433"/>
    <w:rsid w:val="0036748C"/>
    <w:rsid w:val="00367716"/>
    <w:rsid w:val="00367745"/>
    <w:rsid w:val="00367816"/>
    <w:rsid w:val="00367ACE"/>
    <w:rsid w:val="00367B01"/>
    <w:rsid w:val="00367DCF"/>
    <w:rsid w:val="00367F9B"/>
    <w:rsid w:val="003700CC"/>
    <w:rsid w:val="00370536"/>
    <w:rsid w:val="00370E4B"/>
    <w:rsid w:val="00370F6E"/>
    <w:rsid w:val="00371062"/>
    <w:rsid w:val="00371091"/>
    <w:rsid w:val="003714B2"/>
    <w:rsid w:val="00371518"/>
    <w:rsid w:val="0037158B"/>
    <w:rsid w:val="003717F1"/>
    <w:rsid w:val="00371BC0"/>
    <w:rsid w:val="00371ECA"/>
    <w:rsid w:val="0037209F"/>
    <w:rsid w:val="003726B7"/>
    <w:rsid w:val="00372984"/>
    <w:rsid w:val="00372AE1"/>
    <w:rsid w:val="00372B4A"/>
    <w:rsid w:val="00372CAF"/>
    <w:rsid w:val="00372CB2"/>
    <w:rsid w:val="0037310C"/>
    <w:rsid w:val="00373254"/>
    <w:rsid w:val="003733D9"/>
    <w:rsid w:val="003734B6"/>
    <w:rsid w:val="00373684"/>
    <w:rsid w:val="003738DA"/>
    <w:rsid w:val="00373990"/>
    <w:rsid w:val="003739DA"/>
    <w:rsid w:val="00373AFB"/>
    <w:rsid w:val="00373CCC"/>
    <w:rsid w:val="00373F24"/>
    <w:rsid w:val="00373FBC"/>
    <w:rsid w:val="0037417E"/>
    <w:rsid w:val="00374622"/>
    <w:rsid w:val="0037480E"/>
    <w:rsid w:val="00374E3A"/>
    <w:rsid w:val="00374FE9"/>
    <w:rsid w:val="0037539C"/>
    <w:rsid w:val="00375424"/>
    <w:rsid w:val="003754E1"/>
    <w:rsid w:val="00375597"/>
    <w:rsid w:val="00375630"/>
    <w:rsid w:val="00375633"/>
    <w:rsid w:val="00375BF6"/>
    <w:rsid w:val="00375EE8"/>
    <w:rsid w:val="00375FDA"/>
    <w:rsid w:val="00376585"/>
    <w:rsid w:val="00376651"/>
    <w:rsid w:val="00376816"/>
    <w:rsid w:val="00376844"/>
    <w:rsid w:val="00376D11"/>
    <w:rsid w:val="00376DE8"/>
    <w:rsid w:val="00376F1D"/>
    <w:rsid w:val="003770C0"/>
    <w:rsid w:val="00377319"/>
    <w:rsid w:val="0037731B"/>
    <w:rsid w:val="0037740F"/>
    <w:rsid w:val="003774D4"/>
    <w:rsid w:val="0037768C"/>
    <w:rsid w:val="0037799A"/>
    <w:rsid w:val="00377A24"/>
    <w:rsid w:val="00377E52"/>
    <w:rsid w:val="003800DD"/>
    <w:rsid w:val="0038026E"/>
    <w:rsid w:val="0038028B"/>
    <w:rsid w:val="003805D6"/>
    <w:rsid w:val="003806E4"/>
    <w:rsid w:val="00380AC1"/>
    <w:rsid w:val="00380D40"/>
    <w:rsid w:val="00380E9B"/>
    <w:rsid w:val="00381015"/>
    <w:rsid w:val="003814F7"/>
    <w:rsid w:val="00381E30"/>
    <w:rsid w:val="0038251C"/>
    <w:rsid w:val="0038264C"/>
    <w:rsid w:val="00382880"/>
    <w:rsid w:val="00382A18"/>
    <w:rsid w:val="00382AA2"/>
    <w:rsid w:val="00382ACB"/>
    <w:rsid w:val="00382B3E"/>
    <w:rsid w:val="00382DAE"/>
    <w:rsid w:val="00382E5F"/>
    <w:rsid w:val="00382F65"/>
    <w:rsid w:val="003830FC"/>
    <w:rsid w:val="003839CE"/>
    <w:rsid w:val="00383B86"/>
    <w:rsid w:val="00383C9A"/>
    <w:rsid w:val="00383D49"/>
    <w:rsid w:val="00383EF5"/>
    <w:rsid w:val="00383F4D"/>
    <w:rsid w:val="0038430E"/>
    <w:rsid w:val="003843D7"/>
    <w:rsid w:val="0038452B"/>
    <w:rsid w:val="0038458C"/>
    <w:rsid w:val="0038459E"/>
    <w:rsid w:val="00384611"/>
    <w:rsid w:val="00384ABB"/>
    <w:rsid w:val="00384AE0"/>
    <w:rsid w:val="00384C20"/>
    <w:rsid w:val="00384E52"/>
    <w:rsid w:val="0038500C"/>
    <w:rsid w:val="00385295"/>
    <w:rsid w:val="0038532C"/>
    <w:rsid w:val="0038556F"/>
    <w:rsid w:val="0038578E"/>
    <w:rsid w:val="003857DB"/>
    <w:rsid w:val="00385CB4"/>
    <w:rsid w:val="00385D1A"/>
    <w:rsid w:val="00385D43"/>
    <w:rsid w:val="00385DBC"/>
    <w:rsid w:val="00385E39"/>
    <w:rsid w:val="0038630D"/>
    <w:rsid w:val="003864AE"/>
    <w:rsid w:val="003865A8"/>
    <w:rsid w:val="00386A36"/>
    <w:rsid w:val="00386B20"/>
    <w:rsid w:val="00386B7F"/>
    <w:rsid w:val="00386BB5"/>
    <w:rsid w:val="00386D61"/>
    <w:rsid w:val="00386D7C"/>
    <w:rsid w:val="00386F24"/>
    <w:rsid w:val="00386FED"/>
    <w:rsid w:val="00387056"/>
    <w:rsid w:val="0038739C"/>
    <w:rsid w:val="003874E6"/>
    <w:rsid w:val="0038755D"/>
    <w:rsid w:val="003879BE"/>
    <w:rsid w:val="00387AA7"/>
    <w:rsid w:val="00387F13"/>
    <w:rsid w:val="00387FA6"/>
    <w:rsid w:val="00390051"/>
    <w:rsid w:val="003902B6"/>
    <w:rsid w:val="003903E6"/>
    <w:rsid w:val="00390767"/>
    <w:rsid w:val="0039094B"/>
    <w:rsid w:val="00390BF7"/>
    <w:rsid w:val="00390C65"/>
    <w:rsid w:val="00390DC8"/>
    <w:rsid w:val="003911BC"/>
    <w:rsid w:val="00391227"/>
    <w:rsid w:val="003912A4"/>
    <w:rsid w:val="003912C4"/>
    <w:rsid w:val="00391378"/>
    <w:rsid w:val="003913E1"/>
    <w:rsid w:val="003914C8"/>
    <w:rsid w:val="003915B0"/>
    <w:rsid w:val="003915F3"/>
    <w:rsid w:val="003917A8"/>
    <w:rsid w:val="00391914"/>
    <w:rsid w:val="00391CD1"/>
    <w:rsid w:val="003922BF"/>
    <w:rsid w:val="00392A69"/>
    <w:rsid w:val="00392E4E"/>
    <w:rsid w:val="0039307A"/>
    <w:rsid w:val="003930EB"/>
    <w:rsid w:val="003931B5"/>
    <w:rsid w:val="003931D8"/>
    <w:rsid w:val="00393229"/>
    <w:rsid w:val="00393509"/>
    <w:rsid w:val="00393569"/>
    <w:rsid w:val="00393C42"/>
    <w:rsid w:val="00393EFB"/>
    <w:rsid w:val="003942F1"/>
    <w:rsid w:val="00394705"/>
    <w:rsid w:val="0039480F"/>
    <w:rsid w:val="00394B28"/>
    <w:rsid w:val="00394B89"/>
    <w:rsid w:val="00395151"/>
    <w:rsid w:val="0039525E"/>
    <w:rsid w:val="00395514"/>
    <w:rsid w:val="0039554E"/>
    <w:rsid w:val="003957BB"/>
    <w:rsid w:val="00395C25"/>
    <w:rsid w:val="00395C2B"/>
    <w:rsid w:val="00395C4B"/>
    <w:rsid w:val="00395C7A"/>
    <w:rsid w:val="00395CC6"/>
    <w:rsid w:val="00395E22"/>
    <w:rsid w:val="00395FEF"/>
    <w:rsid w:val="003961B5"/>
    <w:rsid w:val="003962D6"/>
    <w:rsid w:val="0039638D"/>
    <w:rsid w:val="00396828"/>
    <w:rsid w:val="00396E02"/>
    <w:rsid w:val="00397119"/>
    <w:rsid w:val="0039723A"/>
    <w:rsid w:val="003975C0"/>
    <w:rsid w:val="00397D6F"/>
    <w:rsid w:val="003A0146"/>
    <w:rsid w:val="003A03F0"/>
    <w:rsid w:val="003A0743"/>
    <w:rsid w:val="003A0C86"/>
    <w:rsid w:val="003A0EBC"/>
    <w:rsid w:val="003A106C"/>
    <w:rsid w:val="003A193D"/>
    <w:rsid w:val="003A21D7"/>
    <w:rsid w:val="003A24F9"/>
    <w:rsid w:val="003A25B0"/>
    <w:rsid w:val="003A270F"/>
    <w:rsid w:val="003A2E76"/>
    <w:rsid w:val="003A2EA3"/>
    <w:rsid w:val="003A309A"/>
    <w:rsid w:val="003A3237"/>
    <w:rsid w:val="003A3314"/>
    <w:rsid w:val="003A335C"/>
    <w:rsid w:val="003A36D3"/>
    <w:rsid w:val="003A3B8F"/>
    <w:rsid w:val="003A3EF6"/>
    <w:rsid w:val="003A4264"/>
    <w:rsid w:val="003A4296"/>
    <w:rsid w:val="003A42CC"/>
    <w:rsid w:val="003A4319"/>
    <w:rsid w:val="003A4523"/>
    <w:rsid w:val="003A4954"/>
    <w:rsid w:val="003A4AA7"/>
    <w:rsid w:val="003A4AD7"/>
    <w:rsid w:val="003A4CF5"/>
    <w:rsid w:val="003A4D30"/>
    <w:rsid w:val="003A50F8"/>
    <w:rsid w:val="003A5203"/>
    <w:rsid w:val="003A52C4"/>
    <w:rsid w:val="003A5735"/>
    <w:rsid w:val="003A58C7"/>
    <w:rsid w:val="003A5ACF"/>
    <w:rsid w:val="003A618E"/>
    <w:rsid w:val="003A66D7"/>
    <w:rsid w:val="003A6CDC"/>
    <w:rsid w:val="003A7265"/>
    <w:rsid w:val="003A7367"/>
    <w:rsid w:val="003A78C3"/>
    <w:rsid w:val="003A797C"/>
    <w:rsid w:val="003A7A6F"/>
    <w:rsid w:val="003A7FF6"/>
    <w:rsid w:val="003B03F4"/>
    <w:rsid w:val="003B0413"/>
    <w:rsid w:val="003B0605"/>
    <w:rsid w:val="003B0677"/>
    <w:rsid w:val="003B083A"/>
    <w:rsid w:val="003B0A0F"/>
    <w:rsid w:val="003B0B9C"/>
    <w:rsid w:val="003B0D40"/>
    <w:rsid w:val="003B0EC1"/>
    <w:rsid w:val="003B1015"/>
    <w:rsid w:val="003B12DD"/>
    <w:rsid w:val="003B16D2"/>
    <w:rsid w:val="003B192B"/>
    <w:rsid w:val="003B1B21"/>
    <w:rsid w:val="003B1C17"/>
    <w:rsid w:val="003B1CB6"/>
    <w:rsid w:val="003B202F"/>
    <w:rsid w:val="003B206D"/>
    <w:rsid w:val="003B209A"/>
    <w:rsid w:val="003B20B8"/>
    <w:rsid w:val="003B2198"/>
    <w:rsid w:val="003B2498"/>
    <w:rsid w:val="003B28BC"/>
    <w:rsid w:val="003B29FE"/>
    <w:rsid w:val="003B2A8D"/>
    <w:rsid w:val="003B2F17"/>
    <w:rsid w:val="003B32F5"/>
    <w:rsid w:val="003B38CD"/>
    <w:rsid w:val="003B3A56"/>
    <w:rsid w:val="003B3D10"/>
    <w:rsid w:val="003B3F0A"/>
    <w:rsid w:val="003B44FE"/>
    <w:rsid w:val="003B46B5"/>
    <w:rsid w:val="003B4849"/>
    <w:rsid w:val="003B4A40"/>
    <w:rsid w:val="003B4A70"/>
    <w:rsid w:val="003B4D62"/>
    <w:rsid w:val="003B4D70"/>
    <w:rsid w:val="003B4EDF"/>
    <w:rsid w:val="003B4F2E"/>
    <w:rsid w:val="003B55EE"/>
    <w:rsid w:val="003B58B3"/>
    <w:rsid w:val="003B590E"/>
    <w:rsid w:val="003B5961"/>
    <w:rsid w:val="003B5B16"/>
    <w:rsid w:val="003B5C09"/>
    <w:rsid w:val="003B5C97"/>
    <w:rsid w:val="003B5D35"/>
    <w:rsid w:val="003B605D"/>
    <w:rsid w:val="003B6110"/>
    <w:rsid w:val="003B6255"/>
    <w:rsid w:val="003B632F"/>
    <w:rsid w:val="003B6346"/>
    <w:rsid w:val="003B6427"/>
    <w:rsid w:val="003B65D2"/>
    <w:rsid w:val="003B68ED"/>
    <w:rsid w:val="003B6960"/>
    <w:rsid w:val="003B6A9C"/>
    <w:rsid w:val="003B6B94"/>
    <w:rsid w:val="003B6C95"/>
    <w:rsid w:val="003B6DB5"/>
    <w:rsid w:val="003B6E55"/>
    <w:rsid w:val="003B7014"/>
    <w:rsid w:val="003B76BF"/>
    <w:rsid w:val="003B7716"/>
    <w:rsid w:val="003B7A53"/>
    <w:rsid w:val="003B7B24"/>
    <w:rsid w:val="003B7BB9"/>
    <w:rsid w:val="003B7BEB"/>
    <w:rsid w:val="003B7ECE"/>
    <w:rsid w:val="003C00AB"/>
    <w:rsid w:val="003C041C"/>
    <w:rsid w:val="003C0F40"/>
    <w:rsid w:val="003C0F54"/>
    <w:rsid w:val="003C0FEF"/>
    <w:rsid w:val="003C121D"/>
    <w:rsid w:val="003C1658"/>
    <w:rsid w:val="003C1867"/>
    <w:rsid w:val="003C188E"/>
    <w:rsid w:val="003C1937"/>
    <w:rsid w:val="003C260C"/>
    <w:rsid w:val="003C277F"/>
    <w:rsid w:val="003C281D"/>
    <w:rsid w:val="003C2897"/>
    <w:rsid w:val="003C29EE"/>
    <w:rsid w:val="003C2C8D"/>
    <w:rsid w:val="003C2E50"/>
    <w:rsid w:val="003C3016"/>
    <w:rsid w:val="003C319E"/>
    <w:rsid w:val="003C33A3"/>
    <w:rsid w:val="003C387E"/>
    <w:rsid w:val="003C3ACE"/>
    <w:rsid w:val="003C3CCD"/>
    <w:rsid w:val="003C3D25"/>
    <w:rsid w:val="003C3F26"/>
    <w:rsid w:val="003C40A4"/>
    <w:rsid w:val="003C44E3"/>
    <w:rsid w:val="003C45A6"/>
    <w:rsid w:val="003C4DC1"/>
    <w:rsid w:val="003C4ED1"/>
    <w:rsid w:val="003C4EEA"/>
    <w:rsid w:val="003C4F7A"/>
    <w:rsid w:val="003C511B"/>
    <w:rsid w:val="003C53A9"/>
    <w:rsid w:val="003C53B5"/>
    <w:rsid w:val="003C587F"/>
    <w:rsid w:val="003C5A6E"/>
    <w:rsid w:val="003C5A7A"/>
    <w:rsid w:val="003C6073"/>
    <w:rsid w:val="003C64B5"/>
    <w:rsid w:val="003C64F7"/>
    <w:rsid w:val="003C675B"/>
    <w:rsid w:val="003C690E"/>
    <w:rsid w:val="003C6C49"/>
    <w:rsid w:val="003C6D10"/>
    <w:rsid w:val="003C6D72"/>
    <w:rsid w:val="003C6EFF"/>
    <w:rsid w:val="003C6FA4"/>
    <w:rsid w:val="003C6FBE"/>
    <w:rsid w:val="003C6FFB"/>
    <w:rsid w:val="003C74C2"/>
    <w:rsid w:val="003C757F"/>
    <w:rsid w:val="003C75B1"/>
    <w:rsid w:val="003C75B4"/>
    <w:rsid w:val="003C779E"/>
    <w:rsid w:val="003C7820"/>
    <w:rsid w:val="003C79A3"/>
    <w:rsid w:val="003D00D2"/>
    <w:rsid w:val="003D056E"/>
    <w:rsid w:val="003D08EF"/>
    <w:rsid w:val="003D0AFB"/>
    <w:rsid w:val="003D0BD2"/>
    <w:rsid w:val="003D0BE3"/>
    <w:rsid w:val="003D1331"/>
    <w:rsid w:val="003D1730"/>
    <w:rsid w:val="003D184B"/>
    <w:rsid w:val="003D18C3"/>
    <w:rsid w:val="003D1C0A"/>
    <w:rsid w:val="003D1C91"/>
    <w:rsid w:val="003D21F7"/>
    <w:rsid w:val="003D228D"/>
    <w:rsid w:val="003D23EE"/>
    <w:rsid w:val="003D2589"/>
    <w:rsid w:val="003D25F4"/>
    <w:rsid w:val="003D26D5"/>
    <w:rsid w:val="003D26F7"/>
    <w:rsid w:val="003D2CB3"/>
    <w:rsid w:val="003D2CD5"/>
    <w:rsid w:val="003D2CEE"/>
    <w:rsid w:val="003D2F99"/>
    <w:rsid w:val="003D30D6"/>
    <w:rsid w:val="003D34E8"/>
    <w:rsid w:val="003D3528"/>
    <w:rsid w:val="003D37D4"/>
    <w:rsid w:val="003D3A0C"/>
    <w:rsid w:val="003D3E70"/>
    <w:rsid w:val="003D41E1"/>
    <w:rsid w:val="003D41F2"/>
    <w:rsid w:val="003D4937"/>
    <w:rsid w:val="003D4957"/>
    <w:rsid w:val="003D4B9D"/>
    <w:rsid w:val="003D4E2B"/>
    <w:rsid w:val="003D4F92"/>
    <w:rsid w:val="003D576D"/>
    <w:rsid w:val="003D5CD5"/>
    <w:rsid w:val="003D6151"/>
    <w:rsid w:val="003D61CE"/>
    <w:rsid w:val="003D6235"/>
    <w:rsid w:val="003D6672"/>
    <w:rsid w:val="003D670E"/>
    <w:rsid w:val="003D684E"/>
    <w:rsid w:val="003D690B"/>
    <w:rsid w:val="003D69FF"/>
    <w:rsid w:val="003D6CA1"/>
    <w:rsid w:val="003D6EE8"/>
    <w:rsid w:val="003D6F6F"/>
    <w:rsid w:val="003D70AA"/>
    <w:rsid w:val="003D728F"/>
    <w:rsid w:val="003D7461"/>
    <w:rsid w:val="003D746B"/>
    <w:rsid w:val="003D76CD"/>
    <w:rsid w:val="003D76F9"/>
    <w:rsid w:val="003D7B0C"/>
    <w:rsid w:val="003D7CF1"/>
    <w:rsid w:val="003E025F"/>
    <w:rsid w:val="003E0309"/>
    <w:rsid w:val="003E0730"/>
    <w:rsid w:val="003E0A59"/>
    <w:rsid w:val="003E0E48"/>
    <w:rsid w:val="003E1178"/>
    <w:rsid w:val="003E1723"/>
    <w:rsid w:val="003E1769"/>
    <w:rsid w:val="003E1A3A"/>
    <w:rsid w:val="003E1A8D"/>
    <w:rsid w:val="003E1B7B"/>
    <w:rsid w:val="003E1BC0"/>
    <w:rsid w:val="003E1BC4"/>
    <w:rsid w:val="003E1D15"/>
    <w:rsid w:val="003E1D48"/>
    <w:rsid w:val="003E1D49"/>
    <w:rsid w:val="003E1EE5"/>
    <w:rsid w:val="003E1F00"/>
    <w:rsid w:val="003E2078"/>
    <w:rsid w:val="003E23F6"/>
    <w:rsid w:val="003E2540"/>
    <w:rsid w:val="003E2AA8"/>
    <w:rsid w:val="003E2D9E"/>
    <w:rsid w:val="003E2ED0"/>
    <w:rsid w:val="003E3331"/>
    <w:rsid w:val="003E33DF"/>
    <w:rsid w:val="003E35BF"/>
    <w:rsid w:val="003E3637"/>
    <w:rsid w:val="003E3860"/>
    <w:rsid w:val="003E3A1D"/>
    <w:rsid w:val="003E3A8B"/>
    <w:rsid w:val="003E3B82"/>
    <w:rsid w:val="003E3CC2"/>
    <w:rsid w:val="003E404F"/>
    <w:rsid w:val="003E4096"/>
    <w:rsid w:val="003E4527"/>
    <w:rsid w:val="003E4927"/>
    <w:rsid w:val="003E49A2"/>
    <w:rsid w:val="003E49B0"/>
    <w:rsid w:val="003E4CF4"/>
    <w:rsid w:val="003E4FA2"/>
    <w:rsid w:val="003E5103"/>
    <w:rsid w:val="003E5330"/>
    <w:rsid w:val="003E5B22"/>
    <w:rsid w:val="003E5D70"/>
    <w:rsid w:val="003E5FD6"/>
    <w:rsid w:val="003E603E"/>
    <w:rsid w:val="003E61D8"/>
    <w:rsid w:val="003E629E"/>
    <w:rsid w:val="003E6517"/>
    <w:rsid w:val="003E6906"/>
    <w:rsid w:val="003E6985"/>
    <w:rsid w:val="003E6BF2"/>
    <w:rsid w:val="003E6D22"/>
    <w:rsid w:val="003E6D70"/>
    <w:rsid w:val="003E6FA0"/>
    <w:rsid w:val="003E7016"/>
    <w:rsid w:val="003E71CD"/>
    <w:rsid w:val="003E760B"/>
    <w:rsid w:val="003E7E8B"/>
    <w:rsid w:val="003F006A"/>
    <w:rsid w:val="003F01F6"/>
    <w:rsid w:val="003F020C"/>
    <w:rsid w:val="003F033C"/>
    <w:rsid w:val="003F03C4"/>
    <w:rsid w:val="003F04C5"/>
    <w:rsid w:val="003F066F"/>
    <w:rsid w:val="003F07C3"/>
    <w:rsid w:val="003F0C9B"/>
    <w:rsid w:val="003F110B"/>
    <w:rsid w:val="003F1299"/>
    <w:rsid w:val="003F1710"/>
    <w:rsid w:val="003F1C0F"/>
    <w:rsid w:val="003F1F1D"/>
    <w:rsid w:val="003F2A8C"/>
    <w:rsid w:val="003F2CEF"/>
    <w:rsid w:val="003F2DEE"/>
    <w:rsid w:val="003F307C"/>
    <w:rsid w:val="003F31AE"/>
    <w:rsid w:val="003F325F"/>
    <w:rsid w:val="003F3282"/>
    <w:rsid w:val="003F34C8"/>
    <w:rsid w:val="003F3650"/>
    <w:rsid w:val="003F3733"/>
    <w:rsid w:val="003F3894"/>
    <w:rsid w:val="003F3919"/>
    <w:rsid w:val="003F3982"/>
    <w:rsid w:val="003F39F1"/>
    <w:rsid w:val="003F3AC4"/>
    <w:rsid w:val="003F3B76"/>
    <w:rsid w:val="003F3B8F"/>
    <w:rsid w:val="003F3CE3"/>
    <w:rsid w:val="003F416F"/>
    <w:rsid w:val="003F41F2"/>
    <w:rsid w:val="003F441C"/>
    <w:rsid w:val="003F443F"/>
    <w:rsid w:val="003F44C8"/>
    <w:rsid w:val="003F45EB"/>
    <w:rsid w:val="003F46B8"/>
    <w:rsid w:val="003F4954"/>
    <w:rsid w:val="003F4D21"/>
    <w:rsid w:val="003F4DA7"/>
    <w:rsid w:val="003F5277"/>
    <w:rsid w:val="003F576C"/>
    <w:rsid w:val="003F57F4"/>
    <w:rsid w:val="003F5BB3"/>
    <w:rsid w:val="003F5C88"/>
    <w:rsid w:val="003F62DB"/>
    <w:rsid w:val="003F62DE"/>
    <w:rsid w:val="003F62ED"/>
    <w:rsid w:val="003F647C"/>
    <w:rsid w:val="003F6545"/>
    <w:rsid w:val="003F66F8"/>
    <w:rsid w:val="003F6ABD"/>
    <w:rsid w:val="003F6B6C"/>
    <w:rsid w:val="003F6F06"/>
    <w:rsid w:val="003F6F6C"/>
    <w:rsid w:val="003F703F"/>
    <w:rsid w:val="003F711F"/>
    <w:rsid w:val="003F7537"/>
    <w:rsid w:val="003F7546"/>
    <w:rsid w:val="003F77D2"/>
    <w:rsid w:val="003F77F7"/>
    <w:rsid w:val="003F7828"/>
    <w:rsid w:val="003F78D8"/>
    <w:rsid w:val="004000F9"/>
    <w:rsid w:val="004001FC"/>
    <w:rsid w:val="00400398"/>
    <w:rsid w:val="004003A6"/>
    <w:rsid w:val="004007D0"/>
    <w:rsid w:val="0040082E"/>
    <w:rsid w:val="00400A90"/>
    <w:rsid w:val="00400B2C"/>
    <w:rsid w:val="00400D42"/>
    <w:rsid w:val="004010A5"/>
    <w:rsid w:val="004013E1"/>
    <w:rsid w:val="00401A04"/>
    <w:rsid w:val="00401A6B"/>
    <w:rsid w:val="00401C60"/>
    <w:rsid w:val="00401FCB"/>
    <w:rsid w:val="0040203A"/>
    <w:rsid w:val="00402B30"/>
    <w:rsid w:val="00402C69"/>
    <w:rsid w:val="00402FE4"/>
    <w:rsid w:val="004030CE"/>
    <w:rsid w:val="004034C1"/>
    <w:rsid w:val="004034E5"/>
    <w:rsid w:val="00403504"/>
    <w:rsid w:val="00403633"/>
    <w:rsid w:val="00403812"/>
    <w:rsid w:val="00403959"/>
    <w:rsid w:val="00403B3C"/>
    <w:rsid w:val="00403DE5"/>
    <w:rsid w:val="00404053"/>
    <w:rsid w:val="004046CF"/>
    <w:rsid w:val="00404744"/>
    <w:rsid w:val="004047F2"/>
    <w:rsid w:val="0040483C"/>
    <w:rsid w:val="00404BD5"/>
    <w:rsid w:val="00404F0C"/>
    <w:rsid w:val="00404FF8"/>
    <w:rsid w:val="00405095"/>
    <w:rsid w:val="0040521E"/>
    <w:rsid w:val="00405329"/>
    <w:rsid w:val="00405562"/>
    <w:rsid w:val="004059E0"/>
    <w:rsid w:val="00405C11"/>
    <w:rsid w:val="00406009"/>
    <w:rsid w:val="004065C4"/>
    <w:rsid w:val="004066EE"/>
    <w:rsid w:val="00406765"/>
    <w:rsid w:val="00406B99"/>
    <w:rsid w:val="00406E5B"/>
    <w:rsid w:val="00406F6F"/>
    <w:rsid w:val="004073A8"/>
    <w:rsid w:val="00407428"/>
    <w:rsid w:val="004074FF"/>
    <w:rsid w:val="004077F4"/>
    <w:rsid w:val="00407840"/>
    <w:rsid w:val="0040796E"/>
    <w:rsid w:val="004079E9"/>
    <w:rsid w:val="0041021F"/>
    <w:rsid w:val="004103F2"/>
    <w:rsid w:val="00410619"/>
    <w:rsid w:val="0041073C"/>
    <w:rsid w:val="004107D2"/>
    <w:rsid w:val="00410AB1"/>
    <w:rsid w:val="00410F60"/>
    <w:rsid w:val="004112AE"/>
    <w:rsid w:val="00411903"/>
    <w:rsid w:val="00411CCB"/>
    <w:rsid w:val="00411E7E"/>
    <w:rsid w:val="00411F4F"/>
    <w:rsid w:val="00412042"/>
    <w:rsid w:val="004124B3"/>
    <w:rsid w:val="00412535"/>
    <w:rsid w:val="00412A7B"/>
    <w:rsid w:val="00412B5E"/>
    <w:rsid w:val="00412C90"/>
    <w:rsid w:val="00412D0B"/>
    <w:rsid w:val="0041303A"/>
    <w:rsid w:val="00413097"/>
    <w:rsid w:val="00413444"/>
    <w:rsid w:val="004134C0"/>
    <w:rsid w:val="00413C08"/>
    <w:rsid w:val="00413FFE"/>
    <w:rsid w:val="00414299"/>
    <w:rsid w:val="004145B4"/>
    <w:rsid w:val="00414967"/>
    <w:rsid w:val="00414B5B"/>
    <w:rsid w:val="00414C19"/>
    <w:rsid w:val="00414CAD"/>
    <w:rsid w:val="004150F4"/>
    <w:rsid w:val="00415BC5"/>
    <w:rsid w:val="00415DB8"/>
    <w:rsid w:val="00415EE3"/>
    <w:rsid w:val="00415F40"/>
    <w:rsid w:val="0041604E"/>
    <w:rsid w:val="004161DD"/>
    <w:rsid w:val="00416341"/>
    <w:rsid w:val="004173EB"/>
    <w:rsid w:val="00417B31"/>
    <w:rsid w:val="0042018B"/>
    <w:rsid w:val="004203E3"/>
    <w:rsid w:val="0042055A"/>
    <w:rsid w:val="00420AC8"/>
    <w:rsid w:val="00420BD0"/>
    <w:rsid w:val="00420CB0"/>
    <w:rsid w:val="00420F40"/>
    <w:rsid w:val="00421090"/>
    <w:rsid w:val="0042114F"/>
    <w:rsid w:val="00421840"/>
    <w:rsid w:val="00421975"/>
    <w:rsid w:val="00421BB3"/>
    <w:rsid w:val="00421F35"/>
    <w:rsid w:val="0042208B"/>
    <w:rsid w:val="00422404"/>
    <w:rsid w:val="004229AD"/>
    <w:rsid w:val="00422C05"/>
    <w:rsid w:val="0042304A"/>
    <w:rsid w:val="004232DA"/>
    <w:rsid w:val="004238F9"/>
    <w:rsid w:val="00423967"/>
    <w:rsid w:val="00423B8D"/>
    <w:rsid w:val="004240E0"/>
    <w:rsid w:val="00424879"/>
    <w:rsid w:val="00424B6C"/>
    <w:rsid w:val="00424BC8"/>
    <w:rsid w:val="00424C9B"/>
    <w:rsid w:val="00424E78"/>
    <w:rsid w:val="00424F79"/>
    <w:rsid w:val="0042523D"/>
    <w:rsid w:val="0042527E"/>
    <w:rsid w:val="004252FB"/>
    <w:rsid w:val="00425683"/>
    <w:rsid w:val="00425907"/>
    <w:rsid w:val="00425987"/>
    <w:rsid w:val="00425A69"/>
    <w:rsid w:val="00425B72"/>
    <w:rsid w:val="00425E08"/>
    <w:rsid w:val="00425F1B"/>
    <w:rsid w:val="004260FD"/>
    <w:rsid w:val="004266A3"/>
    <w:rsid w:val="004266B1"/>
    <w:rsid w:val="00427696"/>
    <w:rsid w:val="004276FA"/>
    <w:rsid w:val="00427865"/>
    <w:rsid w:val="00427876"/>
    <w:rsid w:val="004278E6"/>
    <w:rsid w:val="00430012"/>
    <w:rsid w:val="004302B7"/>
    <w:rsid w:val="00430412"/>
    <w:rsid w:val="0043054F"/>
    <w:rsid w:val="00430567"/>
    <w:rsid w:val="0043080E"/>
    <w:rsid w:val="004308E5"/>
    <w:rsid w:val="004309E8"/>
    <w:rsid w:val="00430DFD"/>
    <w:rsid w:val="00431096"/>
    <w:rsid w:val="004322D4"/>
    <w:rsid w:val="00432570"/>
    <w:rsid w:val="0043269D"/>
    <w:rsid w:val="00432A76"/>
    <w:rsid w:val="00432F05"/>
    <w:rsid w:val="004330BC"/>
    <w:rsid w:val="00433783"/>
    <w:rsid w:val="0043396B"/>
    <w:rsid w:val="00433C0B"/>
    <w:rsid w:val="00434174"/>
    <w:rsid w:val="0043417D"/>
    <w:rsid w:val="00434627"/>
    <w:rsid w:val="0043479C"/>
    <w:rsid w:val="00434A59"/>
    <w:rsid w:val="00434D4B"/>
    <w:rsid w:val="00434E88"/>
    <w:rsid w:val="00435099"/>
    <w:rsid w:val="004350A2"/>
    <w:rsid w:val="00435101"/>
    <w:rsid w:val="00435175"/>
    <w:rsid w:val="004351AE"/>
    <w:rsid w:val="00435632"/>
    <w:rsid w:val="00435734"/>
    <w:rsid w:val="0043584E"/>
    <w:rsid w:val="004358C5"/>
    <w:rsid w:val="0043594B"/>
    <w:rsid w:val="00435BEA"/>
    <w:rsid w:val="00435D10"/>
    <w:rsid w:val="004362BB"/>
    <w:rsid w:val="004368AE"/>
    <w:rsid w:val="004369C6"/>
    <w:rsid w:val="00436CDF"/>
    <w:rsid w:val="00437330"/>
    <w:rsid w:val="004378EC"/>
    <w:rsid w:val="004379D0"/>
    <w:rsid w:val="00437FA7"/>
    <w:rsid w:val="00440018"/>
    <w:rsid w:val="0044040B"/>
    <w:rsid w:val="00440604"/>
    <w:rsid w:val="00440DFC"/>
    <w:rsid w:val="00440E5B"/>
    <w:rsid w:val="00440FD7"/>
    <w:rsid w:val="0044129B"/>
    <w:rsid w:val="004412D1"/>
    <w:rsid w:val="0044130F"/>
    <w:rsid w:val="00441AFE"/>
    <w:rsid w:val="00441C3C"/>
    <w:rsid w:val="00442386"/>
    <w:rsid w:val="00442B2E"/>
    <w:rsid w:val="00442BD9"/>
    <w:rsid w:val="00442D21"/>
    <w:rsid w:val="00443182"/>
    <w:rsid w:val="004431E9"/>
    <w:rsid w:val="00443287"/>
    <w:rsid w:val="00443392"/>
    <w:rsid w:val="004433C5"/>
    <w:rsid w:val="00443630"/>
    <w:rsid w:val="0044365B"/>
    <w:rsid w:val="0044368D"/>
    <w:rsid w:val="00443ADC"/>
    <w:rsid w:val="00443E1F"/>
    <w:rsid w:val="004443AF"/>
    <w:rsid w:val="00444631"/>
    <w:rsid w:val="00444B3D"/>
    <w:rsid w:val="00444C12"/>
    <w:rsid w:val="00444D1D"/>
    <w:rsid w:val="00444E76"/>
    <w:rsid w:val="00444EA8"/>
    <w:rsid w:val="00445089"/>
    <w:rsid w:val="00445144"/>
    <w:rsid w:val="0044536C"/>
    <w:rsid w:val="00445832"/>
    <w:rsid w:val="00445B21"/>
    <w:rsid w:val="00445CC2"/>
    <w:rsid w:val="00445CCE"/>
    <w:rsid w:val="00445E44"/>
    <w:rsid w:val="00446095"/>
    <w:rsid w:val="004460FE"/>
    <w:rsid w:val="00446114"/>
    <w:rsid w:val="0044680C"/>
    <w:rsid w:val="00446A40"/>
    <w:rsid w:val="00446CE8"/>
    <w:rsid w:val="004477EF"/>
    <w:rsid w:val="00447895"/>
    <w:rsid w:val="00447A16"/>
    <w:rsid w:val="00447A38"/>
    <w:rsid w:val="00447BCF"/>
    <w:rsid w:val="00450446"/>
    <w:rsid w:val="004504D6"/>
    <w:rsid w:val="004507E5"/>
    <w:rsid w:val="00450A8E"/>
    <w:rsid w:val="00450AC0"/>
    <w:rsid w:val="00450D71"/>
    <w:rsid w:val="004512E4"/>
    <w:rsid w:val="004516D6"/>
    <w:rsid w:val="004516F2"/>
    <w:rsid w:val="004519F1"/>
    <w:rsid w:val="00451ED2"/>
    <w:rsid w:val="0045212D"/>
    <w:rsid w:val="004525C1"/>
    <w:rsid w:val="004526DF"/>
    <w:rsid w:val="00452A17"/>
    <w:rsid w:val="00452C4A"/>
    <w:rsid w:val="00452E1E"/>
    <w:rsid w:val="00452E70"/>
    <w:rsid w:val="00453037"/>
    <w:rsid w:val="00453106"/>
    <w:rsid w:val="00453314"/>
    <w:rsid w:val="0045334B"/>
    <w:rsid w:val="00453A19"/>
    <w:rsid w:val="00453B7D"/>
    <w:rsid w:val="00453FF4"/>
    <w:rsid w:val="0045437C"/>
    <w:rsid w:val="00454397"/>
    <w:rsid w:val="004543BB"/>
    <w:rsid w:val="00454739"/>
    <w:rsid w:val="00454A14"/>
    <w:rsid w:val="00454A30"/>
    <w:rsid w:val="00454D6E"/>
    <w:rsid w:val="00454F63"/>
    <w:rsid w:val="00454F87"/>
    <w:rsid w:val="0045588B"/>
    <w:rsid w:val="00455F9E"/>
    <w:rsid w:val="004563D6"/>
    <w:rsid w:val="00456654"/>
    <w:rsid w:val="00456C43"/>
    <w:rsid w:val="00456EC9"/>
    <w:rsid w:val="00456EF5"/>
    <w:rsid w:val="004577BF"/>
    <w:rsid w:val="0045781E"/>
    <w:rsid w:val="00457AFC"/>
    <w:rsid w:val="00457CFF"/>
    <w:rsid w:val="004600CC"/>
    <w:rsid w:val="00460494"/>
    <w:rsid w:val="004605BC"/>
    <w:rsid w:val="00460AD1"/>
    <w:rsid w:val="00461003"/>
    <w:rsid w:val="004618B8"/>
    <w:rsid w:val="00461B72"/>
    <w:rsid w:val="00462001"/>
    <w:rsid w:val="00462117"/>
    <w:rsid w:val="00462400"/>
    <w:rsid w:val="004624B9"/>
    <w:rsid w:val="004627BC"/>
    <w:rsid w:val="00462C57"/>
    <w:rsid w:val="00462F8E"/>
    <w:rsid w:val="004630A2"/>
    <w:rsid w:val="00463226"/>
    <w:rsid w:val="004635B5"/>
    <w:rsid w:val="00463769"/>
    <w:rsid w:val="00463BA9"/>
    <w:rsid w:val="00463C42"/>
    <w:rsid w:val="00463F28"/>
    <w:rsid w:val="004643B9"/>
    <w:rsid w:val="0046458A"/>
    <w:rsid w:val="004646EE"/>
    <w:rsid w:val="004648AF"/>
    <w:rsid w:val="004648BE"/>
    <w:rsid w:val="004649AB"/>
    <w:rsid w:val="004649B8"/>
    <w:rsid w:val="00464AF2"/>
    <w:rsid w:val="00464DCD"/>
    <w:rsid w:val="00464DED"/>
    <w:rsid w:val="00464FC4"/>
    <w:rsid w:val="004651D0"/>
    <w:rsid w:val="0046566C"/>
    <w:rsid w:val="0046581F"/>
    <w:rsid w:val="0046584D"/>
    <w:rsid w:val="00465877"/>
    <w:rsid w:val="00465A90"/>
    <w:rsid w:val="00465AEB"/>
    <w:rsid w:val="00465CC2"/>
    <w:rsid w:val="00466357"/>
    <w:rsid w:val="004665D2"/>
    <w:rsid w:val="0046689D"/>
    <w:rsid w:val="00466AB7"/>
    <w:rsid w:val="00466B35"/>
    <w:rsid w:val="00466C93"/>
    <w:rsid w:val="00466D14"/>
    <w:rsid w:val="00466DE0"/>
    <w:rsid w:val="00466DF8"/>
    <w:rsid w:val="004670F0"/>
    <w:rsid w:val="00467357"/>
    <w:rsid w:val="00467610"/>
    <w:rsid w:val="004677AB"/>
    <w:rsid w:val="00467906"/>
    <w:rsid w:val="004679E7"/>
    <w:rsid w:val="00467B7D"/>
    <w:rsid w:val="00467CFF"/>
    <w:rsid w:val="00467E58"/>
    <w:rsid w:val="00467FAA"/>
    <w:rsid w:val="00467FFC"/>
    <w:rsid w:val="00470031"/>
    <w:rsid w:val="004700AF"/>
    <w:rsid w:val="0047030E"/>
    <w:rsid w:val="0047041D"/>
    <w:rsid w:val="004707D6"/>
    <w:rsid w:val="00470B1D"/>
    <w:rsid w:val="00470D18"/>
    <w:rsid w:val="00470F57"/>
    <w:rsid w:val="0047102C"/>
    <w:rsid w:val="00471161"/>
    <w:rsid w:val="004711CD"/>
    <w:rsid w:val="0047151E"/>
    <w:rsid w:val="00471868"/>
    <w:rsid w:val="00471B16"/>
    <w:rsid w:val="00471B50"/>
    <w:rsid w:val="00471BD5"/>
    <w:rsid w:val="00471C87"/>
    <w:rsid w:val="00472153"/>
    <w:rsid w:val="00472155"/>
    <w:rsid w:val="0047239D"/>
    <w:rsid w:val="0047245C"/>
    <w:rsid w:val="00472465"/>
    <w:rsid w:val="00472807"/>
    <w:rsid w:val="00472866"/>
    <w:rsid w:val="00472A7A"/>
    <w:rsid w:val="00472BB9"/>
    <w:rsid w:val="00472D9E"/>
    <w:rsid w:val="00473214"/>
    <w:rsid w:val="00473405"/>
    <w:rsid w:val="0047349E"/>
    <w:rsid w:val="00473717"/>
    <w:rsid w:val="004738CB"/>
    <w:rsid w:val="004738F7"/>
    <w:rsid w:val="00473935"/>
    <w:rsid w:val="00473A0E"/>
    <w:rsid w:val="00473D60"/>
    <w:rsid w:val="00473EC6"/>
    <w:rsid w:val="00474437"/>
    <w:rsid w:val="0047457D"/>
    <w:rsid w:val="00474709"/>
    <w:rsid w:val="00474BEC"/>
    <w:rsid w:val="00474E90"/>
    <w:rsid w:val="00474F03"/>
    <w:rsid w:val="00475053"/>
    <w:rsid w:val="004750E2"/>
    <w:rsid w:val="004753C4"/>
    <w:rsid w:val="004753F4"/>
    <w:rsid w:val="00475849"/>
    <w:rsid w:val="0047592B"/>
    <w:rsid w:val="004759EC"/>
    <w:rsid w:val="00475AFC"/>
    <w:rsid w:val="00475D63"/>
    <w:rsid w:val="00475E7A"/>
    <w:rsid w:val="0047635D"/>
    <w:rsid w:val="00476425"/>
    <w:rsid w:val="00476711"/>
    <w:rsid w:val="004767BE"/>
    <w:rsid w:val="0047689B"/>
    <w:rsid w:val="00476AB0"/>
    <w:rsid w:val="00476BB5"/>
    <w:rsid w:val="00477631"/>
    <w:rsid w:val="00477975"/>
    <w:rsid w:val="00477B8F"/>
    <w:rsid w:val="00477D9B"/>
    <w:rsid w:val="0048001E"/>
    <w:rsid w:val="00480173"/>
    <w:rsid w:val="00480B68"/>
    <w:rsid w:val="00480B72"/>
    <w:rsid w:val="00480E45"/>
    <w:rsid w:val="00480E46"/>
    <w:rsid w:val="00481225"/>
    <w:rsid w:val="0048131F"/>
    <w:rsid w:val="004813B3"/>
    <w:rsid w:val="004814A1"/>
    <w:rsid w:val="004816B2"/>
    <w:rsid w:val="0048198B"/>
    <w:rsid w:val="00481A23"/>
    <w:rsid w:val="00481C46"/>
    <w:rsid w:val="00481F8D"/>
    <w:rsid w:val="00482001"/>
    <w:rsid w:val="00482138"/>
    <w:rsid w:val="004824C5"/>
    <w:rsid w:val="004829E6"/>
    <w:rsid w:val="00482BD5"/>
    <w:rsid w:val="00482BDE"/>
    <w:rsid w:val="00482C59"/>
    <w:rsid w:val="00482CB3"/>
    <w:rsid w:val="00482E4F"/>
    <w:rsid w:val="00483022"/>
    <w:rsid w:val="004830C8"/>
    <w:rsid w:val="004831A9"/>
    <w:rsid w:val="004836B8"/>
    <w:rsid w:val="004838D7"/>
    <w:rsid w:val="00483B40"/>
    <w:rsid w:val="00483C6D"/>
    <w:rsid w:val="00483D75"/>
    <w:rsid w:val="0048412E"/>
    <w:rsid w:val="00484273"/>
    <w:rsid w:val="004847CB"/>
    <w:rsid w:val="00484937"/>
    <w:rsid w:val="00484A58"/>
    <w:rsid w:val="004852F4"/>
    <w:rsid w:val="0048552D"/>
    <w:rsid w:val="004855D7"/>
    <w:rsid w:val="0048585C"/>
    <w:rsid w:val="00485CDE"/>
    <w:rsid w:val="00485D08"/>
    <w:rsid w:val="00485FCD"/>
    <w:rsid w:val="0048641F"/>
    <w:rsid w:val="00486603"/>
    <w:rsid w:val="00486C0B"/>
    <w:rsid w:val="00486CB5"/>
    <w:rsid w:val="00486D4F"/>
    <w:rsid w:val="00486D50"/>
    <w:rsid w:val="00486D7F"/>
    <w:rsid w:val="00486F13"/>
    <w:rsid w:val="00487009"/>
    <w:rsid w:val="00487069"/>
    <w:rsid w:val="004870C9"/>
    <w:rsid w:val="004871B7"/>
    <w:rsid w:val="00487659"/>
    <w:rsid w:val="00487A90"/>
    <w:rsid w:val="00487D7A"/>
    <w:rsid w:val="00487DFF"/>
    <w:rsid w:val="00487F5F"/>
    <w:rsid w:val="00490293"/>
    <w:rsid w:val="004907D3"/>
    <w:rsid w:val="004907F2"/>
    <w:rsid w:val="004908E5"/>
    <w:rsid w:val="0049098F"/>
    <w:rsid w:val="004909B7"/>
    <w:rsid w:val="00490E8E"/>
    <w:rsid w:val="00491088"/>
    <w:rsid w:val="00491432"/>
    <w:rsid w:val="0049143C"/>
    <w:rsid w:val="00491A0A"/>
    <w:rsid w:val="00491E7D"/>
    <w:rsid w:val="00491FDA"/>
    <w:rsid w:val="0049203F"/>
    <w:rsid w:val="00492284"/>
    <w:rsid w:val="004924A9"/>
    <w:rsid w:val="00492788"/>
    <w:rsid w:val="00492A71"/>
    <w:rsid w:val="00492AA1"/>
    <w:rsid w:val="00492D47"/>
    <w:rsid w:val="00492DA2"/>
    <w:rsid w:val="00492E70"/>
    <w:rsid w:val="00492E75"/>
    <w:rsid w:val="004934CD"/>
    <w:rsid w:val="00493B0F"/>
    <w:rsid w:val="00493B38"/>
    <w:rsid w:val="00493B68"/>
    <w:rsid w:val="00493BA4"/>
    <w:rsid w:val="00493CCF"/>
    <w:rsid w:val="0049439A"/>
    <w:rsid w:val="00494683"/>
    <w:rsid w:val="004949AD"/>
    <w:rsid w:val="00494E20"/>
    <w:rsid w:val="00494F75"/>
    <w:rsid w:val="00495054"/>
    <w:rsid w:val="004951BE"/>
    <w:rsid w:val="0049526A"/>
    <w:rsid w:val="00495557"/>
    <w:rsid w:val="00495658"/>
    <w:rsid w:val="00495748"/>
    <w:rsid w:val="004958A4"/>
    <w:rsid w:val="00495BB5"/>
    <w:rsid w:val="00495C30"/>
    <w:rsid w:val="00495C92"/>
    <w:rsid w:val="00495D27"/>
    <w:rsid w:val="00495D65"/>
    <w:rsid w:val="00495D8E"/>
    <w:rsid w:val="00495E63"/>
    <w:rsid w:val="00495F0C"/>
    <w:rsid w:val="00496031"/>
    <w:rsid w:val="004961B3"/>
    <w:rsid w:val="004961E7"/>
    <w:rsid w:val="0049622B"/>
    <w:rsid w:val="004962EB"/>
    <w:rsid w:val="00496865"/>
    <w:rsid w:val="00497272"/>
    <w:rsid w:val="00497671"/>
    <w:rsid w:val="0049782B"/>
    <w:rsid w:val="00497C2A"/>
    <w:rsid w:val="00497C74"/>
    <w:rsid w:val="00497CAB"/>
    <w:rsid w:val="004A0116"/>
    <w:rsid w:val="004A011E"/>
    <w:rsid w:val="004A03A0"/>
    <w:rsid w:val="004A03D9"/>
    <w:rsid w:val="004A05E1"/>
    <w:rsid w:val="004A07DF"/>
    <w:rsid w:val="004A09C8"/>
    <w:rsid w:val="004A0C18"/>
    <w:rsid w:val="004A108C"/>
    <w:rsid w:val="004A12D0"/>
    <w:rsid w:val="004A13B4"/>
    <w:rsid w:val="004A15F8"/>
    <w:rsid w:val="004A162D"/>
    <w:rsid w:val="004A1826"/>
    <w:rsid w:val="004A1A6D"/>
    <w:rsid w:val="004A1D9F"/>
    <w:rsid w:val="004A1F03"/>
    <w:rsid w:val="004A1FF3"/>
    <w:rsid w:val="004A2079"/>
    <w:rsid w:val="004A21D5"/>
    <w:rsid w:val="004A22D4"/>
    <w:rsid w:val="004A2355"/>
    <w:rsid w:val="004A23F0"/>
    <w:rsid w:val="004A272C"/>
    <w:rsid w:val="004A2805"/>
    <w:rsid w:val="004A2B65"/>
    <w:rsid w:val="004A2F7C"/>
    <w:rsid w:val="004A3254"/>
    <w:rsid w:val="004A3261"/>
    <w:rsid w:val="004A34F8"/>
    <w:rsid w:val="004A3878"/>
    <w:rsid w:val="004A3E7B"/>
    <w:rsid w:val="004A3FB2"/>
    <w:rsid w:val="004A4356"/>
    <w:rsid w:val="004A4627"/>
    <w:rsid w:val="004A4629"/>
    <w:rsid w:val="004A4774"/>
    <w:rsid w:val="004A4B32"/>
    <w:rsid w:val="004A4CFD"/>
    <w:rsid w:val="004A537E"/>
    <w:rsid w:val="004A545D"/>
    <w:rsid w:val="004A5541"/>
    <w:rsid w:val="004A5660"/>
    <w:rsid w:val="004A5E07"/>
    <w:rsid w:val="004A5F03"/>
    <w:rsid w:val="004A5F07"/>
    <w:rsid w:val="004A6334"/>
    <w:rsid w:val="004A643D"/>
    <w:rsid w:val="004A6C66"/>
    <w:rsid w:val="004A713E"/>
    <w:rsid w:val="004A72C3"/>
    <w:rsid w:val="004A73E9"/>
    <w:rsid w:val="004A7680"/>
    <w:rsid w:val="004A77AA"/>
    <w:rsid w:val="004A77B4"/>
    <w:rsid w:val="004A79E6"/>
    <w:rsid w:val="004A7ED4"/>
    <w:rsid w:val="004B028E"/>
    <w:rsid w:val="004B038D"/>
    <w:rsid w:val="004B06B6"/>
    <w:rsid w:val="004B08AF"/>
    <w:rsid w:val="004B0A61"/>
    <w:rsid w:val="004B0AEA"/>
    <w:rsid w:val="004B0BD9"/>
    <w:rsid w:val="004B0E7C"/>
    <w:rsid w:val="004B105B"/>
    <w:rsid w:val="004B14A4"/>
    <w:rsid w:val="004B14E1"/>
    <w:rsid w:val="004B15AD"/>
    <w:rsid w:val="004B15F1"/>
    <w:rsid w:val="004B17CB"/>
    <w:rsid w:val="004B1891"/>
    <w:rsid w:val="004B18BE"/>
    <w:rsid w:val="004B203E"/>
    <w:rsid w:val="004B20F7"/>
    <w:rsid w:val="004B277F"/>
    <w:rsid w:val="004B28A2"/>
    <w:rsid w:val="004B2BFD"/>
    <w:rsid w:val="004B32A3"/>
    <w:rsid w:val="004B33B9"/>
    <w:rsid w:val="004B340E"/>
    <w:rsid w:val="004B3420"/>
    <w:rsid w:val="004B37E4"/>
    <w:rsid w:val="004B399F"/>
    <w:rsid w:val="004B39D5"/>
    <w:rsid w:val="004B39F4"/>
    <w:rsid w:val="004B42FD"/>
    <w:rsid w:val="004B438E"/>
    <w:rsid w:val="004B440A"/>
    <w:rsid w:val="004B496B"/>
    <w:rsid w:val="004B4A44"/>
    <w:rsid w:val="004B4BEA"/>
    <w:rsid w:val="004B50E8"/>
    <w:rsid w:val="004B5595"/>
    <w:rsid w:val="004B55C8"/>
    <w:rsid w:val="004B5888"/>
    <w:rsid w:val="004B5C22"/>
    <w:rsid w:val="004B5CC1"/>
    <w:rsid w:val="004B5DB8"/>
    <w:rsid w:val="004B5F0D"/>
    <w:rsid w:val="004B60AC"/>
    <w:rsid w:val="004B612F"/>
    <w:rsid w:val="004B6485"/>
    <w:rsid w:val="004B6618"/>
    <w:rsid w:val="004B6819"/>
    <w:rsid w:val="004B6840"/>
    <w:rsid w:val="004B6B02"/>
    <w:rsid w:val="004B6C88"/>
    <w:rsid w:val="004B6D63"/>
    <w:rsid w:val="004B7137"/>
    <w:rsid w:val="004B71A4"/>
    <w:rsid w:val="004B7EC1"/>
    <w:rsid w:val="004C0571"/>
    <w:rsid w:val="004C093C"/>
    <w:rsid w:val="004C0BC9"/>
    <w:rsid w:val="004C0DF1"/>
    <w:rsid w:val="004C0DF8"/>
    <w:rsid w:val="004C0E96"/>
    <w:rsid w:val="004C0EF6"/>
    <w:rsid w:val="004C1479"/>
    <w:rsid w:val="004C14A0"/>
    <w:rsid w:val="004C1697"/>
    <w:rsid w:val="004C1747"/>
    <w:rsid w:val="004C1A61"/>
    <w:rsid w:val="004C1D49"/>
    <w:rsid w:val="004C1E97"/>
    <w:rsid w:val="004C2009"/>
    <w:rsid w:val="004C2076"/>
    <w:rsid w:val="004C21BC"/>
    <w:rsid w:val="004C236F"/>
    <w:rsid w:val="004C243B"/>
    <w:rsid w:val="004C246F"/>
    <w:rsid w:val="004C2683"/>
    <w:rsid w:val="004C26BA"/>
    <w:rsid w:val="004C27DD"/>
    <w:rsid w:val="004C2843"/>
    <w:rsid w:val="004C28D5"/>
    <w:rsid w:val="004C2ECD"/>
    <w:rsid w:val="004C3089"/>
    <w:rsid w:val="004C35D2"/>
    <w:rsid w:val="004C3944"/>
    <w:rsid w:val="004C394D"/>
    <w:rsid w:val="004C39B3"/>
    <w:rsid w:val="004C3B48"/>
    <w:rsid w:val="004C3D8F"/>
    <w:rsid w:val="004C44E0"/>
    <w:rsid w:val="004C44E5"/>
    <w:rsid w:val="004C4550"/>
    <w:rsid w:val="004C47AF"/>
    <w:rsid w:val="004C4814"/>
    <w:rsid w:val="004C48EC"/>
    <w:rsid w:val="004C4A8E"/>
    <w:rsid w:val="004C4F0A"/>
    <w:rsid w:val="004C4FC4"/>
    <w:rsid w:val="004C50E9"/>
    <w:rsid w:val="004C5230"/>
    <w:rsid w:val="004C53F2"/>
    <w:rsid w:val="004C55A3"/>
    <w:rsid w:val="004C5831"/>
    <w:rsid w:val="004C5D9F"/>
    <w:rsid w:val="004C5E4F"/>
    <w:rsid w:val="004C5E76"/>
    <w:rsid w:val="004C602B"/>
    <w:rsid w:val="004C61E2"/>
    <w:rsid w:val="004C648E"/>
    <w:rsid w:val="004C66F5"/>
    <w:rsid w:val="004C67F9"/>
    <w:rsid w:val="004C6804"/>
    <w:rsid w:val="004C6A3A"/>
    <w:rsid w:val="004C6ADB"/>
    <w:rsid w:val="004C6BE0"/>
    <w:rsid w:val="004C6D24"/>
    <w:rsid w:val="004C7043"/>
    <w:rsid w:val="004C7154"/>
    <w:rsid w:val="004C7503"/>
    <w:rsid w:val="004C76F3"/>
    <w:rsid w:val="004C776E"/>
    <w:rsid w:val="004C77D9"/>
    <w:rsid w:val="004C7921"/>
    <w:rsid w:val="004C7A5E"/>
    <w:rsid w:val="004C7B8C"/>
    <w:rsid w:val="004C7F3E"/>
    <w:rsid w:val="004D05F3"/>
    <w:rsid w:val="004D08BF"/>
    <w:rsid w:val="004D0B9F"/>
    <w:rsid w:val="004D0C77"/>
    <w:rsid w:val="004D0DD6"/>
    <w:rsid w:val="004D0FF1"/>
    <w:rsid w:val="004D1027"/>
    <w:rsid w:val="004D13B6"/>
    <w:rsid w:val="004D156A"/>
    <w:rsid w:val="004D1B28"/>
    <w:rsid w:val="004D1D5E"/>
    <w:rsid w:val="004D1E00"/>
    <w:rsid w:val="004D1FEF"/>
    <w:rsid w:val="004D238F"/>
    <w:rsid w:val="004D323C"/>
    <w:rsid w:val="004D35C6"/>
    <w:rsid w:val="004D378E"/>
    <w:rsid w:val="004D3797"/>
    <w:rsid w:val="004D3A2C"/>
    <w:rsid w:val="004D3B94"/>
    <w:rsid w:val="004D3BF7"/>
    <w:rsid w:val="004D3E24"/>
    <w:rsid w:val="004D3FDF"/>
    <w:rsid w:val="004D4312"/>
    <w:rsid w:val="004D4544"/>
    <w:rsid w:val="004D4647"/>
    <w:rsid w:val="004D4C47"/>
    <w:rsid w:val="004D5477"/>
    <w:rsid w:val="004D5745"/>
    <w:rsid w:val="004D58B9"/>
    <w:rsid w:val="004D5CD9"/>
    <w:rsid w:val="004D5E82"/>
    <w:rsid w:val="004D5F42"/>
    <w:rsid w:val="004D602D"/>
    <w:rsid w:val="004D6687"/>
    <w:rsid w:val="004D6CF4"/>
    <w:rsid w:val="004D6E44"/>
    <w:rsid w:val="004D6EDA"/>
    <w:rsid w:val="004D6EE2"/>
    <w:rsid w:val="004D6F65"/>
    <w:rsid w:val="004D7066"/>
    <w:rsid w:val="004D76BF"/>
    <w:rsid w:val="004D771F"/>
    <w:rsid w:val="004D7841"/>
    <w:rsid w:val="004D79F3"/>
    <w:rsid w:val="004D7B81"/>
    <w:rsid w:val="004E00C1"/>
    <w:rsid w:val="004E0480"/>
    <w:rsid w:val="004E0734"/>
    <w:rsid w:val="004E07AA"/>
    <w:rsid w:val="004E0DAB"/>
    <w:rsid w:val="004E0E58"/>
    <w:rsid w:val="004E0E80"/>
    <w:rsid w:val="004E0E9C"/>
    <w:rsid w:val="004E1294"/>
    <w:rsid w:val="004E1447"/>
    <w:rsid w:val="004E18DF"/>
    <w:rsid w:val="004E1905"/>
    <w:rsid w:val="004E1992"/>
    <w:rsid w:val="004E1FDF"/>
    <w:rsid w:val="004E2138"/>
    <w:rsid w:val="004E21C6"/>
    <w:rsid w:val="004E22A4"/>
    <w:rsid w:val="004E2726"/>
    <w:rsid w:val="004E281C"/>
    <w:rsid w:val="004E283A"/>
    <w:rsid w:val="004E2A17"/>
    <w:rsid w:val="004E2ADF"/>
    <w:rsid w:val="004E2CE5"/>
    <w:rsid w:val="004E2E35"/>
    <w:rsid w:val="004E3543"/>
    <w:rsid w:val="004E366E"/>
    <w:rsid w:val="004E39FA"/>
    <w:rsid w:val="004E3AE0"/>
    <w:rsid w:val="004E3C70"/>
    <w:rsid w:val="004E3EFB"/>
    <w:rsid w:val="004E4161"/>
    <w:rsid w:val="004E438B"/>
    <w:rsid w:val="004E443C"/>
    <w:rsid w:val="004E451A"/>
    <w:rsid w:val="004E4B90"/>
    <w:rsid w:val="004E4F11"/>
    <w:rsid w:val="004E53E0"/>
    <w:rsid w:val="004E5A51"/>
    <w:rsid w:val="004E5A77"/>
    <w:rsid w:val="004E5AD2"/>
    <w:rsid w:val="004E5C72"/>
    <w:rsid w:val="004E5FFF"/>
    <w:rsid w:val="004E6091"/>
    <w:rsid w:val="004E6617"/>
    <w:rsid w:val="004E6625"/>
    <w:rsid w:val="004E6929"/>
    <w:rsid w:val="004E698C"/>
    <w:rsid w:val="004E6EB9"/>
    <w:rsid w:val="004E74E2"/>
    <w:rsid w:val="004E7CA9"/>
    <w:rsid w:val="004E7CE1"/>
    <w:rsid w:val="004E7D7E"/>
    <w:rsid w:val="004E7FA9"/>
    <w:rsid w:val="004F0057"/>
    <w:rsid w:val="004F0144"/>
    <w:rsid w:val="004F01C3"/>
    <w:rsid w:val="004F01DD"/>
    <w:rsid w:val="004F0776"/>
    <w:rsid w:val="004F0C08"/>
    <w:rsid w:val="004F0D65"/>
    <w:rsid w:val="004F0D81"/>
    <w:rsid w:val="004F10BF"/>
    <w:rsid w:val="004F1AC2"/>
    <w:rsid w:val="004F1FAC"/>
    <w:rsid w:val="004F1FBB"/>
    <w:rsid w:val="004F1FE4"/>
    <w:rsid w:val="004F212A"/>
    <w:rsid w:val="004F217D"/>
    <w:rsid w:val="004F2D15"/>
    <w:rsid w:val="004F3127"/>
    <w:rsid w:val="004F313B"/>
    <w:rsid w:val="004F31F4"/>
    <w:rsid w:val="004F34D9"/>
    <w:rsid w:val="004F38E8"/>
    <w:rsid w:val="004F3B07"/>
    <w:rsid w:val="004F3B17"/>
    <w:rsid w:val="004F3D83"/>
    <w:rsid w:val="004F3E85"/>
    <w:rsid w:val="004F4071"/>
    <w:rsid w:val="004F41DE"/>
    <w:rsid w:val="004F4638"/>
    <w:rsid w:val="004F4655"/>
    <w:rsid w:val="004F481D"/>
    <w:rsid w:val="004F498B"/>
    <w:rsid w:val="004F4C1A"/>
    <w:rsid w:val="004F514F"/>
    <w:rsid w:val="004F58C9"/>
    <w:rsid w:val="004F5A1A"/>
    <w:rsid w:val="004F5AA1"/>
    <w:rsid w:val="004F5AE3"/>
    <w:rsid w:val="004F5B97"/>
    <w:rsid w:val="004F6187"/>
    <w:rsid w:val="004F68F7"/>
    <w:rsid w:val="004F6C03"/>
    <w:rsid w:val="004F6E44"/>
    <w:rsid w:val="004F7584"/>
    <w:rsid w:val="004F7A0A"/>
    <w:rsid w:val="004F7A2C"/>
    <w:rsid w:val="004F7FEF"/>
    <w:rsid w:val="005001D7"/>
    <w:rsid w:val="00500369"/>
    <w:rsid w:val="00500412"/>
    <w:rsid w:val="00500480"/>
    <w:rsid w:val="005008E5"/>
    <w:rsid w:val="00500B0C"/>
    <w:rsid w:val="00500DB5"/>
    <w:rsid w:val="00500DDC"/>
    <w:rsid w:val="00501282"/>
    <w:rsid w:val="005013AF"/>
    <w:rsid w:val="0050144E"/>
    <w:rsid w:val="005015B1"/>
    <w:rsid w:val="005016F1"/>
    <w:rsid w:val="00501B32"/>
    <w:rsid w:val="00501CE9"/>
    <w:rsid w:val="00501E42"/>
    <w:rsid w:val="00501E71"/>
    <w:rsid w:val="0050214A"/>
    <w:rsid w:val="00502387"/>
    <w:rsid w:val="00502D0D"/>
    <w:rsid w:val="00502D67"/>
    <w:rsid w:val="00502F22"/>
    <w:rsid w:val="0050310D"/>
    <w:rsid w:val="0050345A"/>
    <w:rsid w:val="005035BF"/>
    <w:rsid w:val="0050397D"/>
    <w:rsid w:val="00503C62"/>
    <w:rsid w:val="0050461E"/>
    <w:rsid w:val="005049A3"/>
    <w:rsid w:val="005052B3"/>
    <w:rsid w:val="005055E5"/>
    <w:rsid w:val="005057EA"/>
    <w:rsid w:val="00505A5D"/>
    <w:rsid w:val="00505B38"/>
    <w:rsid w:val="00505D76"/>
    <w:rsid w:val="005062A4"/>
    <w:rsid w:val="0050661D"/>
    <w:rsid w:val="0050681E"/>
    <w:rsid w:val="005069A8"/>
    <w:rsid w:val="00506C13"/>
    <w:rsid w:val="00506CFE"/>
    <w:rsid w:val="00507067"/>
    <w:rsid w:val="00507367"/>
    <w:rsid w:val="00507380"/>
    <w:rsid w:val="005074C9"/>
    <w:rsid w:val="005075AB"/>
    <w:rsid w:val="005078B3"/>
    <w:rsid w:val="00507918"/>
    <w:rsid w:val="00507ABB"/>
    <w:rsid w:val="00507D22"/>
    <w:rsid w:val="00510059"/>
    <w:rsid w:val="0051085D"/>
    <w:rsid w:val="005108B1"/>
    <w:rsid w:val="00510991"/>
    <w:rsid w:val="005109F2"/>
    <w:rsid w:val="00510B8E"/>
    <w:rsid w:val="00510BAA"/>
    <w:rsid w:val="00510E9B"/>
    <w:rsid w:val="00510F84"/>
    <w:rsid w:val="00510FAF"/>
    <w:rsid w:val="00510FF4"/>
    <w:rsid w:val="0051108C"/>
    <w:rsid w:val="00511288"/>
    <w:rsid w:val="00511343"/>
    <w:rsid w:val="0051152C"/>
    <w:rsid w:val="0051190E"/>
    <w:rsid w:val="0051194C"/>
    <w:rsid w:val="00511E58"/>
    <w:rsid w:val="005120EA"/>
    <w:rsid w:val="0051212A"/>
    <w:rsid w:val="00512267"/>
    <w:rsid w:val="00512314"/>
    <w:rsid w:val="005123D3"/>
    <w:rsid w:val="00512A6D"/>
    <w:rsid w:val="00512BA1"/>
    <w:rsid w:val="00512CA4"/>
    <w:rsid w:val="00513395"/>
    <w:rsid w:val="0051347D"/>
    <w:rsid w:val="0051349F"/>
    <w:rsid w:val="00513851"/>
    <w:rsid w:val="00513877"/>
    <w:rsid w:val="00513BF5"/>
    <w:rsid w:val="00513CF8"/>
    <w:rsid w:val="005140E6"/>
    <w:rsid w:val="0051411E"/>
    <w:rsid w:val="005145C5"/>
    <w:rsid w:val="00514730"/>
    <w:rsid w:val="005147BB"/>
    <w:rsid w:val="005147F4"/>
    <w:rsid w:val="00514A3A"/>
    <w:rsid w:val="00514E17"/>
    <w:rsid w:val="005152C9"/>
    <w:rsid w:val="0051551E"/>
    <w:rsid w:val="0051560D"/>
    <w:rsid w:val="00515737"/>
    <w:rsid w:val="0051587A"/>
    <w:rsid w:val="00516066"/>
    <w:rsid w:val="00516265"/>
    <w:rsid w:val="00516D9F"/>
    <w:rsid w:val="00516DBA"/>
    <w:rsid w:val="00516E9F"/>
    <w:rsid w:val="00516F49"/>
    <w:rsid w:val="00516FE4"/>
    <w:rsid w:val="0051702A"/>
    <w:rsid w:val="00517357"/>
    <w:rsid w:val="005175AE"/>
    <w:rsid w:val="0051783B"/>
    <w:rsid w:val="00517B20"/>
    <w:rsid w:val="00517CB7"/>
    <w:rsid w:val="00520154"/>
    <w:rsid w:val="005202BD"/>
    <w:rsid w:val="005204F4"/>
    <w:rsid w:val="005207FC"/>
    <w:rsid w:val="00520D7C"/>
    <w:rsid w:val="00521034"/>
    <w:rsid w:val="005214ED"/>
    <w:rsid w:val="0052164E"/>
    <w:rsid w:val="0052187E"/>
    <w:rsid w:val="005219B7"/>
    <w:rsid w:val="00521AB9"/>
    <w:rsid w:val="0052209B"/>
    <w:rsid w:val="005221B2"/>
    <w:rsid w:val="005223A5"/>
    <w:rsid w:val="0052243A"/>
    <w:rsid w:val="0052248C"/>
    <w:rsid w:val="0052299E"/>
    <w:rsid w:val="00522DDE"/>
    <w:rsid w:val="0052304E"/>
    <w:rsid w:val="00523157"/>
    <w:rsid w:val="0052349A"/>
    <w:rsid w:val="005235CB"/>
    <w:rsid w:val="005236AB"/>
    <w:rsid w:val="005237B8"/>
    <w:rsid w:val="005237BA"/>
    <w:rsid w:val="00523843"/>
    <w:rsid w:val="00523A83"/>
    <w:rsid w:val="00523AEC"/>
    <w:rsid w:val="00523E19"/>
    <w:rsid w:val="00523F25"/>
    <w:rsid w:val="00524136"/>
    <w:rsid w:val="00524150"/>
    <w:rsid w:val="00524370"/>
    <w:rsid w:val="005244C5"/>
    <w:rsid w:val="00524693"/>
    <w:rsid w:val="005246B0"/>
    <w:rsid w:val="0052474E"/>
    <w:rsid w:val="00524C6A"/>
    <w:rsid w:val="00524F60"/>
    <w:rsid w:val="005256E5"/>
    <w:rsid w:val="0052574A"/>
    <w:rsid w:val="00525992"/>
    <w:rsid w:val="00525A0D"/>
    <w:rsid w:val="005260C5"/>
    <w:rsid w:val="0052615C"/>
    <w:rsid w:val="00526293"/>
    <w:rsid w:val="0052643B"/>
    <w:rsid w:val="005267DC"/>
    <w:rsid w:val="00526827"/>
    <w:rsid w:val="00526BD8"/>
    <w:rsid w:val="00526CA2"/>
    <w:rsid w:val="00526CA8"/>
    <w:rsid w:val="00526CCF"/>
    <w:rsid w:val="00526D49"/>
    <w:rsid w:val="00526E1F"/>
    <w:rsid w:val="00526EBD"/>
    <w:rsid w:val="005272D7"/>
    <w:rsid w:val="0052734A"/>
    <w:rsid w:val="005273F0"/>
    <w:rsid w:val="00527995"/>
    <w:rsid w:val="00527B51"/>
    <w:rsid w:val="00527CA2"/>
    <w:rsid w:val="0053006E"/>
    <w:rsid w:val="005300DA"/>
    <w:rsid w:val="00530157"/>
    <w:rsid w:val="00530208"/>
    <w:rsid w:val="00530472"/>
    <w:rsid w:val="005308E1"/>
    <w:rsid w:val="00530A79"/>
    <w:rsid w:val="00530CAC"/>
    <w:rsid w:val="00531062"/>
    <w:rsid w:val="00531595"/>
    <w:rsid w:val="00531B26"/>
    <w:rsid w:val="0053232E"/>
    <w:rsid w:val="005323F1"/>
    <w:rsid w:val="005328B7"/>
    <w:rsid w:val="00532B79"/>
    <w:rsid w:val="00532BDF"/>
    <w:rsid w:val="00532D8A"/>
    <w:rsid w:val="005332CE"/>
    <w:rsid w:val="00533353"/>
    <w:rsid w:val="005337E4"/>
    <w:rsid w:val="00533922"/>
    <w:rsid w:val="00533E9B"/>
    <w:rsid w:val="00533FA2"/>
    <w:rsid w:val="00533FA7"/>
    <w:rsid w:val="00533FDB"/>
    <w:rsid w:val="005342F8"/>
    <w:rsid w:val="00534343"/>
    <w:rsid w:val="00534644"/>
    <w:rsid w:val="00534757"/>
    <w:rsid w:val="005347CB"/>
    <w:rsid w:val="00534E35"/>
    <w:rsid w:val="00535205"/>
    <w:rsid w:val="00535232"/>
    <w:rsid w:val="00535388"/>
    <w:rsid w:val="005358B3"/>
    <w:rsid w:val="00535B25"/>
    <w:rsid w:val="00535C32"/>
    <w:rsid w:val="00535D4D"/>
    <w:rsid w:val="00536069"/>
    <w:rsid w:val="0053639C"/>
    <w:rsid w:val="005365AA"/>
    <w:rsid w:val="00536692"/>
    <w:rsid w:val="00536975"/>
    <w:rsid w:val="0053698E"/>
    <w:rsid w:val="00536B68"/>
    <w:rsid w:val="00536B76"/>
    <w:rsid w:val="00536D4D"/>
    <w:rsid w:val="00537035"/>
    <w:rsid w:val="0053779B"/>
    <w:rsid w:val="00537854"/>
    <w:rsid w:val="005378AA"/>
    <w:rsid w:val="00537C42"/>
    <w:rsid w:val="00537C61"/>
    <w:rsid w:val="00537CF6"/>
    <w:rsid w:val="00537D43"/>
    <w:rsid w:val="00537E7F"/>
    <w:rsid w:val="005400BC"/>
    <w:rsid w:val="00540304"/>
    <w:rsid w:val="00540437"/>
    <w:rsid w:val="00540777"/>
    <w:rsid w:val="00540AF1"/>
    <w:rsid w:val="00540D35"/>
    <w:rsid w:val="00540F30"/>
    <w:rsid w:val="00540F4B"/>
    <w:rsid w:val="0054144C"/>
    <w:rsid w:val="00541B3F"/>
    <w:rsid w:val="00541BDC"/>
    <w:rsid w:val="00541CB8"/>
    <w:rsid w:val="005427AE"/>
    <w:rsid w:val="005427D7"/>
    <w:rsid w:val="005428BB"/>
    <w:rsid w:val="00542B93"/>
    <w:rsid w:val="00543466"/>
    <w:rsid w:val="00543717"/>
    <w:rsid w:val="00543A8D"/>
    <w:rsid w:val="00543B2D"/>
    <w:rsid w:val="00543F46"/>
    <w:rsid w:val="00543F92"/>
    <w:rsid w:val="00544082"/>
    <w:rsid w:val="00544918"/>
    <w:rsid w:val="00544928"/>
    <w:rsid w:val="0054498D"/>
    <w:rsid w:val="00544B77"/>
    <w:rsid w:val="00544E23"/>
    <w:rsid w:val="00545062"/>
    <w:rsid w:val="0054534A"/>
    <w:rsid w:val="0054540D"/>
    <w:rsid w:val="005459D3"/>
    <w:rsid w:val="00545C38"/>
    <w:rsid w:val="00545D61"/>
    <w:rsid w:val="005462CB"/>
    <w:rsid w:val="00546375"/>
    <w:rsid w:val="0054653E"/>
    <w:rsid w:val="00546B02"/>
    <w:rsid w:val="00546D0E"/>
    <w:rsid w:val="00546D78"/>
    <w:rsid w:val="0054707A"/>
    <w:rsid w:val="005473EA"/>
    <w:rsid w:val="005475E1"/>
    <w:rsid w:val="0054763F"/>
    <w:rsid w:val="00547671"/>
    <w:rsid w:val="00547841"/>
    <w:rsid w:val="00547A50"/>
    <w:rsid w:val="00547DF0"/>
    <w:rsid w:val="00547F6E"/>
    <w:rsid w:val="005501E1"/>
    <w:rsid w:val="0055043E"/>
    <w:rsid w:val="0055050E"/>
    <w:rsid w:val="005508DC"/>
    <w:rsid w:val="00550BFF"/>
    <w:rsid w:val="00550CF4"/>
    <w:rsid w:val="00550F07"/>
    <w:rsid w:val="00550FC4"/>
    <w:rsid w:val="00551288"/>
    <w:rsid w:val="005513E0"/>
    <w:rsid w:val="005514EE"/>
    <w:rsid w:val="005516B2"/>
    <w:rsid w:val="0055194B"/>
    <w:rsid w:val="00551A60"/>
    <w:rsid w:val="00551B63"/>
    <w:rsid w:val="00551FED"/>
    <w:rsid w:val="00552C21"/>
    <w:rsid w:val="00552DB9"/>
    <w:rsid w:val="00552E5E"/>
    <w:rsid w:val="00553081"/>
    <w:rsid w:val="005535AA"/>
    <w:rsid w:val="0055362B"/>
    <w:rsid w:val="005536A7"/>
    <w:rsid w:val="005537A2"/>
    <w:rsid w:val="00553DAD"/>
    <w:rsid w:val="00554758"/>
    <w:rsid w:val="00554ACD"/>
    <w:rsid w:val="00554C20"/>
    <w:rsid w:val="00554D72"/>
    <w:rsid w:val="00554DAD"/>
    <w:rsid w:val="00554FA2"/>
    <w:rsid w:val="005550E6"/>
    <w:rsid w:val="0055520C"/>
    <w:rsid w:val="005554BC"/>
    <w:rsid w:val="005558D9"/>
    <w:rsid w:val="00555B72"/>
    <w:rsid w:val="00555BD7"/>
    <w:rsid w:val="00555CF6"/>
    <w:rsid w:val="00556361"/>
    <w:rsid w:val="005564B8"/>
    <w:rsid w:val="005569FC"/>
    <w:rsid w:val="00556A21"/>
    <w:rsid w:val="00556CB1"/>
    <w:rsid w:val="00556E35"/>
    <w:rsid w:val="00556F11"/>
    <w:rsid w:val="00556FD5"/>
    <w:rsid w:val="005570F7"/>
    <w:rsid w:val="0055711F"/>
    <w:rsid w:val="00557270"/>
    <w:rsid w:val="00557359"/>
    <w:rsid w:val="00557827"/>
    <w:rsid w:val="00557B9E"/>
    <w:rsid w:val="00557DE4"/>
    <w:rsid w:val="00557F82"/>
    <w:rsid w:val="00560102"/>
    <w:rsid w:val="005606DA"/>
    <w:rsid w:val="005609D2"/>
    <w:rsid w:val="00560A3D"/>
    <w:rsid w:val="00560F0F"/>
    <w:rsid w:val="005610A0"/>
    <w:rsid w:val="005612D0"/>
    <w:rsid w:val="00561631"/>
    <w:rsid w:val="0056185C"/>
    <w:rsid w:val="00561E6D"/>
    <w:rsid w:val="00561F9C"/>
    <w:rsid w:val="005621A6"/>
    <w:rsid w:val="005623E8"/>
    <w:rsid w:val="005625F4"/>
    <w:rsid w:val="005626BF"/>
    <w:rsid w:val="005629B1"/>
    <w:rsid w:val="00562BBA"/>
    <w:rsid w:val="0056371A"/>
    <w:rsid w:val="00563955"/>
    <w:rsid w:val="005639FD"/>
    <w:rsid w:val="00563B74"/>
    <w:rsid w:val="00563D08"/>
    <w:rsid w:val="00563DFF"/>
    <w:rsid w:val="00563E54"/>
    <w:rsid w:val="00563F47"/>
    <w:rsid w:val="00563F55"/>
    <w:rsid w:val="00564021"/>
    <w:rsid w:val="005643B1"/>
    <w:rsid w:val="005647DB"/>
    <w:rsid w:val="005648E4"/>
    <w:rsid w:val="00565272"/>
    <w:rsid w:val="00565921"/>
    <w:rsid w:val="00565D02"/>
    <w:rsid w:val="00565F56"/>
    <w:rsid w:val="0056610C"/>
    <w:rsid w:val="0056637F"/>
    <w:rsid w:val="00566803"/>
    <w:rsid w:val="005668BB"/>
    <w:rsid w:val="0056697E"/>
    <w:rsid w:val="00566AB4"/>
    <w:rsid w:val="00566CD4"/>
    <w:rsid w:val="005670DA"/>
    <w:rsid w:val="0056743F"/>
    <w:rsid w:val="005675E9"/>
    <w:rsid w:val="0056777A"/>
    <w:rsid w:val="00567783"/>
    <w:rsid w:val="00567877"/>
    <w:rsid w:val="00567949"/>
    <w:rsid w:val="00567C85"/>
    <w:rsid w:val="00567E2F"/>
    <w:rsid w:val="00567FC5"/>
    <w:rsid w:val="00570010"/>
    <w:rsid w:val="00570129"/>
    <w:rsid w:val="00570147"/>
    <w:rsid w:val="005704F0"/>
    <w:rsid w:val="00570623"/>
    <w:rsid w:val="00570AEF"/>
    <w:rsid w:val="00570F91"/>
    <w:rsid w:val="005712A4"/>
    <w:rsid w:val="005718A8"/>
    <w:rsid w:val="00571942"/>
    <w:rsid w:val="00571B5A"/>
    <w:rsid w:val="005721A4"/>
    <w:rsid w:val="00572203"/>
    <w:rsid w:val="005722BC"/>
    <w:rsid w:val="005723B6"/>
    <w:rsid w:val="005723BB"/>
    <w:rsid w:val="0057289B"/>
    <w:rsid w:val="005730A0"/>
    <w:rsid w:val="005731E9"/>
    <w:rsid w:val="00573302"/>
    <w:rsid w:val="0057330A"/>
    <w:rsid w:val="00573647"/>
    <w:rsid w:val="00573903"/>
    <w:rsid w:val="005739D7"/>
    <w:rsid w:val="00573B1A"/>
    <w:rsid w:val="00573D33"/>
    <w:rsid w:val="00573DC5"/>
    <w:rsid w:val="00574223"/>
    <w:rsid w:val="00574A46"/>
    <w:rsid w:val="00574D66"/>
    <w:rsid w:val="00574E2E"/>
    <w:rsid w:val="00575284"/>
    <w:rsid w:val="0057546D"/>
    <w:rsid w:val="0057554A"/>
    <w:rsid w:val="00575822"/>
    <w:rsid w:val="00575973"/>
    <w:rsid w:val="00575E87"/>
    <w:rsid w:val="0057604C"/>
    <w:rsid w:val="00576147"/>
    <w:rsid w:val="00576436"/>
    <w:rsid w:val="00576564"/>
    <w:rsid w:val="005767C0"/>
    <w:rsid w:val="00576DD5"/>
    <w:rsid w:val="00576E83"/>
    <w:rsid w:val="00576EAA"/>
    <w:rsid w:val="00576FFD"/>
    <w:rsid w:val="005773DC"/>
    <w:rsid w:val="00577618"/>
    <w:rsid w:val="005776CB"/>
    <w:rsid w:val="00577812"/>
    <w:rsid w:val="005779D6"/>
    <w:rsid w:val="00577DE7"/>
    <w:rsid w:val="0058007E"/>
    <w:rsid w:val="0058019F"/>
    <w:rsid w:val="00580408"/>
    <w:rsid w:val="00580CCE"/>
    <w:rsid w:val="005814E6"/>
    <w:rsid w:val="0058172C"/>
    <w:rsid w:val="00581958"/>
    <w:rsid w:val="00581A42"/>
    <w:rsid w:val="00581C03"/>
    <w:rsid w:val="00581D7D"/>
    <w:rsid w:val="005821CC"/>
    <w:rsid w:val="00582D68"/>
    <w:rsid w:val="00582E7D"/>
    <w:rsid w:val="00582E8D"/>
    <w:rsid w:val="005833D3"/>
    <w:rsid w:val="00583454"/>
    <w:rsid w:val="00583944"/>
    <w:rsid w:val="00583E5F"/>
    <w:rsid w:val="00584205"/>
    <w:rsid w:val="00584757"/>
    <w:rsid w:val="00584838"/>
    <w:rsid w:val="005848BF"/>
    <w:rsid w:val="00584BFE"/>
    <w:rsid w:val="00584D23"/>
    <w:rsid w:val="00584D98"/>
    <w:rsid w:val="00584EC4"/>
    <w:rsid w:val="00585172"/>
    <w:rsid w:val="00585537"/>
    <w:rsid w:val="005855E7"/>
    <w:rsid w:val="00585692"/>
    <w:rsid w:val="00585CF3"/>
    <w:rsid w:val="00585F57"/>
    <w:rsid w:val="00586025"/>
    <w:rsid w:val="005860DE"/>
    <w:rsid w:val="00586302"/>
    <w:rsid w:val="005864D9"/>
    <w:rsid w:val="0058654F"/>
    <w:rsid w:val="0058662C"/>
    <w:rsid w:val="0058693D"/>
    <w:rsid w:val="00586ACB"/>
    <w:rsid w:val="00586E61"/>
    <w:rsid w:val="00586F26"/>
    <w:rsid w:val="00587122"/>
    <w:rsid w:val="00587E8E"/>
    <w:rsid w:val="00590248"/>
    <w:rsid w:val="005903FA"/>
    <w:rsid w:val="005906DF"/>
    <w:rsid w:val="0059077C"/>
    <w:rsid w:val="00590885"/>
    <w:rsid w:val="00590E14"/>
    <w:rsid w:val="00591000"/>
    <w:rsid w:val="0059119C"/>
    <w:rsid w:val="005911E2"/>
    <w:rsid w:val="005916D5"/>
    <w:rsid w:val="005918AF"/>
    <w:rsid w:val="00591940"/>
    <w:rsid w:val="00591C6E"/>
    <w:rsid w:val="00591CC1"/>
    <w:rsid w:val="00591EF0"/>
    <w:rsid w:val="005926E2"/>
    <w:rsid w:val="00592AA8"/>
    <w:rsid w:val="005931F5"/>
    <w:rsid w:val="00593202"/>
    <w:rsid w:val="0059340C"/>
    <w:rsid w:val="00593546"/>
    <w:rsid w:val="00593A9B"/>
    <w:rsid w:val="005940A3"/>
    <w:rsid w:val="00594376"/>
    <w:rsid w:val="00594451"/>
    <w:rsid w:val="0059465D"/>
    <w:rsid w:val="005949B6"/>
    <w:rsid w:val="00594A50"/>
    <w:rsid w:val="00594D65"/>
    <w:rsid w:val="00594F18"/>
    <w:rsid w:val="005951D7"/>
    <w:rsid w:val="0059526A"/>
    <w:rsid w:val="005954BA"/>
    <w:rsid w:val="005958A4"/>
    <w:rsid w:val="00595993"/>
    <w:rsid w:val="00595CF0"/>
    <w:rsid w:val="00595ECA"/>
    <w:rsid w:val="0059622C"/>
    <w:rsid w:val="0059629E"/>
    <w:rsid w:val="005967D4"/>
    <w:rsid w:val="0059681A"/>
    <w:rsid w:val="00596B26"/>
    <w:rsid w:val="00596B65"/>
    <w:rsid w:val="00596CA5"/>
    <w:rsid w:val="00596DEF"/>
    <w:rsid w:val="00597096"/>
    <w:rsid w:val="0059734D"/>
    <w:rsid w:val="00597394"/>
    <w:rsid w:val="0059741D"/>
    <w:rsid w:val="0059783C"/>
    <w:rsid w:val="00597C14"/>
    <w:rsid w:val="005A00C3"/>
    <w:rsid w:val="005A03EA"/>
    <w:rsid w:val="005A049F"/>
    <w:rsid w:val="005A05F8"/>
    <w:rsid w:val="005A0983"/>
    <w:rsid w:val="005A0C46"/>
    <w:rsid w:val="005A0D27"/>
    <w:rsid w:val="005A127B"/>
    <w:rsid w:val="005A12CE"/>
    <w:rsid w:val="005A14C5"/>
    <w:rsid w:val="005A16D2"/>
    <w:rsid w:val="005A19A2"/>
    <w:rsid w:val="005A19B3"/>
    <w:rsid w:val="005A1B49"/>
    <w:rsid w:val="005A1BD4"/>
    <w:rsid w:val="005A214D"/>
    <w:rsid w:val="005A2383"/>
    <w:rsid w:val="005A2C93"/>
    <w:rsid w:val="005A2D82"/>
    <w:rsid w:val="005A2DFD"/>
    <w:rsid w:val="005A2E96"/>
    <w:rsid w:val="005A3447"/>
    <w:rsid w:val="005A3602"/>
    <w:rsid w:val="005A36B6"/>
    <w:rsid w:val="005A3C43"/>
    <w:rsid w:val="005A3DA1"/>
    <w:rsid w:val="005A4487"/>
    <w:rsid w:val="005A4977"/>
    <w:rsid w:val="005A4A3A"/>
    <w:rsid w:val="005A4ECB"/>
    <w:rsid w:val="005A5135"/>
    <w:rsid w:val="005A5445"/>
    <w:rsid w:val="005A54D4"/>
    <w:rsid w:val="005A5B14"/>
    <w:rsid w:val="005A5BDE"/>
    <w:rsid w:val="005A602F"/>
    <w:rsid w:val="005A60E0"/>
    <w:rsid w:val="005A633C"/>
    <w:rsid w:val="005A6BF6"/>
    <w:rsid w:val="005A6E15"/>
    <w:rsid w:val="005A6EFE"/>
    <w:rsid w:val="005A7074"/>
    <w:rsid w:val="005A7121"/>
    <w:rsid w:val="005A71D1"/>
    <w:rsid w:val="005A7276"/>
    <w:rsid w:val="005A74F7"/>
    <w:rsid w:val="005A756C"/>
    <w:rsid w:val="005A7869"/>
    <w:rsid w:val="005A7895"/>
    <w:rsid w:val="005A7B3C"/>
    <w:rsid w:val="005B0135"/>
    <w:rsid w:val="005B0157"/>
    <w:rsid w:val="005B045A"/>
    <w:rsid w:val="005B08D3"/>
    <w:rsid w:val="005B0963"/>
    <w:rsid w:val="005B0BE8"/>
    <w:rsid w:val="005B0C83"/>
    <w:rsid w:val="005B10C2"/>
    <w:rsid w:val="005B1338"/>
    <w:rsid w:val="005B141E"/>
    <w:rsid w:val="005B18B3"/>
    <w:rsid w:val="005B1AB3"/>
    <w:rsid w:val="005B1F12"/>
    <w:rsid w:val="005B208A"/>
    <w:rsid w:val="005B20C7"/>
    <w:rsid w:val="005B215A"/>
    <w:rsid w:val="005B2243"/>
    <w:rsid w:val="005B224F"/>
    <w:rsid w:val="005B25EC"/>
    <w:rsid w:val="005B2820"/>
    <w:rsid w:val="005B2CBF"/>
    <w:rsid w:val="005B31C8"/>
    <w:rsid w:val="005B3204"/>
    <w:rsid w:val="005B363A"/>
    <w:rsid w:val="005B466D"/>
    <w:rsid w:val="005B4BB9"/>
    <w:rsid w:val="005B4EE9"/>
    <w:rsid w:val="005B4F48"/>
    <w:rsid w:val="005B5615"/>
    <w:rsid w:val="005B56F3"/>
    <w:rsid w:val="005B5751"/>
    <w:rsid w:val="005B57A5"/>
    <w:rsid w:val="005B5CB2"/>
    <w:rsid w:val="005B60C7"/>
    <w:rsid w:val="005B60D6"/>
    <w:rsid w:val="005B636A"/>
    <w:rsid w:val="005B640F"/>
    <w:rsid w:val="005B6763"/>
    <w:rsid w:val="005B69F0"/>
    <w:rsid w:val="005B6A18"/>
    <w:rsid w:val="005B7207"/>
    <w:rsid w:val="005B780A"/>
    <w:rsid w:val="005B7E45"/>
    <w:rsid w:val="005B7F65"/>
    <w:rsid w:val="005C0039"/>
    <w:rsid w:val="005C0448"/>
    <w:rsid w:val="005C0981"/>
    <w:rsid w:val="005C098F"/>
    <w:rsid w:val="005C0A8D"/>
    <w:rsid w:val="005C0BF7"/>
    <w:rsid w:val="005C0BFD"/>
    <w:rsid w:val="005C1201"/>
    <w:rsid w:val="005C131D"/>
    <w:rsid w:val="005C1634"/>
    <w:rsid w:val="005C172E"/>
    <w:rsid w:val="005C1AC5"/>
    <w:rsid w:val="005C1B7D"/>
    <w:rsid w:val="005C22C3"/>
    <w:rsid w:val="005C2352"/>
    <w:rsid w:val="005C28BB"/>
    <w:rsid w:val="005C2956"/>
    <w:rsid w:val="005C2DD4"/>
    <w:rsid w:val="005C2E02"/>
    <w:rsid w:val="005C2E7C"/>
    <w:rsid w:val="005C2F04"/>
    <w:rsid w:val="005C3288"/>
    <w:rsid w:val="005C3546"/>
    <w:rsid w:val="005C389C"/>
    <w:rsid w:val="005C3A23"/>
    <w:rsid w:val="005C3B0C"/>
    <w:rsid w:val="005C3BF3"/>
    <w:rsid w:val="005C3CFC"/>
    <w:rsid w:val="005C3DDC"/>
    <w:rsid w:val="005C3E80"/>
    <w:rsid w:val="005C407B"/>
    <w:rsid w:val="005C4284"/>
    <w:rsid w:val="005C43E2"/>
    <w:rsid w:val="005C469E"/>
    <w:rsid w:val="005C4877"/>
    <w:rsid w:val="005C4892"/>
    <w:rsid w:val="005C4922"/>
    <w:rsid w:val="005C4EAA"/>
    <w:rsid w:val="005C5095"/>
    <w:rsid w:val="005C53DD"/>
    <w:rsid w:val="005C58FD"/>
    <w:rsid w:val="005C5A7E"/>
    <w:rsid w:val="005C5B7B"/>
    <w:rsid w:val="005C5BE0"/>
    <w:rsid w:val="005C5DF6"/>
    <w:rsid w:val="005C5EE0"/>
    <w:rsid w:val="005C6425"/>
    <w:rsid w:val="005C65AB"/>
    <w:rsid w:val="005C6818"/>
    <w:rsid w:val="005C684A"/>
    <w:rsid w:val="005C69BE"/>
    <w:rsid w:val="005C6A03"/>
    <w:rsid w:val="005C6ADA"/>
    <w:rsid w:val="005C6C3D"/>
    <w:rsid w:val="005C6DDF"/>
    <w:rsid w:val="005C71A6"/>
    <w:rsid w:val="005C71EA"/>
    <w:rsid w:val="005C730E"/>
    <w:rsid w:val="005C74DA"/>
    <w:rsid w:val="005C78FE"/>
    <w:rsid w:val="005C7BF3"/>
    <w:rsid w:val="005C7DFF"/>
    <w:rsid w:val="005D00E1"/>
    <w:rsid w:val="005D0215"/>
    <w:rsid w:val="005D027C"/>
    <w:rsid w:val="005D077F"/>
    <w:rsid w:val="005D10A9"/>
    <w:rsid w:val="005D1144"/>
    <w:rsid w:val="005D19AC"/>
    <w:rsid w:val="005D1C5B"/>
    <w:rsid w:val="005D1EF4"/>
    <w:rsid w:val="005D2072"/>
    <w:rsid w:val="005D221A"/>
    <w:rsid w:val="005D2333"/>
    <w:rsid w:val="005D234F"/>
    <w:rsid w:val="005D24AF"/>
    <w:rsid w:val="005D289E"/>
    <w:rsid w:val="005D297B"/>
    <w:rsid w:val="005D2A4F"/>
    <w:rsid w:val="005D2A97"/>
    <w:rsid w:val="005D2F25"/>
    <w:rsid w:val="005D2F3A"/>
    <w:rsid w:val="005D3430"/>
    <w:rsid w:val="005D360C"/>
    <w:rsid w:val="005D36CE"/>
    <w:rsid w:val="005D39EF"/>
    <w:rsid w:val="005D3B50"/>
    <w:rsid w:val="005D3E72"/>
    <w:rsid w:val="005D4028"/>
    <w:rsid w:val="005D4997"/>
    <w:rsid w:val="005D51F0"/>
    <w:rsid w:val="005D5298"/>
    <w:rsid w:val="005D52A1"/>
    <w:rsid w:val="005D532B"/>
    <w:rsid w:val="005D5392"/>
    <w:rsid w:val="005D54EF"/>
    <w:rsid w:val="005D5533"/>
    <w:rsid w:val="005D55A7"/>
    <w:rsid w:val="005D55D2"/>
    <w:rsid w:val="005D56BC"/>
    <w:rsid w:val="005D5C1F"/>
    <w:rsid w:val="005D603E"/>
    <w:rsid w:val="005D60C9"/>
    <w:rsid w:val="005D6198"/>
    <w:rsid w:val="005D660C"/>
    <w:rsid w:val="005D678B"/>
    <w:rsid w:val="005D6C8E"/>
    <w:rsid w:val="005D73A6"/>
    <w:rsid w:val="005D7574"/>
    <w:rsid w:val="005D77C7"/>
    <w:rsid w:val="005D790D"/>
    <w:rsid w:val="005D7951"/>
    <w:rsid w:val="005E018B"/>
    <w:rsid w:val="005E0336"/>
    <w:rsid w:val="005E0660"/>
    <w:rsid w:val="005E07EA"/>
    <w:rsid w:val="005E0815"/>
    <w:rsid w:val="005E0A1F"/>
    <w:rsid w:val="005E0D4F"/>
    <w:rsid w:val="005E0E6C"/>
    <w:rsid w:val="005E1480"/>
    <w:rsid w:val="005E1512"/>
    <w:rsid w:val="005E15E3"/>
    <w:rsid w:val="005E1A55"/>
    <w:rsid w:val="005E1E55"/>
    <w:rsid w:val="005E2005"/>
    <w:rsid w:val="005E224F"/>
    <w:rsid w:val="005E2460"/>
    <w:rsid w:val="005E262C"/>
    <w:rsid w:val="005E2A6D"/>
    <w:rsid w:val="005E2B22"/>
    <w:rsid w:val="005E2C61"/>
    <w:rsid w:val="005E2CA4"/>
    <w:rsid w:val="005E3046"/>
    <w:rsid w:val="005E3510"/>
    <w:rsid w:val="005E36D6"/>
    <w:rsid w:val="005E38C2"/>
    <w:rsid w:val="005E3967"/>
    <w:rsid w:val="005E3A70"/>
    <w:rsid w:val="005E3D05"/>
    <w:rsid w:val="005E3E22"/>
    <w:rsid w:val="005E3F5B"/>
    <w:rsid w:val="005E443D"/>
    <w:rsid w:val="005E449A"/>
    <w:rsid w:val="005E45FB"/>
    <w:rsid w:val="005E4723"/>
    <w:rsid w:val="005E4B40"/>
    <w:rsid w:val="005E4E46"/>
    <w:rsid w:val="005E50AA"/>
    <w:rsid w:val="005E51EC"/>
    <w:rsid w:val="005E521A"/>
    <w:rsid w:val="005E526A"/>
    <w:rsid w:val="005E5311"/>
    <w:rsid w:val="005E571B"/>
    <w:rsid w:val="005E5771"/>
    <w:rsid w:val="005E5A02"/>
    <w:rsid w:val="005E5B7D"/>
    <w:rsid w:val="005E6317"/>
    <w:rsid w:val="005E636F"/>
    <w:rsid w:val="005E6B17"/>
    <w:rsid w:val="005E6EC2"/>
    <w:rsid w:val="005E6F07"/>
    <w:rsid w:val="005E74B4"/>
    <w:rsid w:val="005E75DC"/>
    <w:rsid w:val="005E796F"/>
    <w:rsid w:val="005E79D7"/>
    <w:rsid w:val="005E7E6E"/>
    <w:rsid w:val="005E7E8D"/>
    <w:rsid w:val="005F006A"/>
    <w:rsid w:val="005F00E1"/>
    <w:rsid w:val="005F00FC"/>
    <w:rsid w:val="005F0231"/>
    <w:rsid w:val="005F02B2"/>
    <w:rsid w:val="005F0691"/>
    <w:rsid w:val="005F09F5"/>
    <w:rsid w:val="005F0A4B"/>
    <w:rsid w:val="005F0A74"/>
    <w:rsid w:val="005F0BF7"/>
    <w:rsid w:val="005F1311"/>
    <w:rsid w:val="005F14F7"/>
    <w:rsid w:val="005F1558"/>
    <w:rsid w:val="005F16A2"/>
    <w:rsid w:val="005F188D"/>
    <w:rsid w:val="005F1D8D"/>
    <w:rsid w:val="005F21C9"/>
    <w:rsid w:val="005F241F"/>
    <w:rsid w:val="005F247D"/>
    <w:rsid w:val="005F26B1"/>
    <w:rsid w:val="005F2EF6"/>
    <w:rsid w:val="005F30BF"/>
    <w:rsid w:val="005F372C"/>
    <w:rsid w:val="005F3739"/>
    <w:rsid w:val="005F3964"/>
    <w:rsid w:val="005F3E71"/>
    <w:rsid w:val="005F3FB8"/>
    <w:rsid w:val="005F4312"/>
    <w:rsid w:val="005F4523"/>
    <w:rsid w:val="005F4642"/>
    <w:rsid w:val="005F4788"/>
    <w:rsid w:val="005F4856"/>
    <w:rsid w:val="005F4B69"/>
    <w:rsid w:val="005F4EA7"/>
    <w:rsid w:val="005F502B"/>
    <w:rsid w:val="005F5040"/>
    <w:rsid w:val="005F51F2"/>
    <w:rsid w:val="005F520D"/>
    <w:rsid w:val="005F54FF"/>
    <w:rsid w:val="005F56AE"/>
    <w:rsid w:val="005F5978"/>
    <w:rsid w:val="005F5CB9"/>
    <w:rsid w:val="005F5E35"/>
    <w:rsid w:val="005F61FC"/>
    <w:rsid w:val="005F6447"/>
    <w:rsid w:val="005F64CD"/>
    <w:rsid w:val="005F653A"/>
    <w:rsid w:val="005F6615"/>
    <w:rsid w:val="005F68A0"/>
    <w:rsid w:val="005F69B7"/>
    <w:rsid w:val="005F6AC0"/>
    <w:rsid w:val="005F6D52"/>
    <w:rsid w:val="005F73C6"/>
    <w:rsid w:val="005F7421"/>
    <w:rsid w:val="005F7DB6"/>
    <w:rsid w:val="005F7E7B"/>
    <w:rsid w:val="005F7ECA"/>
    <w:rsid w:val="0060026E"/>
    <w:rsid w:val="00600389"/>
    <w:rsid w:val="0060043C"/>
    <w:rsid w:val="00600815"/>
    <w:rsid w:val="006009AC"/>
    <w:rsid w:val="006009F3"/>
    <w:rsid w:val="00600E99"/>
    <w:rsid w:val="006011BA"/>
    <w:rsid w:val="0060144C"/>
    <w:rsid w:val="00601957"/>
    <w:rsid w:val="00601D86"/>
    <w:rsid w:val="00602081"/>
    <w:rsid w:val="00602180"/>
    <w:rsid w:val="00602383"/>
    <w:rsid w:val="006023DB"/>
    <w:rsid w:val="006026AC"/>
    <w:rsid w:val="006026E6"/>
    <w:rsid w:val="00602BEF"/>
    <w:rsid w:val="00602E57"/>
    <w:rsid w:val="00603012"/>
    <w:rsid w:val="006030BB"/>
    <w:rsid w:val="006030BD"/>
    <w:rsid w:val="00603808"/>
    <w:rsid w:val="00603C02"/>
    <w:rsid w:val="00603C48"/>
    <w:rsid w:val="006047B1"/>
    <w:rsid w:val="006047D4"/>
    <w:rsid w:val="00604C70"/>
    <w:rsid w:val="00604DE8"/>
    <w:rsid w:val="00605261"/>
    <w:rsid w:val="0060548A"/>
    <w:rsid w:val="006054D2"/>
    <w:rsid w:val="006055B8"/>
    <w:rsid w:val="0060563D"/>
    <w:rsid w:val="006057F5"/>
    <w:rsid w:val="00605BE0"/>
    <w:rsid w:val="00605BE6"/>
    <w:rsid w:val="00605FAA"/>
    <w:rsid w:val="006061B8"/>
    <w:rsid w:val="00606608"/>
    <w:rsid w:val="00606691"/>
    <w:rsid w:val="0060683B"/>
    <w:rsid w:val="00606BA1"/>
    <w:rsid w:val="00606C4D"/>
    <w:rsid w:val="00606D98"/>
    <w:rsid w:val="00606FA7"/>
    <w:rsid w:val="0060719F"/>
    <w:rsid w:val="0060722B"/>
    <w:rsid w:val="006076E6"/>
    <w:rsid w:val="00607856"/>
    <w:rsid w:val="006079D1"/>
    <w:rsid w:val="00607BD8"/>
    <w:rsid w:val="00607C4F"/>
    <w:rsid w:val="00607DA0"/>
    <w:rsid w:val="00610168"/>
    <w:rsid w:val="006101F7"/>
    <w:rsid w:val="0061038F"/>
    <w:rsid w:val="00610465"/>
    <w:rsid w:val="00610479"/>
    <w:rsid w:val="00610A82"/>
    <w:rsid w:val="00610A92"/>
    <w:rsid w:val="00610BAF"/>
    <w:rsid w:val="00611228"/>
    <w:rsid w:val="0061156F"/>
    <w:rsid w:val="00611990"/>
    <w:rsid w:val="00611B42"/>
    <w:rsid w:val="00611BAB"/>
    <w:rsid w:val="00611CF8"/>
    <w:rsid w:val="00611E6A"/>
    <w:rsid w:val="00611EAE"/>
    <w:rsid w:val="00612031"/>
    <w:rsid w:val="006120DC"/>
    <w:rsid w:val="0061213B"/>
    <w:rsid w:val="006124F6"/>
    <w:rsid w:val="0061286F"/>
    <w:rsid w:val="00612A4F"/>
    <w:rsid w:val="00612B0B"/>
    <w:rsid w:val="0061317B"/>
    <w:rsid w:val="006131C5"/>
    <w:rsid w:val="00613534"/>
    <w:rsid w:val="0061373D"/>
    <w:rsid w:val="0061388C"/>
    <w:rsid w:val="006139BA"/>
    <w:rsid w:val="00613A86"/>
    <w:rsid w:val="00613A9B"/>
    <w:rsid w:val="00613B66"/>
    <w:rsid w:val="00613CCA"/>
    <w:rsid w:val="00614424"/>
    <w:rsid w:val="00614C5D"/>
    <w:rsid w:val="00614D6C"/>
    <w:rsid w:val="00614E47"/>
    <w:rsid w:val="0061530F"/>
    <w:rsid w:val="006154AB"/>
    <w:rsid w:val="0061557B"/>
    <w:rsid w:val="006160C4"/>
    <w:rsid w:val="006161D1"/>
    <w:rsid w:val="00616265"/>
    <w:rsid w:val="006163CF"/>
    <w:rsid w:val="00616650"/>
    <w:rsid w:val="0061668C"/>
    <w:rsid w:val="00616B95"/>
    <w:rsid w:val="00616F80"/>
    <w:rsid w:val="00617344"/>
    <w:rsid w:val="00617401"/>
    <w:rsid w:val="006176D6"/>
    <w:rsid w:val="00617784"/>
    <w:rsid w:val="00617EEA"/>
    <w:rsid w:val="006206B5"/>
    <w:rsid w:val="006207FC"/>
    <w:rsid w:val="006208FF"/>
    <w:rsid w:val="00620D96"/>
    <w:rsid w:val="00621183"/>
    <w:rsid w:val="0062190D"/>
    <w:rsid w:val="006219AD"/>
    <w:rsid w:val="00621B7A"/>
    <w:rsid w:val="00621C4D"/>
    <w:rsid w:val="00621D64"/>
    <w:rsid w:val="00621E7D"/>
    <w:rsid w:val="00622278"/>
    <w:rsid w:val="0062254B"/>
    <w:rsid w:val="00622929"/>
    <w:rsid w:val="00622E59"/>
    <w:rsid w:val="00623205"/>
    <w:rsid w:val="00623262"/>
    <w:rsid w:val="006233E1"/>
    <w:rsid w:val="00623488"/>
    <w:rsid w:val="00623515"/>
    <w:rsid w:val="006235BB"/>
    <w:rsid w:val="006236DB"/>
    <w:rsid w:val="0062377F"/>
    <w:rsid w:val="00623907"/>
    <w:rsid w:val="00623954"/>
    <w:rsid w:val="00623B98"/>
    <w:rsid w:val="00623C13"/>
    <w:rsid w:val="0062415F"/>
    <w:rsid w:val="00624376"/>
    <w:rsid w:val="0062460B"/>
    <w:rsid w:val="0062479F"/>
    <w:rsid w:val="0062495F"/>
    <w:rsid w:val="00624A70"/>
    <w:rsid w:val="00624AB7"/>
    <w:rsid w:val="00624B39"/>
    <w:rsid w:val="00624BA2"/>
    <w:rsid w:val="00624DAB"/>
    <w:rsid w:val="0062509A"/>
    <w:rsid w:val="0062595E"/>
    <w:rsid w:val="00625C6D"/>
    <w:rsid w:val="00625F42"/>
    <w:rsid w:val="00626004"/>
    <w:rsid w:val="006262F3"/>
    <w:rsid w:val="006264E6"/>
    <w:rsid w:val="006269A8"/>
    <w:rsid w:val="00626A30"/>
    <w:rsid w:val="00626C87"/>
    <w:rsid w:val="00626CEC"/>
    <w:rsid w:val="0062703F"/>
    <w:rsid w:val="006270A1"/>
    <w:rsid w:val="006270A7"/>
    <w:rsid w:val="006272A4"/>
    <w:rsid w:val="00627705"/>
    <w:rsid w:val="0062773E"/>
    <w:rsid w:val="0062796F"/>
    <w:rsid w:val="006279C8"/>
    <w:rsid w:val="00627D4A"/>
    <w:rsid w:val="006300E3"/>
    <w:rsid w:val="0063013E"/>
    <w:rsid w:val="0063052B"/>
    <w:rsid w:val="00630683"/>
    <w:rsid w:val="006306A9"/>
    <w:rsid w:val="006307DF"/>
    <w:rsid w:val="00630A60"/>
    <w:rsid w:val="00630B0E"/>
    <w:rsid w:val="00630EB3"/>
    <w:rsid w:val="006312D6"/>
    <w:rsid w:val="0063139E"/>
    <w:rsid w:val="006314DF"/>
    <w:rsid w:val="00631605"/>
    <w:rsid w:val="0063176C"/>
    <w:rsid w:val="00631A71"/>
    <w:rsid w:val="00631DA7"/>
    <w:rsid w:val="00631FF6"/>
    <w:rsid w:val="00632021"/>
    <w:rsid w:val="0063274C"/>
    <w:rsid w:val="00632A39"/>
    <w:rsid w:val="00632C15"/>
    <w:rsid w:val="00632EE5"/>
    <w:rsid w:val="006334FA"/>
    <w:rsid w:val="00633969"/>
    <w:rsid w:val="00633A06"/>
    <w:rsid w:val="00633A5F"/>
    <w:rsid w:val="00633CAE"/>
    <w:rsid w:val="00633E70"/>
    <w:rsid w:val="00633E71"/>
    <w:rsid w:val="006340AF"/>
    <w:rsid w:val="006341F7"/>
    <w:rsid w:val="00634297"/>
    <w:rsid w:val="00634C12"/>
    <w:rsid w:val="00634C5F"/>
    <w:rsid w:val="00634CB5"/>
    <w:rsid w:val="00634ECD"/>
    <w:rsid w:val="00634F72"/>
    <w:rsid w:val="00635127"/>
    <w:rsid w:val="00635151"/>
    <w:rsid w:val="00635301"/>
    <w:rsid w:val="00635317"/>
    <w:rsid w:val="00635457"/>
    <w:rsid w:val="00635485"/>
    <w:rsid w:val="0063561D"/>
    <w:rsid w:val="0063563F"/>
    <w:rsid w:val="00635860"/>
    <w:rsid w:val="006359F5"/>
    <w:rsid w:val="00635C89"/>
    <w:rsid w:val="00635DF2"/>
    <w:rsid w:val="00635E59"/>
    <w:rsid w:val="00636542"/>
    <w:rsid w:val="006366DB"/>
    <w:rsid w:val="00636717"/>
    <w:rsid w:val="00636C84"/>
    <w:rsid w:val="00636CAE"/>
    <w:rsid w:val="00636DF1"/>
    <w:rsid w:val="00636E2A"/>
    <w:rsid w:val="0063717F"/>
    <w:rsid w:val="00637224"/>
    <w:rsid w:val="006377C8"/>
    <w:rsid w:val="00637999"/>
    <w:rsid w:val="00637B92"/>
    <w:rsid w:val="00637C9E"/>
    <w:rsid w:val="00637CC6"/>
    <w:rsid w:val="00637D06"/>
    <w:rsid w:val="00637E56"/>
    <w:rsid w:val="006400B3"/>
    <w:rsid w:val="00640161"/>
    <w:rsid w:val="0064022B"/>
    <w:rsid w:val="00640412"/>
    <w:rsid w:val="006405B9"/>
    <w:rsid w:val="00640967"/>
    <w:rsid w:val="006409F4"/>
    <w:rsid w:val="00640AA9"/>
    <w:rsid w:val="00640AEF"/>
    <w:rsid w:val="00640D07"/>
    <w:rsid w:val="00641298"/>
    <w:rsid w:val="0064145C"/>
    <w:rsid w:val="00641F9C"/>
    <w:rsid w:val="0064200B"/>
    <w:rsid w:val="0064202D"/>
    <w:rsid w:val="0064226C"/>
    <w:rsid w:val="0064238B"/>
    <w:rsid w:val="006429DB"/>
    <w:rsid w:val="00642A43"/>
    <w:rsid w:val="00642C89"/>
    <w:rsid w:val="00642E56"/>
    <w:rsid w:val="00642FD8"/>
    <w:rsid w:val="006430AE"/>
    <w:rsid w:val="0064310B"/>
    <w:rsid w:val="006431A1"/>
    <w:rsid w:val="00643313"/>
    <w:rsid w:val="0064346C"/>
    <w:rsid w:val="006434A3"/>
    <w:rsid w:val="00643563"/>
    <w:rsid w:val="006439A0"/>
    <w:rsid w:val="006439E9"/>
    <w:rsid w:val="00643AE4"/>
    <w:rsid w:val="00643DE6"/>
    <w:rsid w:val="00644553"/>
    <w:rsid w:val="00644E7A"/>
    <w:rsid w:val="00644E7E"/>
    <w:rsid w:val="00644E87"/>
    <w:rsid w:val="0064511E"/>
    <w:rsid w:val="00645339"/>
    <w:rsid w:val="00645512"/>
    <w:rsid w:val="006457C8"/>
    <w:rsid w:val="00645D23"/>
    <w:rsid w:val="00646231"/>
    <w:rsid w:val="00646235"/>
    <w:rsid w:val="00646259"/>
    <w:rsid w:val="0064625A"/>
    <w:rsid w:val="006469BA"/>
    <w:rsid w:val="00646E88"/>
    <w:rsid w:val="00646EE8"/>
    <w:rsid w:val="00646FE0"/>
    <w:rsid w:val="0064706F"/>
    <w:rsid w:val="0064732A"/>
    <w:rsid w:val="006474B3"/>
    <w:rsid w:val="006474F2"/>
    <w:rsid w:val="00647EB2"/>
    <w:rsid w:val="00647FD7"/>
    <w:rsid w:val="0065008E"/>
    <w:rsid w:val="00650092"/>
    <w:rsid w:val="006506EC"/>
    <w:rsid w:val="0065098C"/>
    <w:rsid w:val="00650D8F"/>
    <w:rsid w:val="00651340"/>
    <w:rsid w:val="006513A5"/>
    <w:rsid w:val="006513C3"/>
    <w:rsid w:val="00651686"/>
    <w:rsid w:val="0065172C"/>
    <w:rsid w:val="00651740"/>
    <w:rsid w:val="0065180D"/>
    <w:rsid w:val="00651A4F"/>
    <w:rsid w:val="00651C93"/>
    <w:rsid w:val="00651CD7"/>
    <w:rsid w:val="00651E14"/>
    <w:rsid w:val="00651EA4"/>
    <w:rsid w:val="00651FF6"/>
    <w:rsid w:val="006520E3"/>
    <w:rsid w:val="006522EC"/>
    <w:rsid w:val="006527D6"/>
    <w:rsid w:val="00652939"/>
    <w:rsid w:val="0065299B"/>
    <w:rsid w:val="00652AA8"/>
    <w:rsid w:val="00652CC1"/>
    <w:rsid w:val="0065326D"/>
    <w:rsid w:val="0065343C"/>
    <w:rsid w:val="0065343E"/>
    <w:rsid w:val="0065373D"/>
    <w:rsid w:val="00653842"/>
    <w:rsid w:val="006539EE"/>
    <w:rsid w:val="00653E17"/>
    <w:rsid w:val="00654090"/>
    <w:rsid w:val="00654280"/>
    <w:rsid w:val="006542F2"/>
    <w:rsid w:val="006543E4"/>
    <w:rsid w:val="006546BB"/>
    <w:rsid w:val="0065481D"/>
    <w:rsid w:val="00654A84"/>
    <w:rsid w:val="00654AB8"/>
    <w:rsid w:val="00654AD7"/>
    <w:rsid w:val="00654B50"/>
    <w:rsid w:val="00654B83"/>
    <w:rsid w:val="00654B96"/>
    <w:rsid w:val="006550AE"/>
    <w:rsid w:val="00655436"/>
    <w:rsid w:val="006554E8"/>
    <w:rsid w:val="006555CF"/>
    <w:rsid w:val="006556B5"/>
    <w:rsid w:val="00655798"/>
    <w:rsid w:val="006559E6"/>
    <w:rsid w:val="00655CB3"/>
    <w:rsid w:val="00656066"/>
    <w:rsid w:val="006561E2"/>
    <w:rsid w:val="0065663A"/>
    <w:rsid w:val="00656AF0"/>
    <w:rsid w:val="00656C7F"/>
    <w:rsid w:val="00656CC2"/>
    <w:rsid w:val="00656E87"/>
    <w:rsid w:val="00656F8B"/>
    <w:rsid w:val="00656FCA"/>
    <w:rsid w:val="00657366"/>
    <w:rsid w:val="00657AE5"/>
    <w:rsid w:val="00657BE2"/>
    <w:rsid w:val="00657C4B"/>
    <w:rsid w:val="00657EBC"/>
    <w:rsid w:val="00657F70"/>
    <w:rsid w:val="00657FC6"/>
    <w:rsid w:val="0066015F"/>
    <w:rsid w:val="00660361"/>
    <w:rsid w:val="006604B7"/>
    <w:rsid w:val="00660675"/>
    <w:rsid w:val="00660BE4"/>
    <w:rsid w:val="00660D14"/>
    <w:rsid w:val="00660E89"/>
    <w:rsid w:val="00660EFE"/>
    <w:rsid w:val="00661804"/>
    <w:rsid w:val="006619C8"/>
    <w:rsid w:val="006621A6"/>
    <w:rsid w:val="0066224E"/>
    <w:rsid w:val="006626D9"/>
    <w:rsid w:val="00662883"/>
    <w:rsid w:val="00662EDB"/>
    <w:rsid w:val="0066301F"/>
    <w:rsid w:val="006631F7"/>
    <w:rsid w:val="006633C0"/>
    <w:rsid w:val="006635CF"/>
    <w:rsid w:val="0066376F"/>
    <w:rsid w:val="006637E3"/>
    <w:rsid w:val="0066384C"/>
    <w:rsid w:val="00663AFC"/>
    <w:rsid w:val="00663FB6"/>
    <w:rsid w:val="00664205"/>
    <w:rsid w:val="006646A5"/>
    <w:rsid w:val="00664883"/>
    <w:rsid w:val="00664975"/>
    <w:rsid w:val="00664ADF"/>
    <w:rsid w:val="00664CFD"/>
    <w:rsid w:val="0066595B"/>
    <w:rsid w:val="00665A2E"/>
    <w:rsid w:val="00665AD4"/>
    <w:rsid w:val="00665C42"/>
    <w:rsid w:val="00665C96"/>
    <w:rsid w:val="00666084"/>
    <w:rsid w:val="006661EA"/>
    <w:rsid w:val="00666215"/>
    <w:rsid w:val="00666499"/>
    <w:rsid w:val="0066655F"/>
    <w:rsid w:val="006665CB"/>
    <w:rsid w:val="0066661F"/>
    <w:rsid w:val="00666B90"/>
    <w:rsid w:val="00667017"/>
    <w:rsid w:val="006675B0"/>
    <w:rsid w:val="00667961"/>
    <w:rsid w:val="00667D30"/>
    <w:rsid w:val="0067002B"/>
    <w:rsid w:val="00670147"/>
    <w:rsid w:val="0067029D"/>
    <w:rsid w:val="00670403"/>
    <w:rsid w:val="006704C3"/>
    <w:rsid w:val="00670B0C"/>
    <w:rsid w:val="00670F2F"/>
    <w:rsid w:val="00671028"/>
    <w:rsid w:val="00671299"/>
    <w:rsid w:val="006713DF"/>
    <w:rsid w:val="0067143B"/>
    <w:rsid w:val="00671487"/>
    <w:rsid w:val="00671D6A"/>
    <w:rsid w:val="00672129"/>
    <w:rsid w:val="0067253E"/>
    <w:rsid w:val="00672583"/>
    <w:rsid w:val="00672736"/>
    <w:rsid w:val="006729B7"/>
    <w:rsid w:val="00672CD3"/>
    <w:rsid w:val="006732E8"/>
    <w:rsid w:val="00673426"/>
    <w:rsid w:val="00673482"/>
    <w:rsid w:val="0067369D"/>
    <w:rsid w:val="006737AC"/>
    <w:rsid w:val="006738FF"/>
    <w:rsid w:val="00673A9C"/>
    <w:rsid w:val="00673D17"/>
    <w:rsid w:val="00673E4F"/>
    <w:rsid w:val="00673F85"/>
    <w:rsid w:val="0067444B"/>
    <w:rsid w:val="00674684"/>
    <w:rsid w:val="0067483F"/>
    <w:rsid w:val="00674AAE"/>
    <w:rsid w:val="00674B42"/>
    <w:rsid w:val="00674BAF"/>
    <w:rsid w:val="00674C1D"/>
    <w:rsid w:val="006752F2"/>
    <w:rsid w:val="00675509"/>
    <w:rsid w:val="006757AA"/>
    <w:rsid w:val="00675916"/>
    <w:rsid w:val="006759B3"/>
    <w:rsid w:val="00675AD1"/>
    <w:rsid w:val="00675C3F"/>
    <w:rsid w:val="00675CC8"/>
    <w:rsid w:val="00675F5D"/>
    <w:rsid w:val="00675FCF"/>
    <w:rsid w:val="006760AC"/>
    <w:rsid w:val="00676467"/>
    <w:rsid w:val="006766AA"/>
    <w:rsid w:val="006767BC"/>
    <w:rsid w:val="00676904"/>
    <w:rsid w:val="0067695B"/>
    <w:rsid w:val="00677604"/>
    <w:rsid w:val="00677861"/>
    <w:rsid w:val="0067798F"/>
    <w:rsid w:val="00677AD6"/>
    <w:rsid w:val="006800E7"/>
    <w:rsid w:val="00680197"/>
    <w:rsid w:val="006804C4"/>
    <w:rsid w:val="00680500"/>
    <w:rsid w:val="006806CA"/>
    <w:rsid w:val="00680ED3"/>
    <w:rsid w:val="00680F0D"/>
    <w:rsid w:val="00680F69"/>
    <w:rsid w:val="00681293"/>
    <w:rsid w:val="006816AC"/>
    <w:rsid w:val="00681933"/>
    <w:rsid w:val="0068194A"/>
    <w:rsid w:val="00681A7A"/>
    <w:rsid w:val="00681C42"/>
    <w:rsid w:val="00681EF1"/>
    <w:rsid w:val="006825F9"/>
    <w:rsid w:val="00682847"/>
    <w:rsid w:val="006829C2"/>
    <w:rsid w:val="00682A2B"/>
    <w:rsid w:val="00683473"/>
    <w:rsid w:val="00683520"/>
    <w:rsid w:val="006836B9"/>
    <w:rsid w:val="0068374A"/>
    <w:rsid w:val="006838ED"/>
    <w:rsid w:val="00683A16"/>
    <w:rsid w:val="006840C6"/>
    <w:rsid w:val="006840EA"/>
    <w:rsid w:val="006847B6"/>
    <w:rsid w:val="006847CF"/>
    <w:rsid w:val="006848D2"/>
    <w:rsid w:val="00684B52"/>
    <w:rsid w:val="00684BF5"/>
    <w:rsid w:val="00684EEF"/>
    <w:rsid w:val="00685094"/>
    <w:rsid w:val="006851A5"/>
    <w:rsid w:val="006851A7"/>
    <w:rsid w:val="00685227"/>
    <w:rsid w:val="00685266"/>
    <w:rsid w:val="00685571"/>
    <w:rsid w:val="006856F1"/>
    <w:rsid w:val="006858DF"/>
    <w:rsid w:val="0068593C"/>
    <w:rsid w:val="00685A4D"/>
    <w:rsid w:val="00685ACD"/>
    <w:rsid w:val="00685B24"/>
    <w:rsid w:val="006861E9"/>
    <w:rsid w:val="00686313"/>
    <w:rsid w:val="0068655A"/>
    <w:rsid w:val="00686903"/>
    <w:rsid w:val="00686C7F"/>
    <w:rsid w:val="00686E75"/>
    <w:rsid w:val="0068775A"/>
    <w:rsid w:val="00687BC0"/>
    <w:rsid w:val="00687E54"/>
    <w:rsid w:val="00690013"/>
    <w:rsid w:val="0069026C"/>
    <w:rsid w:val="0069071A"/>
    <w:rsid w:val="00690823"/>
    <w:rsid w:val="00690A1B"/>
    <w:rsid w:val="00690BDE"/>
    <w:rsid w:val="00690C39"/>
    <w:rsid w:val="00690D30"/>
    <w:rsid w:val="00690F7C"/>
    <w:rsid w:val="00691180"/>
    <w:rsid w:val="00691460"/>
    <w:rsid w:val="0069149A"/>
    <w:rsid w:val="006915DD"/>
    <w:rsid w:val="00691935"/>
    <w:rsid w:val="00691ABB"/>
    <w:rsid w:val="00691B2F"/>
    <w:rsid w:val="00691B50"/>
    <w:rsid w:val="00691C9D"/>
    <w:rsid w:val="006920F4"/>
    <w:rsid w:val="0069258D"/>
    <w:rsid w:val="00692D95"/>
    <w:rsid w:val="00693086"/>
    <w:rsid w:val="0069346F"/>
    <w:rsid w:val="0069360E"/>
    <w:rsid w:val="0069389B"/>
    <w:rsid w:val="00693943"/>
    <w:rsid w:val="00693A6B"/>
    <w:rsid w:val="00693AC5"/>
    <w:rsid w:val="00693D4E"/>
    <w:rsid w:val="00693F81"/>
    <w:rsid w:val="0069432C"/>
    <w:rsid w:val="006943D0"/>
    <w:rsid w:val="006945B4"/>
    <w:rsid w:val="0069471C"/>
    <w:rsid w:val="00694A94"/>
    <w:rsid w:val="00694C68"/>
    <w:rsid w:val="00694E98"/>
    <w:rsid w:val="0069509A"/>
    <w:rsid w:val="006952CE"/>
    <w:rsid w:val="00695629"/>
    <w:rsid w:val="006956AF"/>
    <w:rsid w:val="00695BC0"/>
    <w:rsid w:val="00695C46"/>
    <w:rsid w:val="00695D25"/>
    <w:rsid w:val="00696041"/>
    <w:rsid w:val="006963CB"/>
    <w:rsid w:val="00696934"/>
    <w:rsid w:val="006969DC"/>
    <w:rsid w:val="00696E73"/>
    <w:rsid w:val="00696EAD"/>
    <w:rsid w:val="00696EF5"/>
    <w:rsid w:val="006971B0"/>
    <w:rsid w:val="006971C7"/>
    <w:rsid w:val="00697310"/>
    <w:rsid w:val="00697441"/>
    <w:rsid w:val="006974F8"/>
    <w:rsid w:val="006A01DE"/>
    <w:rsid w:val="006A024D"/>
    <w:rsid w:val="006A0927"/>
    <w:rsid w:val="006A0A0A"/>
    <w:rsid w:val="006A0C73"/>
    <w:rsid w:val="006A0D67"/>
    <w:rsid w:val="006A114D"/>
    <w:rsid w:val="006A11D8"/>
    <w:rsid w:val="006A153A"/>
    <w:rsid w:val="006A1831"/>
    <w:rsid w:val="006A1981"/>
    <w:rsid w:val="006A1C0D"/>
    <w:rsid w:val="006A1F34"/>
    <w:rsid w:val="006A2071"/>
    <w:rsid w:val="006A2238"/>
    <w:rsid w:val="006A22D0"/>
    <w:rsid w:val="006A2370"/>
    <w:rsid w:val="006A2479"/>
    <w:rsid w:val="006A25BC"/>
    <w:rsid w:val="006A264A"/>
    <w:rsid w:val="006A299A"/>
    <w:rsid w:val="006A2D94"/>
    <w:rsid w:val="006A300D"/>
    <w:rsid w:val="006A3278"/>
    <w:rsid w:val="006A327C"/>
    <w:rsid w:val="006A33EF"/>
    <w:rsid w:val="006A3415"/>
    <w:rsid w:val="006A34E2"/>
    <w:rsid w:val="006A3535"/>
    <w:rsid w:val="006A36DF"/>
    <w:rsid w:val="006A36F7"/>
    <w:rsid w:val="006A3804"/>
    <w:rsid w:val="006A3908"/>
    <w:rsid w:val="006A3964"/>
    <w:rsid w:val="006A3CA5"/>
    <w:rsid w:val="006A3CB4"/>
    <w:rsid w:val="006A44FD"/>
    <w:rsid w:val="006A4694"/>
    <w:rsid w:val="006A4C45"/>
    <w:rsid w:val="006A4E79"/>
    <w:rsid w:val="006A4F27"/>
    <w:rsid w:val="006A4F64"/>
    <w:rsid w:val="006A5093"/>
    <w:rsid w:val="006A52D5"/>
    <w:rsid w:val="006A544E"/>
    <w:rsid w:val="006A5729"/>
    <w:rsid w:val="006A5A90"/>
    <w:rsid w:val="006A5BCC"/>
    <w:rsid w:val="006A5D48"/>
    <w:rsid w:val="006A5D76"/>
    <w:rsid w:val="006A5E27"/>
    <w:rsid w:val="006A5EA3"/>
    <w:rsid w:val="006A5F2A"/>
    <w:rsid w:val="006A63F1"/>
    <w:rsid w:val="006A64A4"/>
    <w:rsid w:val="006A677A"/>
    <w:rsid w:val="006A6BD0"/>
    <w:rsid w:val="006A6C22"/>
    <w:rsid w:val="006A6C6C"/>
    <w:rsid w:val="006A6D16"/>
    <w:rsid w:val="006A6E8C"/>
    <w:rsid w:val="006A70FE"/>
    <w:rsid w:val="006A7227"/>
    <w:rsid w:val="006A735B"/>
    <w:rsid w:val="006A7738"/>
    <w:rsid w:val="006A779B"/>
    <w:rsid w:val="006A7DBE"/>
    <w:rsid w:val="006A7F52"/>
    <w:rsid w:val="006A7FF0"/>
    <w:rsid w:val="006B028F"/>
    <w:rsid w:val="006B06B4"/>
    <w:rsid w:val="006B0992"/>
    <w:rsid w:val="006B09D4"/>
    <w:rsid w:val="006B0C5B"/>
    <w:rsid w:val="006B0DB4"/>
    <w:rsid w:val="006B130E"/>
    <w:rsid w:val="006B1587"/>
    <w:rsid w:val="006B1766"/>
    <w:rsid w:val="006B1AD0"/>
    <w:rsid w:val="006B1ED2"/>
    <w:rsid w:val="006B21BB"/>
    <w:rsid w:val="006B2449"/>
    <w:rsid w:val="006B2734"/>
    <w:rsid w:val="006B2D56"/>
    <w:rsid w:val="006B2EA4"/>
    <w:rsid w:val="006B2F96"/>
    <w:rsid w:val="006B3151"/>
    <w:rsid w:val="006B31C4"/>
    <w:rsid w:val="006B320C"/>
    <w:rsid w:val="006B3462"/>
    <w:rsid w:val="006B36B3"/>
    <w:rsid w:val="006B3832"/>
    <w:rsid w:val="006B3891"/>
    <w:rsid w:val="006B3A2C"/>
    <w:rsid w:val="006B3AB6"/>
    <w:rsid w:val="006B3ADC"/>
    <w:rsid w:val="006B3CAB"/>
    <w:rsid w:val="006B3FAE"/>
    <w:rsid w:val="006B42AA"/>
    <w:rsid w:val="006B44CB"/>
    <w:rsid w:val="006B46BC"/>
    <w:rsid w:val="006B49B3"/>
    <w:rsid w:val="006B49D2"/>
    <w:rsid w:val="006B4CE5"/>
    <w:rsid w:val="006B570A"/>
    <w:rsid w:val="006B5715"/>
    <w:rsid w:val="006B5A61"/>
    <w:rsid w:val="006B648C"/>
    <w:rsid w:val="006B6546"/>
    <w:rsid w:val="006B65A0"/>
    <w:rsid w:val="006B6728"/>
    <w:rsid w:val="006B6CB7"/>
    <w:rsid w:val="006B6D0B"/>
    <w:rsid w:val="006B6ED5"/>
    <w:rsid w:val="006B6F1F"/>
    <w:rsid w:val="006B6F7D"/>
    <w:rsid w:val="006B7082"/>
    <w:rsid w:val="006B709A"/>
    <w:rsid w:val="006B7122"/>
    <w:rsid w:val="006B7254"/>
    <w:rsid w:val="006B7408"/>
    <w:rsid w:val="006B7501"/>
    <w:rsid w:val="006B7513"/>
    <w:rsid w:val="006B760E"/>
    <w:rsid w:val="006B7837"/>
    <w:rsid w:val="006B785A"/>
    <w:rsid w:val="006B7910"/>
    <w:rsid w:val="006B7A59"/>
    <w:rsid w:val="006B7D98"/>
    <w:rsid w:val="006B7FEE"/>
    <w:rsid w:val="006C01C8"/>
    <w:rsid w:val="006C0253"/>
    <w:rsid w:val="006C03A4"/>
    <w:rsid w:val="006C0412"/>
    <w:rsid w:val="006C0632"/>
    <w:rsid w:val="006C067E"/>
    <w:rsid w:val="006C071F"/>
    <w:rsid w:val="006C0A54"/>
    <w:rsid w:val="006C0C90"/>
    <w:rsid w:val="006C0EE9"/>
    <w:rsid w:val="006C0FCD"/>
    <w:rsid w:val="006C1729"/>
    <w:rsid w:val="006C192D"/>
    <w:rsid w:val="006C1BF3"/>
    <w:rsid w:val="006C1C38"/>
    <w:rsid w:val="006C1CD1"/>
    <w:rsid w:val="006C2550"/>
    <w:rsid w:val="006C2678"/>
    <w:rsid w:val="006C29F9"/>
    <w:rsid w:val="006C2C38"/>
    <w:rsid w:val="006C2C45"/>
    <w:rsid w:val="006C2C8F"/>
    <w:rsid w:val="006C2E65"/>
    <w:rsid w:val="006C2E7F"/>
    <w:rsid w:val="006C2F33"/>
    <w:rsid w:val="006C2F83"/>
    <w:rsid w:val="006C3037"/>
    <w:rsid w:val="006C31A3"/>
    <w:rsid w:val="006C31F8"/>
    <w:rsid w:val="006C39EA"/>
    <w:rsid w:val="006C3C36"/>
    <w:rsid w:val="006C3DC2"/>
    <w:rsid w:val="006C3E46"/>
    <w:rsid w:val="006C402B"/>
    <w:rsid w:val="006C40E5"/>
    <w:rsid w:val="006C40F8"/>
    <w:rsid w:val="006C410E"/>
    <w:rsid w:val="006C42C4"/>
    <w:rsid w:val="006C4313"/>
    <w:rsid w:val="006C4338"/>
    <w:rsid w:val="006C440F"/>
    <w:rsid w:val="006C4623"/>
    <w:rsid w:val="006C4703"/>
    <w:rsid w:val="006C4EB7"/>
    <w:rsid w:val="006C52E8"/>
    <w:rsid w:val="006C5346"/>
    <w:rsid w:val="006C583D"/>
    <w:rsid w:val="006C589E"/>
    <w:rsid w:val="006C58E9"/>
    <w:rsid w:val="006C5B44"/>
    <w:rsid w:val="006C5F68"/>
    <w:rsid w:val="006C61F8"/>
    <w:rsid w:val="006C64D5"/>
    <w:rsid w:val="006C67DA"/>
    <w:rsid w:val="006C6D0C"/>
    <w:rsid w:val="006C6E6D"/>
    <w:rsid w:val="006C7242"/>
    <w:rsid w:val="006C74DD"/>
    <w:rsid w:val="006C79A8"/>
    <w:rsid w:val="006C7AE2"/>
    <w:rsid w:val="006C7CC7"/>
    <w:rsid w:val="006D063F"/>
    <w:rsid w:val="006D077B"/>
    <w:rsid w:val="006D0974"/>
    <w:rsid w:val="006D09D2"/>
    <w:rsid w:val="006D0A72"/>
    <w:rsid w:val="006D0C8A"/>
    <w:rsid w:val="006D0D92"/>
    <w:rsid w:val="006D121E"/>
    <w:rsid w:val="006D13F9"/>
    <w:rsid w:val="006D176E"/>
    <w:rsid w:val="006D1BD4"/>
    <w:rsid w:val="006D1EE5"/>
    <w:rsid w:val="006D2102"/>
    <w:rsid w:val="006D2145"/>
    <w:rsid w:val="006D2ED4"/>
    <w:rsid w:val="006D2FF8"/>
    <w:rsid w:val="006D302A"/>
    <w:rsid w:val="006D30B2"/>
    <w:rsid w:val="006D35FD"/>
    <w:rsid w:val="006D3811"/>
    <w:rsid w:val="006D3872"/>
    <w:rsid w:val="006D3F34"/>
    <w:rsid w:val="006D40E7"/>
    <w:rsid w:val="006D447B"/>
    <w:rsid w:val="006D45A3"/>
    <w:rsid w:val="006D4954"/>
    <w:rsid w:val="006D496A"/>
    <w:rsid w:val="006D49C4"/>
    <w:rsid w:val="006D4AA9"/>
    <w:rsid w:val="006D4ACE"/>
    <w:rsid w:val="006D4BE1"/>
    <w:rsid w:val="006D4C73"/>
    <w:rsid w:val="006D4D3F"/>
    <w:rsid w:val="006D4F23"/>
    <w:rsid w:val="006D5154"/>
    <w:rsid w:val="006D517D"/>
    <w:rsid w:val="006D518F"/>
    <w:rsid w:val="006D5268"/>
    <w:rsid w:val="006D58DB"/>
    <w:rsid w:val="006D5C2B"/>
    <w:rsid w:val="006D5C96"/>
    <w:rsid w:val="006D6010"/>
    <w:rsid w:val="006D6080"/>
    <w:rsid w:val="006D656D"/>
    <w:rsid w:val="006D668D"/>
    <w:rsid w:val="006D68C5"/>
    <w:rsid w:val="006D6AD3"/>
    <w:rsid w:val="006D6B10"/>
    <w:rsid w:val="006D6B95"/>
    <w:rsid w:val="006D6C39"/>
    <w:rsid w:val="006D6E5E"/>
    <w:rsid w:val="006D6F77"/>
    <w:rsid w:val="006D6FA9"/>
    <w:rsid w:val="006D7146"/>
    <w:rsid w:val="006D7309"/>
    <w:rsid w:val="006D74E0"/>
    <w:rsid w:val="006D7795"/>
    <w:rsid w:val="006D79BA"/>
    <w:rsid w:val="006E0258"/>
    <w:rsid w:val="006E06B3"/>
    <w:rsid w:val="006E09ED"/>
    <w:rsid w:val="006E0BB8"/>
    <w:rsid w:val="006E0D37"/>
    <w:rsid w:val="006E0FB9"/>
    <w:rsid w:val="006E1014"/>
    <w:rsid w:val="006E14B3"/>
    <w:rsid w:val="006E175D"/>
    <w:rsid w:val="006E191C"/>
    <w:rsid w:val="006E1963"/>
    <w:rsid w:val="006E1EAC"/>
    <w:rsid w:val="006E1F52"/>
    <w:rsid w:val="006E22E1"/>
    <w:rsid w:val="006E2653"/>
    <w:rsid w:val="006E27DA"/>
    <w:rsid w:val="006E2875"/>
    <w:rsid w:val="006E2D3E"/>
    <w:rsid w:val="006E329A"/>
    <w:rsid w:val="006E3477"/>
    <w:rsid w:val="006E358D"/>
    <w:rsid w:val="006E3A90"/>
    <w:rsid w:val="006E3CC7"/>
    <w:rsid w:val="006E4585"/>
    <w:rsid w:val="006E4900"/>
    <w:rsid w:val="006E4923"/>
    <w:rsid w:val="006E4960"/>
    <w:rsid w:val="006E4C15"/>
    <w:rsid w:val="006E4DC4"/>
    <w:rsid w:val="006E4FA0"/>
    <w:rsid w:val="006E4FEC"/>
    <w:rsid w:val="006E5161"/>
    <w:rsid w:val="006E5332"/>
    <w:rsid w:val="006E533F"/>
    <w:rsid w:val="006E53A3"/>
    <w:rsid w:val="006E5696"/>
    <w:rsid w:val="006E5BBA"/>
    <w:rsid w:val="006E6338"/>
    <w:rsid w:val="006E66A7"/>
    <w:rsid w:val="006E68C1"/>
    <w:rsid w:val="006E6C11"/>
    <w:rsid w:val="006E6EAF"/>
    <w:rsid w:val="006E6F14"/>
    <w:rsid w:val="006E79B9"/>
    <w:rsid w:val="006F007E"/>
    <w:rsid w:val="006F02FD"/>
    <w:rsid w:val="006F041B"/>
    <w:rsid w:val="006F0D91"/>
    <w:rsid w:val="006F0DA1"/>
    <w:rsid w:val="006F0E98"/>
    <w:rsid w:val="006F12A9"/>
    <w:rsid w:val="006F14F2"/>
    <w:rsid w:val="006F18BB"/>
    <w:rsid w:val="006F1A95"/>
    <w:rsid w:val="006F1B02"/>
    <w:rsid w:val="006F1BCA"/>
    <w:rsid w:val="006F1CA0"/>
    <w:rsid w:val="006F1D16"/>
    <w:rsid w:val="006F1EFF"/>
    <w:rsid w:val="006F23EC"/>
    <w:rsid w:val="006F2578"/>
    <w:rsid w:val="006F2F10"/>
    <w:rsid w:val="006F344B"/>
    <w:rsid w:val="006F3664"/>
    <w:rsid w:val="006F40BA"/>
    <w:rsid w:val="006F42AE"/>
    <w:rsid w:val="006F4507"/>
    <w:rsid w:val="006F5608"/>
    <w:rsid w:val="006F560B"/>
    <w:rsid w:val="006F5AB9"/>
    <w:rsid w:val="006F604B"/>
    <w:rsid w:val="006F6337"/>
    <w:rsid w:val="006F6502"/>
    <w:rsid w:val="006F6847"/>
    <w:rsid w:val="006F6A32"/>
    <w:rsid w:val="006F7262"/>
    <w:rsid w:val="006F73B3"/>
    <w:rsid w:val="006F73B4"/>
    <w:rsid w:val="006F73FC"/>
    <w:rsid w:val="006F7524"/>
    <w:rsid w:val="006F7546"/>
    <w:rsid w:val="006F76C5"/>
    <w:rsid w:val="006F774C"/>
    <w:rsid w:val="006F78B1"/>
    <w:rsid w:val="006F794B"/>
    <w:rsid w:val="006F7A24"/>
    <w:rsid w:val="006F7CA3"/>
    <w:rsid w:val="006F7E88"/>
    <w:rsid w:val="007003D9"/>
    <w:rsid w:val="0070089D"/>
    <w:rsid w:val="0070116F"/>
    <w:rsid w:val="00701369"/>
    <w:rsid w:val="007013B5"/>
    <w:rsid w:val="00701496"/>
    <w:rsid w:val="00701705"/>
    <w:rsid w:val="0070170E"/>
    <w:rsid w:val="00701D18"/>
    <w:rsid w:val="00701F44"/>
    <w:rsid w:val="007023DF"/>
    <w:rsid w:val="007027F8"/>
    <w:rsid w:val="007029A3"/>
    <w:rsid w:val="00702AAC"/>
    <w:rsid w:val="00702C97"/>
    <w:rsid w:val="00702D7E"/>
    <w:rsid w:val="00702E1B"/>
    <w:rsid w:val="007030C7"/>
    <w:rsid w:val="0070343A"/>
    <w:rsid w:val="007035D6"/>
    <w:rsid w:val="007035E8"/>
    <w:rsid w:val="007039BA"/>
    <w:rsid w:val="00703AFB"/>
    <w:rsid w:val="00703EFD"/>
    <w:rsid w:val="00703F9F"/>
    <w:rsid w:val="007040E6"/>
    <w:rsid w:val="007044BB"/>
    <w:rsid w:val="00704F73"/>
    <w:rsid w:val="00705306"/>
    <w:rsid w:val="007053A6"/>
    <w:rsid w:val="007054E5"/>
    <w:rsid w:val="00705812"/>
    <w:rsid w:val="00706076"/>
    <w:rsid w:val="007060FC"/>
    <w:rsid w:val="00706625"/>
    <w:rsid w:val="0070690C"/>
    <w:rsid w:val="00706952"/>
    <w:rsid w:val="00706B0E"/>
    <w:rsid w:val="00706B40"/>
    <w:rsid w:val="00706C63"/>
    <w:rsid w:val="00706FC4"/>
    <w:rsid w:val="007073B1"/>
    <w:rsid w:val="0070768C"/>
    <w:rsid w:val="007076E6"/>
    <w:rsid w:val="00707D18"/>
    <w:rsid w:val="00707F91"/>
    <w:rsid w:val="00710129"/>
    <w:rsid w:val="00710736"/>
    <w:rsid w:val="00710F1F"/>
    <w:rsid w:val="007112F8"/>
    <w:rsid w:val="007114DD"/>
    <w:rsid w:val="00711AB9"/>
    <w:rsid w:val="00711E02"/>
    <w:rsid w:val="0071226A"/>
    <w:rsid w:val="007122DA"/>
    <w:rsid w:val="00712475"/>
    <w:rsid w:val="0071247C"/>
    <w:rsid w:val="0071255A"/>
    <w:rsid w:val="00712622"/>
    <w:rsid w:val="007126B1"/>
    <w:rsid w:val="007127A2"/>
    <w:rsid w:val="007127A3"/>
    <w:rsid w:val="007129D9"/>
    <w:rsid w:val="00712C57"/>
    <w:rsid w:val="00712F2D"/>
    <w:rsid w:val="00713515"/>
    <w:rsid w:val="00713587"/>
    <w:rsid w:val="0071385C"/>
    <w:rsid w:val="007138DE"/>
    <w:rsid w:val="00713970"/>
    <w:rsid w:val="00714A31"/>
    <w:rsid w:val="00714A43"/>
    <w:rsid w:val="007150B0"/>
    <w:rsid w:val="007155A6"/>
    <w:rsid w:val="00715797"/>
    <w:rsid w:val="00715A9A"/>
    <w:rsid w:val="00715B97"/>
    <w:rsid w:val="00716314"/>
    <w:rsid w:val="00716813"/>
    <w:rsid w:val="00716926"/>
    <w:rsid w:val="00716979"/>
    <w:rsid w:val="00716A08"/>
    <w:rsid w:val="00716B77"/>
    <w:rsid w:val="00716CF5"/>
    <w:rsid w:val="00717224"/>
    <w:rsid w:val="0071732C"/>
    <w:rsid w:val="00717392"/>
    <w:rsid w:val="007175CC"/>
    <w:rsid w:val="007177D8"/>
    <w:rsid w:val="007177D9"/>
    <w:rsid w:val="0071796A"/>
    <w:rsid w:val="00717D89"/>
    <w:rsid w:val="00717EA3"/>
    <w:rsid w:val="00720157"/>
    <w:rsid w:val="007201AB"/>
    <w:rsid w:val="007207F3"/>
    <w:rsid w:val="00720953"/>
    <w:rsid w:val="00720992"/>
    <w:rsid w:val="007209F3"/>
    <w:rsid w:val="00720B6F"/>
    <w:rsid w:val="00720BAA"/>
    <w:rsid w:val="00720BFD"/>
    <w:rsid w:val="00720D83"/>
    <w:rsid w:val="00721020"/>
    <w:rsid w:val="00721163"/>
    <w:rsid w:val="00721572"/>
    <w:rsid w:val="007217D3"/>
    <w:rsid w:val="007219BF"/>
    <w:rsid w:val="00721ACB"/>
    <w:rsid w:val="00721BAF"/>
    <w:rsid w:val="00721D1C"/>
    <w:rsid w:val="00721DC7"/>
    <w:rsid w:val="00721DDE"/>
    <w:rsid w:val="00721E02"/>
    <w:rsid w:val="00721F29"/>
    <w:rsid w:val="00722140"/>
    <w:rsid w:val="007222B1"/>
    <w:rsid w:val="007224BD"/>
    <w:rsid w:val="0072282B"/>
    <w:rsid w:val="0072283D"/>
    <w:rsid w:val="00722A36"/>
    <w:rsid w:val="00722D3C"/>
    <w:rsid w:val="00722F29"/>
    <w:rsid w:val="0072339E"/>
    <w:rsid w:val="007233C9"/>
    <w:rsid w:val="0072350A"/>
    <w:rsid w:val="00723619"/>
    <w:rsid w:val="007237C3"/>
    <w:rsid w:val="00723859"/>
    <w:rsid w:val="00723D05"/>
    <w:rsid w:val="00723D0A"/>
    <w:rsid w:val="00723F44"/>
    <w:rsid w:val="00724316"/>
    <w:rsid w:val="0072440D"/>
    <w:rsid w:val="0072472F"/>
    <w:rsid w:val="007249C7"/>
    <w:rsid w:val="00724CC7"/>
    <w:rsid w:val="00724DE0"/>
    <w:rsid w:val="00724E42"/>
    <w:rsid w:val="007250E5"/>
    <w:rsid w:val="00725157"/>
    <w:rsid w:val="00725267"/>
    <w:rsid w:val="007254F6"/>
    <w:rsid w:val="00725838"/>
    <w:rsid w:val="00725D0B"/>
    <w:rsid w:val="00725E6B"/>
    <w:rsid w:val="007262BD"/>
    <w:rsid w:val="00726414"/>
    <w:rsid w:val="007265FA"/>
    <w:rsid w:val="0072697C"/>
    <w:rsid w:val="00726997"/>
    <w:rsid w:val="00726A2C"/>
    <w:rsid w:val="00726F50"/>
    <w:rsid w:val="00726FA4"/>
    <w:rsid w:val="007276BE"/>
    <w:rsid w:val="00727856"/>
    <w:rsid w:val="00727AD4"/>
    <w:rsid w:val="00727BD2"/>
    <w:rsid w:val="00730286"/>
    <w:rsid w:val="007306DC"/>
    <w:rsid w:val="007309B3"/>
    <w:rsid w:val="00730B20"/>
    <w:rsid w:val="00730C79"/>
    <w:rsid w:val="007312CA"/>
    <w:rsid w:val="007317E5"/>
    <w:rsid w:val="0073183B"/>
    <w:rsid w:val="00731859"/>
    <w:rsid w:val="007318DD"/>
    <w:rsid w:val="00731D48"/>
    <w:rsid w:val="00731DB2"/>
    <w:rsid w:val="00732583"/>
    <w:rsid w:val="00732779"/>
    <w:rsid w:val="00732854"/>
    <w:rsid w:val="00732C89"/>
    <w:rsid w:val="00732C99"/>
    <w:rsid w:val="00732DFE"/>
    <w:rsid w:val="00732FCA"/>
    <w:rsid w:val="007330EB"/>
    <w:rsid w:val="007334CA"/>
    <w:rsid w:val="007334CC"/>
    <w:rsid w:val="007335B6"/>
    <w:rsid w:val="007336DE"/>
    <w:rsid w:val="007339E1"/>
    <w:rsid w:val="0073402E"/>
    <w:rsid w:val="00734033"/>
    <w:rsid w:val="007344BB"/>
    <w:rsid w:val="007346F5"/>
    <w:rsid w:val="0073489F"/>
    <w:rsid w:val="007349EC"/>
    <w:rsid w:val="00734C92"/>
    <w:rsid w:val="00734ED8"/>
    <w:rsid w:val="007352FB"/>
    <w:rsid w:val="0073538B"/>
    <w:rsid w:val="00735467"/>
    <w:rsid w:val="007354B7"/>
    <w:rsid w:val="00735528"/>
    <w:rsid w:val="00735A18"/>
    <w:rsid w:val="00735BA3"/>
    <w:rsid w:val="00736037"/>
    <w:rsid w:val="0073605C"/>
    <w:rsid w:val="007364DE"/>
    <w:rsid w:val="007365B7"/>
    <w:rsid w:val="00736924"/>
    <w:rsid w:val="00736971"/>
    <w:rsid w:val="00736A21"/>
    <w:rsid w:val="007371C1"/>
    <w:rsid w:val="007371F5"/>
    <w:rsid w:val="007373D9"/>
    <w:rsid w:val="00737595"/>
    <w:rsid w:val="00737925"/>
    <w:rsid w:val="00737C55"/>
    <w:rsid w:val="00737D5E"/>
    <w:rsid w:val="0074002E"/>
    <w:rsid w:val="00740045"/>
    <w:rsid w:val="007401CE"/>
    <w:rsid w:val="00740260"/>
    <w:rsid w:val="0074028F"/>
    <w:rsid w:val="007402F4"/>
    <w:rsid w:val="007408F6"/>
    <w:rsid w:val="00740B5A"/>
    <w:rsid w:val="00740DCF"/>
    <w:rsid w:val="0074107F"/>
    <w:rsid w:val="0074122F"/>
    <w:rsid w:val="00741684"/>
    <w:rsid w:val="00741714"/>
    <w:rsid w:val="007417A9"/>
    <w:rsid w:val="0074188B"/>
    <w:rsid w:val="007418E5"/>
    <w:rsid w:val="00741A20"/>
    <w:rsid w:val="00741B43"/>
    <w:rsid w:val="00741F41"/>
    <w:rsid w:val="00741FFB"/>
    <w:rsid w:val="00742016"/>
    <w:rsid w:val="00742242"/>
    <w:rsid w:val="00742245"/>
    <w:rsid w:val="007423BB"/>
    <w:rsid w:val="00742666"/>
    <w:rsid w:val="00742862"/>
    <w:rsid w:val="00742B32"/>
    <w:rsid w:val="00743169"/>
    <w:rsid w:val="0074338A"/>
    <w:rsid w:val="00743682"/>
    <w:rsid w:val="00743964"/>
    <w:rsid w:val="007439D0"/>
    <w:rsid w:val="00743A8A"/>
    <w:rsid w:val="00743B3A"/>
    <w:rsid w:val="00743EFB"/>
    <w:rsid w:val="00743FA6"/>
    <w:rsid w:val="00744A81"/>
    <w:rsid w:val="00744AF4"/>
    <w:rsid w:val="00744C07"/>
    <w:rsid w:val="00744EE4"/>
    <w:rsid w:val="007457BD"/>
    <w:rsid w:val="0074586F"/>
    <w:rsid w:val="007459BF"/>
    <w:rsid w:val="007459EB"/>
    <w:rsid w:val="00745A65"/>
    <w:rsid w:val="00745CA3"/>
    <w:rsid w:val="00745D71"/>
    <w:rsid w:val="0074607B"/>
    <w:rsid w:val="007460AE"/>
    <w:rsid w:val="00746214"/>
    <w:rsid w:val="007463AA"/>
    <w:rsid w:val="00746512"/>
    <w:rsid w:val="007468D5"/>
    <w:rsid w:val="007469E9"/>
    <w:rsid w:val="00746F46"/>
    <w:rsid w:val="007471F8"/>
    <w:rsid w:val="00747516"/>
    <w:rsid w:val="0074755D"/>
    <w:rsid w:val="007476F0"/>
    <w:rsid w:val="00747949"/>
    <w:rsid w:val="00747BB2"/>
    <w:rsid w:val="00747D86"/>
    <w:rsid w:val="00747E51"/>
    <w:rsid w:val="00750897"/>
    <w:rsid w:val="00750981"/>
    <w:rsid w:val="00750C2F"/>
    <w:rsid w:val="00750D2E"/>
    <w:rsid w:val="00751098"/>
    <w:rsid w:val="0075111B"/>
    <w:rsid w:val="007513EE"/>
    <w:rsid w:val="00751B89"/>
    <w:rsid w:val="00751B8F"/>
    <w:rsid w:val="00751C7C"/>
    <w:rsid w:val="00751F34"/>
    <w:rsid w:val="0075295E"/>
    <w:rsid w:val="007529BE"/>
    <w:rsid w:val="00752ACF"/>
    <w:rsid w:val="00752E3A"/>
    <w:rsid w:val="00752E8D"/>
    <w:rsid w:val="00752E92"/>
    <w:rsid w:val="00752EC6"/>
    <w:rsid w:val="00752FB3"/>
    <w:rsid w:val="00752FD3"/>
    <w:rsid w:val="007532EE"/>
    <w:rsid w:val="007536E9"/>
    <w:rsid w:val="0075393B"/>
    <w:rsid w:val="00753A31"/>
    <w:rsid w:val="00754589"/>
    <w:rsid w:val="00754A28"/>
    <w:rsid w:val="00754F4E"/>
    <w:rsid w:val="00754F9F"/>
    <w:rsid w:val="00755089"/>
    <w:rsid w:val="00755223"/>
    <w:rsid w:val="00755262"/>
    <w:rsid w:val="007555BA"/>
    <w:rsid w:val="007555DD"/>
    <w:rsid w:val="007555F5"/>
    <w:rsid w:val="00755851"/>
    <w:rsid w:val="00755F22"/>
    <w:rsid w:val="00755FD6"/>
    <w:rsid w:val="00755FF4"/>
    <w:rsid w:val="007560B5"/>
    <w:rsid w:val="00756393"/>
    <w:rsid w:val="00756B24"/>
    <w:rsid w:val="00756D40"/>
    <w:rsid w:val="00756D44"/>
    <w:rsid w:val="00756D82"/>
    <w:rsid w:val="00756E5D"/>
    <w:rsid w:val="00756FC0"/>
    <w:rsid w:val="007571F0"/>
    <w:rsid w:val="0075728D"/>
    <w:rsid w:val="00757377"/>
    <w:rsid w:val="007577C1"/>
    <w:rsid w:val="00757A21"/>
    <w:rsid w:val="00757B34"/>
    <w:rsid w:val="00757ED3"/>
    <w:rsid w:val="00757EF0"/>
    <w:rsid w:val="00757FDF"/>
    <w:rsid w:val="00760136"/>
    <w:rsid w:val="0076014D"/>
    <w:rsid w:val="007602D0"/>
    <w:rsid w:val="007604D5"/>
    <w:rsid w:val="007604FB"/>
    <w:rsid w:val="007606EE"/>
    <w:rsid w:val="00760711"/>
    <w:rsid w:val="00760715"/>
    <w:rsid w:val="0076073F"/>
    <w:rsid w:val="00760F11"/>
    <w:rsid w:val="0076101C"/>
    <w:rsid w:val="00761116"/>
    <w:rsid w:val="00761227"/>
    <w:rsid w:val="0076146C"/>
    <w:rsid w:val="00761660"/>
    <w:rsid w:val="00761894"/>
    <w:rsid w:val="007618B1"/>
    <w:rsid w:val="00761949"/>
    <w:rsid w:val="0076198B"/>
    <w:rsid w:val="00761B7E"/>
    <w:rsid w:val="00761CEB"/>
    <w:rsid w:val="00762031"/>
    <w:rsid w:val="007620CF"/>
    <w:rsid w:val="0076227B"/>
    <w:rsid w:val="00762364"/>
    <w:rsid w:val="0076237E"/>
    <w:rsid w:val="0076238A"/>
    <w:rsid w:val="007623B8"/>
    <w:rsid w:val="007629C0"/>
    <w:rsid w:val="00762A95"/>
    <w:rsid w:val="00762B54"/>
    <w:rsid w:val="00762D6F"/>
    <w:rsid w:val="00763648"/>
    <w:rsid w:val="007636BD"/>
    <w:rsid w:val="00763CB7"/>
    <w:rsid w:val="00763F2D"/>
    <w:rsid w:val="00764135"/>
    <w:rsid w:val="00764194"/>
    <w:rsid w:val="0076445A"/>
    <w:rsid w:val="0076446C"/>
    <w:rsid w:val="00764490"/>
    <w:rsid w:val="007646AC"/>
    <w:rsid w:val="00764A6D"/>
    <w:rsid w:val="00764C3D"/>
    <w:rsid w:val="0076569D"/>
    <w:rsid w:val="00765A1B"/>
    <w:rsid w:val="00765A2E"/>
    <w:rsid w:val="00765C5D"/>
    <w:rsid w:val="00765ECF"/>
    <w:rsid w:val="00765FE6"/>
    <w:rsid w:val="0076612F"/>
    <w:rsid w:val="0076642C"/>
    <w:rsid w:val="0076647C"/>
    <w:rsid w:val="00766491"/>
    <w:rsid w:val="007664B8"/>
    <w:rsid w:val="00766609"/>
    <w:rsid w:val="0076685D"/>
    <w:rsid w:val="0076687C"/>
    <w:rsid w:val="00766F38"/>
    <w:rsid w:val="00767474"/>
    <w:rsid w:val="007675D8"/>
    <w:rsid w:val="0076768E"/>
    <w:rsid w:val="007676E5"/>
    <w:rsid w:val="00767700"/>
    <w:rsid w:val="0076771A"/>
    <w:rsid w:val="00767D35"/>
    <w:rsid w:val="00767E15"/>
    <w:rsid w:val="00767FD9"/>
    <w:rsid w:val="007700F8"/>
    <w:rsid w:val="007703E0"/>
    <w:rsid w:val="00770D59"/>
    <w:rsid w:val="00770D71"/>
    <w:rsid w:val="007713FB"/>
    <w:rsid w:val="00771AE2"/>
    <w:rsid w:val="00771BFA"/>
    <w:rsid w:val="00771C6C"/>
    <w:rsid w:val="00771D80"/>
    <w:rsid w:val="00771E2B"/>
    <w:rsid w:val="007721A7"/>
    <w:rsid w:val="007721DC"/>
    <w:rsid w:val="00772257"/>
    <w:rsid w:val="00772356"/>
    <w:rsid w:val="007725AF"/>
    <w:rsid w:val="007726A9"/>
    <w:rsid w:val="00772723"/>
    <w:rsid w:val="007728C1"/>
    <w:rsid w:val="00772BB8"/>
    <w:rsid w:val="00772E41"/>
    <w:rsid w:val="00772FCF"/>
    <w:rsid w:val="0077313D"/>
    <w:rsid w:val="007735A3"/>
    <w:rsid w:val="007735FD"/>
    <w:rsid w:val="0077367E"/>
    <w:rsid w:val="007736A6"/>
    <w:rsid w:val="00773830"/>
    <w:rsid w:val="007738D3"/>
    <w:rsid w:val="00773FF9"/>
    <w:rsid w:val="00774581"/>
    <w:rsid w:val="00774779"/>
    <w:rsid w:val="00774A0D"/>
    <w:rsid w:val="00774AAA"/>
    <w:rsid w:val="00774FCC"/>
    <w:rsid w:val="0077510C"/>
    <w:rsid w:val="00775284"/>
    <w:rsid w:val="00775886"/>
    <w:rsid w:val="00775934"/>
    <w:rsid w:val="00775974"/>
    <w:rsid w:val="00775CBC"/>
    <w:rsid w:val="00775F0A"/>
    <w:rsid w:val="00776257"/>
    <w:rsid w:val="007762E2"/>
    <w:rsid w:val="00776B7F"/>
    <w:rsid w:val="00776DA5"/>
    <w:rsid w:val="0077711A"/>
    <w:rsid w:val="007773AE"/>
    <w:rsid w:val="00777789"/>
    <w:rsid w:val="0077778C"/>
    <w:rsid w:val="00777CD2"/>
    <w:rsid w:val="00777D1A"/>
    <w:rsid w:val="00777E6D"/>
    <w:rsid w:val="00777FA6"/>
    <w:rsid w:val="00777FCC"/>
    <w:rsid w:val="00780084"/>
    <w:rsid w:val="007802F9"/>
    <w:rsid w:val="00780541"/>
    <w:rsid w:val="00780617"/>
    <w:rsid w:val="007807F3"/>
    <w:rsid w:val="007809B8"/>
    <w:rsid w:val="007809E7"/>
    <w:rsid w:val="00780BB3"/>
    <w:rsid w:val="00780D9E"/>
    <w:rsid w:val="00780E0B"/>
    <w:rsid w:val="00780E5D"/>
    <w:rsid w:val="007813C1"/>
    <w:rsid w:val="00781408"/>
    <w:rsid w:val="007814AB"/>
    <w:rsid w:val="007814F2"/>
    <w:rsid w:val="0078189F"/>
    <w:rsid w:val="00781BEF"/>
    <w:rsid w:val="00781C13"/>
    <w:rsid w:val="00781C96"/>
    <w:rsid w:val="00781EA9"/>
    <w:rsid w:val="007820BF"/>
    <w:rsid w:val="00782305"/>
    <w:rsid w:val="00782599"/>
    <w:rsid w:val="0078262A"/>
    <w:rsid w:val="00782A7E"/>
    <w:rsid w:val="00782D4D"/>
    <w:rsid w:val="00782D7F"/>
    <w:rsid w:val="00782EE3"/>
    <w:rsid w:val="007830A6"/>
    <w:rsid w:val="00783197"/>
    <w:rsid w:val="007834F3"/>
    <w:rsid w:val="00783A1E"/>
    <w:rsid w:val="00783B53"/>
    <w:rsid w:val="00784389"/>
    <w:rsid w:val="0078476D"/>
    <w:rsid w:val="007847CD"/>
    <w:rsid w:val="00784840"/>
    <w:rsid w:val="007848DC"/>
    <w:rsid w:val="00784C02"/>
    <w:rsid w:val="00784C1B"/>
    <w:rsid w:val="00784D6E"/>
    <w:rsid w:val="00784D76"/>
    <w:rsid w:val="00784E22"/>
    <w:rsid w:val="00784FC2"/>
    <w:rsid w:val="00785562"/>
    <w:rsid w:val="00785A27"/>
    <w:rsid w:val="00785F6D"/>
    <w:rsid w:val="0078618C"/>
    <w:rsid w:val="0078660B"/>
    <w:rsid w:val="00786A73"/>
    <w:rsid w:val="00786ACC"/>
    <w:rsid w:val="00786B12"/>
    <w:rsid w:val="00786CE9"/>
    <w:rsid w:val="00786D0E"/>
    <w:rsid w:val="00786D77"/>
    <w:rsid w:val="00787634"/>
    <w:rsid w:val="0078784E"/>
    <w:rsid w:val="00787999"/>
    <w:rsid w:val="0079035A"/>
    <w:rsid w:val="007906A1"/>
    <w:rsid w:val="007906F9"/>
    <w:rsid w:val="007907BA"/>
    <w:rsid w:val="00790A2F"/>
    <w:rsid w:val="00790E92"/>
    <w:rsid w:val="0079139D"/>
    <w:rsid w:val="00791536"/>
    <w:rsid w:val="007915C8"/>
    <w:rsid w:val="007915DD"/>
    <w:rsid w:val="0079198A"/>
    <w:rsid w:val="00791AC8"/>
    <w:rsid w:val="00791EB0"/>
    <w:rsid w:val="00792201"/>
    <w:rsid w:val="0079224B"/>
    <w:rsid w:val="0079229A"/>
    <w:rsid w:val="0079230E"/>
    <w:rsid w:val="00792514"/>
    <w:rsid w:val="007925DE"/>
    <w:rsid w:val="00792683"/>
    <w:rsid w:val="007926C8"/>
    <w:rsid w:val="007926E9"/>
    <w:rsid w:val="00792813"/>
    <w:rsid w:val="00792AAC"/>
    <w:rsid w:val="00792CC7"/>
    <w:rsid w:val="00792D38"/>
    <w:rsid w:val="0079348E"/>
    <w:rsid w:val="007935C4"/>
    <w:rsid w:val="007936A6"/>
    <w:rsid w:val="007936F3"/>
    <w:rsid w:val="00793884"/>
    <w:rsid w:val="00793CBF"/>
    <w:rsid w:val="00794503"/>
    <w:rsid w:val="007946CE"/>
    <w:rsid w:val="00794740"/>
    <w:rsid w:val="007948B5"/>
    <w:rsid w:val="007949EC"/>
    <w:rsid w:val="00794BA7"/>
    <w:rsid w:val="00794F8E"/>
    <w:rsid w:val="00794FD6"/>
    <w:rsid w:val="00795330"/>
    <w:rsid w:val="007954DA"/>
    <w:rsid w:val="007959A9"/>
    <w:rsid w:val="007959D7"/>
    <w:rsid w:val="00795AC3"/>
    <w:rsid w:val="00795AD3"/>
    <w:rsid w:val="00795BEE"/>
    <w:rsid w:val="007962E0"/>
    <w:rsid w:val="00796386"/>
    <w:rsid w:val="007966B4"/>
    <w:rsid w:val="00796862"/>
    <w:rsid w:val="00796CFC"/>
    <w:rsid w:val="00796D4B"/>
    <w:rsid w:val="00797165"/>
    <w:rsid w:val="007974B1"/>
    <w:rsid w:val="00797545"/>
    <w:rsid w:val="007975F5"/>
    <w:rsid w:val="00797701"/>
    <w:rsid w:val="00797CF0"/>
    <w:rsid w:val="00797F43"/>
    <w:rsid w:val="007A055C"/>
    <w:rsid w:val="007A0767"/>
    <w:rsid w:val="007A0928"/>
    <w:rsid w:val="007A0C8F"/>
    <w:rsid w:val="007A0D76"/>
    <w:rsid w:val="007A0EE2"/>
    <w:rsid w:val="007A111B"/>
    <w:rsid w:val="007A1381"/>
    <w:rsid w:val="007A16F4"/>
    <w:rsid w:val="007A194E"/>
    <w:rsid w:val="007A19B2"/>
    <w:rsid w:val="007A19E0"/>
    <w:rsid w:val="007A1D46"/>
    <w:rsid w:val="007A2072"/>
    <w:rsid w:val="007A2162"/>
    <w:rsid w:val="007A216C"/>
    <w:rsid w:val="007A242A"/>
    <w:rsid w:val="007A2553"/>
    <w:rsid w:val="007A2A37"/>
    <w:rsid w:val="007A2E2A"/>
    <w:rsid w:val="007A3364"/>
    <w:rsid w:val="007A3CC4"/>
    <w:rsid w:val="007A3D28"/>
    <w:rsid w:val="007A3FE3"/>
    <w:rsid w:val="007A4074"/>
    <w:rsid w:val="007A41F4"/>
    <w:rsid w:val="007A44F7"/>
    <w:rsid w:val="007A476B"/>
    <w:rsid w:val="007A483E"/>
    <w:rsid w:val="007A4DE6"/>
    <w:rsid w:val="007A4E7D"/>
    <w:rsid w:val="007A518E"/>
    <w:rsid w:val="007A51C1"/>
    <w:rsid w:val="007A55C4"/>
    <w:rsid w:val="007A55F4"/>
    <w:rsid w:val="007A5738"/>
    <w:rsid w:val="007A573A"/>
    <w:rsid w:val="007A58E0"/>
    <w:rsid w:val="007A5B85"/>
    <w:rsid w:val="007A5D89"/>
    <w:rsid w:val="007A5EEB"/>
    <w:rsid w:val="007A5F26"/>
    <w:rsid w:val="007A60E5"/>
    <w:rsid w:val="007A64CF"/>
    <w:rsid w:val="007A654B"/>
    <w:rsid w:val="007A6708"/>
    <w:rsid w:val="007A685F"/>
    <w:rsid w:val="007A6ED6"/>
    <w:rsid w:val="007A71D7"/>
    <w:rsid w:val="007A7600"/>
    <w:rsid w:val="007A7960"/>
    <w:rsid w:val="007B0002"/>
    <w:rsid w:val="007B017D"/>
    <w:rsid w:val="007B01AF"/>
    <w:rsid w:val="007B075C"/>
    <w:rsid w:val="007B083D"/>
    <w:rsid w:val="007B09B4"/>
    <w:rsid w:val="007B09D1"/>
    <w:rsid w:val="007B1265"/>
    <w:rsid w:val="007B1A21"/>
    <w:rsid w:val="007B1ACD"/>
    <w:rsid w:val="007B1C0B"/>
    <w:rsid w:val="007B1DF1"/>
    <w:rsid w:val="007B21B1"/>
    <w:rsid w:val="007B234D"/>
    <w:rsid w:val="007B2840"/>
    <w:rsid w:val="007B28B4"/>
    <w:rsid w:val="007B2980"/>
    <w:rsid w:val="007B2E6D"/>
    <w:rsid w:val="007B2E7A"/>
    <w:rsid w:val="007B2FDF"/>
    <w:rsid w:val="007B30EA"/>
    <w:rsid w:val="007B33D2"/>
    <w:rsid w:val="007B354B"/>
    <w:rsid w:val="007B3A86"/>
    <w:rsid w:val="007B3DE7"/>
    <w:rsid w:val="007B3E51"/>
    <w:rsid w:val="007B4246"/>
    <w:rsid w:val="007B43A1"/>
    <w:rsid w:val="007B4499"/>
    <w:rsid w:val="007B473D"/>
    <w:rsid w:val="007B49B9"/>
    <w:rsid w:val="007B4BFD"/>
    <w:rsid w:val="007B5366"/>
    <w:rsid w:val="007B5419"/>
    <w:rsid w:val="007B544B"/>
    <w:rsid w:val="007B55D0"/>
    <w:rsid w:val="007B58B3"/>
    <w:rsid w:val="007B5B06"/>
    <w:rsid w:val="007B5E6F"/>
    <w:rsid w:val="007B5F7A"/>
    <w:rsid w:val="007B6199"/>
    <w:rsid w:val="007B63AE"/>
    <w:rsid w:val="007B677E"/>
    <w:rsid w:val="007B690E"/>
    <w:rsid w:val="007B6AAE"/>
    <w:rsid w:val="007B6C4C"/>
    <w:rsid w:val="007B6F26"/>
    <w:rsid w:val="007B7279"/>
    <w:rsid w:val="007B7837"/>
    <w:rsid w:val="007B7A69"/>
    <w:rsid w:val="007B7DF3"/>
    <w:rsid w:val="007B7E46"/>
    <w:rsid w:val="007B7F1B"/>
    <w:rsid w:val="007C056D"/>
    <w:rsid w:val="007C05EB"/>
    <w:rsid w:val="007C0F4F"/>
    <w:rsid w:val="007C1743"/>
    <w:rsid w:val="007C18F7"/>
    <w:rsid w:val="007C1AA2"/>
    <w:rsid w:val="007C1F3A"/>
    <w:rsid w:val="007C2114"/>
    <w:rsid w:val="007C231D"/>
    <w:rsid w:val="007C23AE"/>
    <w:rsid w:val="007C261E"/>
    <w:rsid w:val="007C2806"/>
    <w:rsid w:val="007C2AEF"/>
    <w:rsid w:val="007C2DEB"/>
    <w:rsid w:val="007C34BA"/>
    <w:rsid w:val="007C3946"/>
    <w:rsid w:val="007C3A53"/>
    <w:rsid w:val="007C3A83"/>
    <w:rsid w:val="007C3C2C"/>
    <w:rsid w:val="007C4201"/>
    <w:rsid w:val="007C463C"/>
    <w:rsid w:val="007C46BA"/>
    <w:rsid w:val="007C4ABD"/>
    <w:rsid w:val="007C4B44"/>
    <w:rsid w:val="007C5273"/>
    <w:rsid w:val="007C59EB"/>
    <w:rsid w:val="007C5A14"/>
    <w:rsid w:val="007C5C83"/>
    <w:rsid w:val="007C5D8A"/>
    <w:rsid w:val="007C6321"/>
    <w:rsid w:val="007C662A"/>
    <w:rsid w:val="007C66AF"/>
    <w:rsid w:val="007C6958"/>
    <w:rsid w:val="007C6A21"/>
    <w:rsid w:val="007C6AAA"/>
    <w:rsid w:val="007C708A"/>
    <w:rsid w:val="007C70D1"/>
    <w:rsid w:val="007C7680"/>
    <w:rsid w:val="007C7D92"/>
    <w:rsid w:val="007D00FA"/>
    <w:rsid w:val="007D014E"/>
    <w:rsid w:val="007D022D"/>
    <w:rsid w:val="007D03AC"/>
    <w:rsid w:val="007D0527"/>
    <w:rsid w:val="007D0846"/>
    <w:rsid w:val="007D0C47"/>
    <w:rsid w:val="007D0D50"/>
    <w:rsid w:val="007D0DD4"/>
    <w:rsid w:val="007D0EF7"/>
    <w:rsid w:val="007D16FF"/>
    <w:rsid w:val="007D1A42"/>
    <w:rsid w:val="007D1A5A"/>
    <w:rsid w:val="007D1AFC"/>
    <w:rsid w:val="007D1DE9"/>
    <w:rsid w:val="007D221D"/>
    <w:rsid w:val="007D269C"/>
    <w:rsid w:val="007D26D0"/>
    <w:rsid w:val="007D2B58"/>
    <w:rsid w:val="007D2B94"/>
    <w:rsid w:val="007D2CAF"/>
    <w:rsid w:val="007D31A0"/>
    <w:rsid w:val="007D34B9"/>
    <w:rsid w:val="007D35B2"/>
    <w:rsid w:val="007D3AEC"/>
    <w:rsid w:val="007D3FD8"/>
    <w:rsid w:val="007D4DC3"/>
    <w:rsid w:val="007D50FE"/>
    <w:rsid w:val="007D5181"/>
    <w:rsid w:val="007D5317"/>
    <w:rsid w:val="007D5450"/>
    <w:rsid w:val="007D573B"/>
    <w:rsid w:val="007D57F6"/>
    <w:rsid w:val="007D5967"/>
    <w:rsid w:val="007D5E26"/>
    <w:rsid w:val="007D5F56"/>
    <w:rsid w:val="007D602B"/>
    <w:rsid w:val="007D61E4"/>
    <w:rsid w:val="007D628A"/>
    <w:rsid w:val="007D62B4"/>
    <w:rsid w:val="007D64D8"/>
    <w:rsid w:val="007D67A4"/>
    <w:rsid w:val="007D69BC"/>
    <w:rsid w:val="007D6AFB"/>
    <w:rsid w:val="007D6BAA"/>
    <w:rsid w:val="007D6FC8"/>
    <w:rsid w:val="007D7175"/>
    <w:rsid w:val="007D73E1"/>
    <w:rsid w:val="007D769B"/>
    <w:rsid w:val="007D76AE"/>
    <w:rsid w:val="007D77C7"/>
    <w:rsid w:val="007D78A9"/>
    <w:rsid w:val="007D7CC8"/>
    <w:rsid w:val="007E0349"/>
    <w:rsid w:val="007E0432"/>
    <w:rsid w:val="007E0597"/>
    <w:rsid w:val="007E069D"/>
    <w:rsid w:val="007E0BC4"/>
    <w:rsid w:val="007E0F92"/>
    <w:rsid w:val="007E122B"/>
    <w:rsid w:val="007E1915"/>
    <w:rsid w:val="007E2202"/>
    <w:rsid w:val="007E249B"/>
    <w:rsid w:val="007E2590"/>
    <w:rsid w:val="007E2756"/>
    <w:rsid w:val="007E2770"/>
    <w:rsid w:val="007E288F"/>
    <w:rsid w:val="007E2A73"/>
    <w:rsid w:val="007E2E46"/>
    <w:rsid w:val="007E2F5A"/>
    <w:rsid w:val="007E320E"/>
    <w:rsid w:val="007E340D"/>
    <w:rsid w:val="007E3484"/>
    <w:rsid w:val="007E3713"/>
    <w:rsid w:val="007E3982"/>
    <w:rsid w:val="007E4176"/>
    <w:rsid w:val="007E41A5"/>
    <w:rsid w:val="007E4646"/>
    <w:rsid w:val="007E4795"/>
    <w:rsid w:val="007E48FD"/>
    <w:rsid w:val="007E4EB3"/>
    <w:rsid w:val="007E4EE6"/>
    <w:rsid w:val="007E5099"/>
    <w:rsid w:val="007E50C5"/>
    <w:rsid w:val="007E55BE"/>
    <w:rsid w:val="007E5A5A"/>
    <w:rsid w:val="007E5BC4"/>
    <w:rsid w:val="007E5CD4"/>
    <w:rsid w:val="007E5CE2"/>
    <w:rsid w:val="007E5D41"/>
    <w:rsid w:val="007E5E2C"/>
    <w:rsid w:val="007E5F27"/>
    <w:rsid w:val="007E6043"/>
    <w:rsid w:val="007E619E"/>
    <w:rsid w:val="007E6254"/>
    <w:rsid w:val="007E62B4"/>
    <w:rsid w:val="007E656D"/>
    <w:rsid w:val="007E65DD"/>
    <w:rsid w:val="007E66E2"/>
    <w:rsid w:val="007E67FB"/>
    <w:rsid w:val="007E6AAB"/>
    <w:rsid w:val="007E6FAA"/>
    <w:rsid w:val="007E7501"/>
    <w:rsid w:val="007E756C"/>
    <w:rsid w:val="007E7B9F"/>
    <w:rsid w:val="007E7D0D"/>
    <w:rsid w:val="007E7E1C"/>
    <w:rsid w:val="007F06E9"/>
    <w:rsid w:val="007F0776"/>
    <w:rsid w:val="007F07F4"/>
    <w:rsid w:val="007F07FD"/>
    <w:rsid w:val="007F0BF6"/>
    <w:rsid w:val="007F0CB8"/>
    <w:rsid w:val="007F0FD2"/>
    <w:rsid w:val="007F10FC"/>
    <w:rsid w:val="007F142B"/>
    <w:rsid w:val="007F190C"/>
    <w:rsid w:val="007F1911"/>
    <w:rsid w:val="007F19AA"/>
    <w:rsid w:val="007F2272"/>
    <w:rsid w:val="007F2306"/>
    <w:rsid w:val="007F26DB"/>
    <w:rsid w:val="007F2C18"/>
    <w:rsid w:val="007F2DF4"/>
    <w:rsid w:val="007F2F43"/>
    <w:rsid w:val="007F2F4D"/>
    <w:rsid w:val="007F3423"/>
    <w:rsid w:val="007F37AD"/>
    <w:rsid w:val="007F38D3"/>
    <w:rsid w:val="007F3C73"/>
    <w:rsid w:val="007F3D43"/>
    <w:rsid w:val="007F42CF"/>
    <w:rsid w:val="007F4331"/>
    <w:rsid w:val="007F48BB"/>
    <w:rsid w:val="007F48ED"/>
    <w:rsid w:val="007F4D56"/>
    <w:rsid w:val="007F4D74"/>
    <w:rsid w:val="007F4F16"/>
    <w:rsid w:val="007F53A9"/>
    <w:rsid w:val="007F55F1"/>
    <w:rsid w:val="007F57B8"/>
    <w:rsid w:val="007F594F"/>
    <w:rsid w:val="007F5C43"/>
    <w:rsid w:val="007F5D52"/>
    <w:rsid w:val="007F5EAD"/>
    <w:rsid w:val="007F5F33"/>
    <w:rsid w:val="007F67A9"/>
    <w:rsid w:val="007F691E"/>
    <w:rsid w:val="007F6E0C"/>
    <w:rsid w:val="007F727C"/>
    <w:rsid w:val="007F73E2"/>
    <w:rsid w:val="007F748F"/>
    <w:rsid w:val="007F7624"/>
    <w:rsid w:val="007F7667"/>
    <w:rsid w:val="007F76BB"/>
    <w:rsid w:val="007F7E2B"/>
    <w:rsid w:val="0080043A"/>
    <w:rsid w:val="00800555"/>
    <w:rsid w:val="008005CC"/>
    <w:rsid w:val="0080060F"/>
    <w:rsid w:val="00800797"/>
    <w:rsid w:val="00800A9C"/>
    <w:rsid w:val="00800C51"/>
    <w:rsid w:val="00800CA5"/>
    <w:rsid w:val="00800CAA"/>
    <w:rsid w:val="00800FC4"/>
    <w:rsid w:val="00801189"/>
    <w:rsid w:val="00801548"/>
    <w:rsid w:val="00801586"/>
    <w:rsid w:val="0080159E"/>
    <w:rsid w:val="008017E4"/>
    <w:rsid w:val="008019DF"/>
    <w:rsid w:val="00801A3A"/>
    <w:rsid w:val="00801E69"/>
    <w:rsid w:val="00802385"/>
    <w:rsid w:val="0080240A"/>
    <w:rsid w:val="008026E5"/>
    <w:rsid w:val="0080298A"/>
    <w:rsid w:val="0080298B"/>
    <w:rsid w:val="00802A07"/>
    <w:rsid w:val="00802C75"/>
    <w:rsid w:val="00802DA5"/>
    <w:rsid w:val="00803046"/>
    <w:rsid w:val="00803776"/>
    <w:rsid w:val="008037DB"/>
    <w:rsid w:val="008039AB"/>
    <w:rsid w:val="00803B05"/>
    <w:rsid w:val="00803B4B"/>
    <w:rsid w:val="008040B3"/>
    <w:rsid w:val="008040BC"/>
    <w:rsid w:val="008040E8"/>
    <w:rsid w:val="00804470"/>
    <w:rsid w:val="008045AD"/>
    <w:rsid w:val="008048AD"/>
    <w:rsid w:val="00804913"/>
    <w:rsid w:val="00804ABA"/>
    <w:rsid w:val="00804E79"/>
    <w:rsid w:val="0080503F"/>
    <w:rsid w:val="00805262"/>
    <w:rsid w:val="00805269"/>
    <w:rsid w:val="0080543D"/>
    <w:rsid w:val="008055A7"/>
    <w:rsid w:val="008055EA"/>
    <w:rsid w:val="0080578D"/>
    <w:rsid w:val="008058F6"/>
    <w:rsid w:val="00805C7D"/>
    <w:rsid w:val="00805FB9"/>
    <w:rsid w:val="00806141"/>
    <w:rsid w:val="00806932"/>
    <w:rsid w:val="00806B10"/>
    <w:rsid w:val="00806BF8"/>
    <w:rsid w:val="00807252"/>
    <w:rsid w:val="00807383"/>
    <w:rsid w:val="00807419"/>
    <w:rsid w:val="008076A5"/>
    <w:rsid w:val="008077B2"/>
    <w:rsid w:val="0080780B"/>
    <w:rsid w:val="008078B7"/>
    <w:rsid w:val="00807CE2"/>
    <w:rsid w:val="00807CE5"/>
    <w:rsid w:val="0081092C"/>
    <w:rsid w:val="008111F2"/>
    <w:rsid w:val="0081147E"/>
    <w:rsid w:val="00812128"/>
    <w:rsid w:val="00812176"/>
    <w:rsid w:val="0081265A"/>
    <w:rsid w:val="00812AF2"/>
    <w:rsid w:val="00812D5C"/>
    <w:rsid w:val="00812E06"/>
    <w:rsid w:val="00813274"/>
    <w:rsid w:val="00813288"/>
    <w:rsid w:val="00813315"/>
    <w:rsid w:val="008133B2"/>
    <w:rsid w:val="008136B2"/>
    <w:rsid w:val="00813804"/>
    <w:rsid w:val="00813855"/>
    <w:rsid w:val="00813888"/>
    <w:rsid w:val="008141D2"/>
    <w:rsid w:val="0081445E"/>
    <w:rsid w:val="0081457A"/>
    <w:rsid w:val="008145BC"/>
    <w:rsid w:val="00814855"/>
    <w:rsid w:val="00814AC5"/>
    <w:rsid w:val="00814AF0"/>
    <w:rsid w:val="00814D42"/>
    <w:rsid w:val="00814F0E"/>
    <w:rsid w:val="008153D9"/>
    <w:rsid w:val="00815556"/>
    <w:rsid w:val="00815A27"/>
    <w:rsid w:val="00816359"/>
    <w:rsid w:val="00816442"/>
    <w:rsid w:val="008164CF"/>
    <w:rsid w:val="0081656D"/>
    <w:rsid w:val="0081659C"/>
    <w:rsid w:val="00816884"/>
    <w:rsid w:val="00816AC6"/>
    <w:rsid w:val="00816F05"/>
    <w:rsid w:val="00817166"/>
    <w:rsid w:val="00817469"/>
    <w:rsid w:val="008174E0"/>
    <w:rsid w:val="008177C2"/>
    <w:rsid w:val="00817A33"/>
    <w:rsid w:val="00817C17"/>
    <w:rsid w:val="008200F6"/>
    <w:rsid w:val="0082043D"/>
    <w:rsid w:val="008204D5"/>
    <w:rsid w:val="008206A5"/>
    <w:rsid w:val="008208ED"/>
    <w:rsid w:val="00820AEC"/>
    <w:rsid w:val="00820B2F"/>
    <w:rsid w:val="00820CE9"/>
    <w:rsid w:val="00820D90"/>
    <w:rsid w:val="00820DC9"/>
    <w:rsid w:val="00820F3A"/>
    <w:rsid w:val="00820FC7"/>
    <w:rsid w:val="00821271"/>
    <w:rsid w:val="00821C68"/>
    <w:rsid w:val="00821C76"/>
    <w:rsid w:val="00821C8D"/>
    <w:rsid w:val="00821CA8"/>
    <w:rsid w:val="00822050"/>
    <w:rsid w:val="0082225E"/>
    <w:rsid w:val="00822425"/>
    <w:rsid w:val="0082242E"/>
    <w:rsid w:val="00822787"/>
    <w:rsid w:val="00822798"/>
    <w:rsid w:val="00822DF8"/>
    <w:rsid w:val="00822E12"/>
    <w:rsid w:val="00822F9D"/>
    <w:rsid w:val="00822FEE"/>
    <w:rsid w:val="00823010"/>
    <w:rsid w:val="0082313E"/>
    <w:rsid w:val="008232CC"/>
    <w:rsid w:val="0082343D"/>
    <w:rsid w:val="00823459"/>
    <w:rsid w:val="00823477"/>
    <w:rsid w:val="00823C26"/>
    <w:rsid w:val="00823EAE"/>
    <w:rsid w:val="00823F6F"/>
    <w:rsid w:val="00824055"/>
    <w:rsid w:val="0082405D"/>
    <w:rsid w:val="008242B4"/>
    <w:rsid w:val="00824671"/>
    <w:rsid w:val="008246B9"/>
    <w:rsid w:val="00824A4A"/>
    <w:rsid w:val="00824AF1"/>
    <w:rsid w:val="00824BE7"/>
    <w:rsid w:val="00824D37"/>
    <w:rsid w:val="00824D4D"/>
    <w:rsid w:val="00824E2F"/>
    <w:rsid w:val="00824E46"/>
    <w:rsid w:val="00825189"/>
    <w:rsid w:val="0082519E"/>
    <w:rsid w:val="008252D3"/>
    <w:rsid w:val="00825335"/>
    <w:rsid w:val="008253A1"/>
    <w:rsid w:val="008257AA"/>
    <w:rsid w:val="0082585C"/>
    <w:rsid w:val="008259D7"/>
    <w:rsid w:val="00825B33"/>
    <w:rsid w:val="00825C27"/>
    <w:rsid w:val="00825CBB"/>
    <w:rsid w:val="00825DFA"/>
    <w:rsid w:val="00825FA7"/>
    <w:rsid w:val="008263BD"/>
    <w:rsid w:val="008264D6"/>
    <w:rsid w:val="0082663A"/>
    <w:rsid w:val="008266F1"/>
    <w:rsid w:val="00826789"/>
    <w:rsid w:val="008268CA"/>
    <w:rsid w:val="00826994"/>
    <w:rsid w:val="008269A8"/>
    <w:rsid w:val="00826EB4"/>
    <w:rsid w:val="008270CD"/>
    <w:rsid w:val="008273FF"/>
    <w:rsid w:val="0082748B"/>
    <w:rsid w:val="008275F5"/>
    <w:rsid w:val="008276E7"/>
    <w:rsid w:val="00827733"/>
    <w:rsid w:val="00827924"/>
    <w:rsid w:val="00827ACF"/>
    <w:rsid w:val="00827F8D"/>
    <w:rsid w:val="00830030"/>
    <w:rsid w:val="008300C9"/>
    <w:rsid w:val="00830447"/>
    <w:rsid w:val="008304D3"/>
    <w:rsid w:val="008306D8"/>
    <w:rsid w:val="00830920"/>
    <w:rsid w:val="00830AC8"/>
    <w:rsid w:val="00830C27"/>
    <w:rsid w:val="008313BB"/>
    <w:rsid w:val="00831943"/>
    <w:rsid w:val="00831B63"/>
    <w:rsid w:val="00831BD2"/>
    <w:rsid w:val="00831E69"/>
    <w:rsid w:val="00831EFF"/>
    <w:rsid w:val="00831F1E"/>
    <w:rsid w:val="0083219B"/>
    <w:rsid w:val="0083247A"/>
    <w:rsid w:val="00832DA5"/>
    <w:rsid w:val="008331E9"/>
    <w:rsid w:val="008332FE"/>
    <w:rsid w:val="00833474"/>
    <w:rsid w:val="00833663"/>
    <w:rsid w:val="008336D4"/>
    <w:rsid w:val="00833AF4"/>
    <w:rsid w:val="00833BA9"/>
    <w:rsid w:val="00833CCA"/>
    <w:rsid w:val="00833DDE"/>
    <w:rsid w:val="0083403D"/>
    <w:rsid w:val="00834301"/>
    <w:rsid w:val="0083440F"/>
    <w:rsid w:val="00834420"/>
    <w:rsid w:val="00834505"/>
    <w:rsid w:val="008345BF"/>
    <w:rsid w:val="00834876"/>
    <w:rsid w:val="008348F3"/>
    <w:rsid w:val="00834AAD"/>
    <w:rsid w:val="00834CE9"/>
    <w:rsid w:val="00835077"/>
    <w:rsid w:val="00835635"/>
    <w:rsid w:val="0083576F"/>
    <w:rsid w:val="00835773"/>
    <w:rsid w:val="00835B17"/>
    <w:rsid w:val="00835CCC"/>
    <w:rsid w:val="00835FCE"/>
    <w:rsid w:val="0083602B"/>
    <w:rsid w:val="00836126"/>
    <w:rsid w:val="00836715"/>
    <w:rsid w:val="00836E03"/>
    <w:rsid w:val="00836F2C"/>
    <w:rsid w:val="008372A7"/>
    <w:rsid w:val="00837848"/>
    <w:rsid w:val="008379C8"/>
    <w:rsid w:val="00837D08"/>
    <w:rsid w:val="00840853"/>
    <w:rsid w:val="0084097C"/>
    <w:rsid w:val="00840AAC"/>
    <w:rsid w:val="00840B80"/>
    <w:rsid w:val="00841076"/>
    <w:rsid w:val="008416C0"/>
    <w:rsid w:val="008416F2"/>
    <w:rsid w:val="008418B1"/>
    <w:rsid w:val="008418F3"/>
    <w:rsid w:val="008419C5"/>
    <w:rsid w:val="00841BFE"/>
    <w:rsid w:val="00841C08"/>
    <w:rsid w:val="00841C7E"/>
    <w:rsid w:val="00841F59"/>
    <w:rsid w:val="00841F66"/>
    <w:rsid w:val="0084226A"/>
    <w:rsid w:val="00842BB3"/>
    <w:rsid w:val="00842F90"/>
    <w:rsid w:val="0084348B"/>
    <w:rsid w:val="00843591"/>
    <w:rsid w:val="00843761"/>
    <w:rsid w:val="008438B6"/>
    <w:rsid w:val="00843AA6"/>
    <w:rsid w:val="00843E2B"/>
    <w:rsid w:val="00843FFE"/>
    <w:rsid w:val="0084406B"/>
    <w:rsid w:val="008443BA"/>
    <w:rsid w:val="0084458D"/>
    <w:rsid w:val="00844606"/>
    <w:rsid w:val="0084467A"/>
    <w:rsid w:val="008446F6"/>
    <w:rsid w:val="00844AA5"/>
    <w:rsid w:val="008458D1"/>
    <w:rsid w:val="00845939"/>
    <w:rsid w:val="00845AEA"/>
    <w:rsid w:val="00845C2E"/>
    <w:rsid w:val="00845D3D"/>
    <w:rsid w:val="00846069"/>
    <w:rsid w:val="008460AE"/>
    <w:rsid w:val="008462C7"/>
    <w:rsid w:val="0084644F"/>
    <w:rsid w:val="008464D2"/>
    <w:rsid w:val="008465E1"/>
    <w:rsid w:val="008465E6"/>
    <w:rsid w:val="00846905"/>
    <w:rsid w:val="00846A7E"/>
    <w:rsid w:val="00847223"/>
    <w:rsid w:val="00847379"/>
    <w:rsid w:val="00847536"/>
    <w:rsid w:val="008476AA"/>
    <w:rsid w:val="008477BD"/>
    <w:rsid w:val="0084781B"/>
    <w:rsid w:val="0084791B"/>
    <w:rsid w:val="0084796D"/>
    <w:rsid w:val="00847B3A"/>
    <w:rsid w:val="00847CB1"/>
    <w:rsid w:val="00847D3B"/>
    <w:rsid w:val="00847ED7"/>
    <w:rsid w:val="00847F2D"/>
    <w:rsid w:val="008500FA"/>
    <w:rsid w:val="00850396"/>
    <w:rsid w:val="008506D0"/>
    <w:rsid w:val="00850895"/>
    <w:rsid w:val="008509E2"/>
    <w:rsid w:val="00850CC6"/>
    <w:rsid w:val="00850DEB"/>
    <w:rsid w:val="008511B7"/>
    <w:rsid w:val="008512A6"/>
    <w:rsid w:val="008513C5"/>
    <w:rsid w:val="008513EA"/>
    <w:rsid w:val="008514DE"/>
    <w:rsid w:val="008514F5"/>
    <w:rsid w:val="008517C9"/>
    <w:rsid w:val="008517EE"/>
    <w:rsid w:val="00851A99"/>
    <w:rsid w:val="00851B1C"/>
    <w:rsid w:val="00851B27"/>
    <w:rsid w:val="00851C82"/>
    <w:rsid w:val="00851ED1"/>
    <w:rsid w:val="00851F36"/>
    <w:rsid w:val="00852052"/>
    <w:rsid w:val="00852113"/>
    <w:rsid w:val="00852141"/>
    <w:rsid w:val="0085294E"/>
    <w:rsid w:val="00852A01"/>
    <w:rsid w:val="00852BFE"/>
    <w:rsid w:val="00852F8B"/>
    <w:rsid w:val="00853100"/>
    <w:rsid w:val="0085396A"/>
    <w:rsid w:val="00853A2E"/>
    <w:rsid w:val="00853BC0"/>
    <w:rsid w:val="00853D05"/>
    <w:rsid w:val="00853D12"/>
    <w:rsid w:val="00853F0F"/>
    <w:rsid w:val="00853F97"/>
    <w:rsid w:val="008540EB"/>
    <w:rsid w:val="0085431B"/>
    <w:rsid w:val="0085444A"/>
    <w:rsid w:val="008544B5"/>
    <w:rsid w:val="00854566"/>
    <w:rsid w:val="008548E0"/>
    <w:rsid w:val="00854AC2"/>
    <w:rsid w:val="00854BC0"/>
    <w:rsid w:val="00854C05"/>
    <w:rsid w:val="008558EF"/>
    <w:rsid w:val="008559A4"/>
    <w:rsid w:val="008559FD"/>
    <w:rsid w:val="00855C66"/>
    <w:rsid w:val="00855D46"/>
    <w:rsid w:val="008560CE"/>
    <w:rsid w:val="008561F9"/>
    <w:rsid w:val="00856992"/>
    <w:rsid w:val="00856A09"/>
    <w:rsid w:val="00856AA3"/>
    <w:rsid w:val="00857CF9"/>
    <w:rsid w:val="00857DEE"/>
    <w:rsid w:val="00857DF4"/>
    <w:rsid w:val="008607F2"/>
    <w:rsid w:val="00860AD4"/>
    <w:rsid w:val="00860C63"/>
    <w:rsid w:val="00860DB7"/>
    <w:rsid w:val="00860DD6"/>
    <w:rsid w:val="00860F8F"/>
    <w:rsid w:val="00860F9B"/>
    <w:rsid w:val="00861230"/>
    <w:rsid w:val="00861272"/>
    <w:rsid w:val="00861477"/>
    <w:rsid w:val="008614CA"/>
    <w:rsid w:val="0086179E"/>
    <w:rsid w:val="00862226"/>
    <w:rsid w:val="00862902"/>
    <w:rsid w:val="00862C4F"/>
    <w:rsid w:val="00862CD3"/>
    <w:rsid w:val="00862DAC"/>
    <w:rsid w:val="00862F25"/>
    <w:rsid w:val="00863378"/>
    <w:rsid w:val="008637E9"/>
    <w:rsid w:val="00863958"/>
    <w:rsid w:val="00863D7C"/>
    <w:rsid w:val="00863DF7"/>
    <w:rsid w:val="00863E90"/>
    <w:rsid w:val="00863EF6"/>
    <w:rsid w:val="0086409B"/>
    <w:rsid w:val="00864660"/>
    <w:rsid w:val="00864B33"/>
    <w:rsid w:val="00864B88"/>
    <w:rsid w:val="0086511E"/>
    <w:rsid w:val="0086530E"/>
    <w:rsid w:val="008654CA"/>
    <w:rsid w:val="00865506"/>
    <w:rsid w:val="0086566F"/>
    <w:rsid w:val="008656F8"/>
    <w:rsid w:val="008658A5"/>
    <w:rsid w:val="008658AA"/>
    <w:rsid w:val="00865D6C"/>
    <w:rsid w:val="00865DC7"/>
    <w:rsid w:val="00865FE9"/>
    <w:rsid w:val="00866341"/>
    <w:rsid w:val="00866B94"/>
    <w:rsid w:val="00866EB5"/>
    <w:rsid w:val="00866EEF"/>
    <w:rsid w:val="00867014"/>
    <w:rsid w:val="00867290"/>
    <w:rsid w:val="008672FE"/>
    <w:rsid w:val="00867459"/>
    <w:rsid w:val="00867703"/>
    <w:rsid w:val="00867833"/>
    <w:rsid w:val="00867B6F"/>
    <w:rsid w:val="00867CE1"/>
    <w:rsid w:val="00867DA2"/>
    <w:rsid w:val="00867E4D"/>
    <w:rsid w:val="00867F26"/>
    <w:rsid w:val="00867F43"/>
    <w:rsid w:val="0087007B"/>
    <w:rsid w:val="0087008C"/>
    <w:rsid w:val="008700CA"/>
    <w:rsid w:val="008701E7"/>
    <w:rsid w:val="008703C3"/>
    <w:rsid w:val="00870508"/>
    <w:rsid w:val="00870722"/>
    <w:rsid w:val="008709A1"/>
    <w:rsid w:val="00870B54"/>
    <w:rsid w:val="00870C6F"/>
    <w:rsid w:val="00870C8B"/>
    <w:rsid w:val="00870C99"/>
    <w:rsid w:val="00871095"/>
    <w:rsid w:val="0087126D"/>
    <w:rsid w:val="008714E6"/>
    <w:rsid w:val="0087151E"/>
    <w:rsid w:val="00871A9E"/>
    <w:rsid w:val="00871AF3"/>
    <w:rsid w:val="00871B95"/>
    <w:rsid w:val="00872461"/>
    <w:rsid w:val="008724E3"/>
    <w:rsid w:val="0087271B"/>
    <w:rsid w:val="00872DB3"/>
    <w:rsid w:val="00873001"/>
    <w:rsid w:val="00873068"/>
    <w:rsid w:val="0087326F"/>
    <w:rsid w:val="00873530"/>
    <w:rsid w:val="008735DD"/>
    <w:rsid w:val="008737CC"/>
    <w:rsid w:val="00873986"/>
    <w:rsid w:val="00873CDB"/>
    <w:rsid w:val="00873E43"/>
    <w:rsid w:val="00874609"/>
    <w:rsid w:val="0087490F"/>
    <w:rsid w:val="00874991"/>
    <w:rsid w:val="00874AD4"/>
    <w:rsid w:val="00874B51"/>
    <w:rsid w:val="00874DD4"/>
    <w:rsid w:val="00874E18"/>
    <w:rsid w:val="008751E6"/>
    <w:rsid w:val="0087531F"/>
    <w:rsid w:val="00875B1F"/>
    <w:rsid w:val="00875D8A"/>
    <w:rsid w:val="00875FD1"/>
    <w:rsid w:val="00875FFE"/>
    <w:rsid w:val="00876321"/>
    <w:rsid w:val="0087659D"/>
    <w:rsid w:val="00876731"/>
    <w:rsid w:val="00876797"/>
    <w:rsid w:val="008769B5"/>
    <w:rsid w:val="00876B80"/>
    <w:rsid w:val="00876E8B"/>
    <w:rsid w:val="008774C0"/>
    <w:rsid w:val="008776DF"/>
    <w:rsid w:val="00877BD5"/>
    <w:rsid w:val="00877DE5"/>
    <w:rsid w:val="00877F09"/>
    <w:rsid w:val="008802CA"/>
    <w:rsid w:val="00880355"/>
    <w:rsid w:val="0088051A"/>
    <w:rsid w:val="008807B4"/>
    <w:rsid w:val="00880834"/>
    <w:rsid w:val="00880CBB"/>
    <w:rsid w:val="00880FD7"/>
    <w:rsid w:val="0088127C"/>
    <w:rsid w:val="0088159C"/>
    <w:rsid w:val="00881887"/>
    <w:rsid w:val="008818E4"/>
    <w:rsid w:val="008819B2"/>
    <w:rsid w:val="00881D73"/>
    <w:rsid w:val="00881FA5"/>
    <w:rsid w:val="008822D5"/>
    <w:rsid w:val="00882364"/>
    <w:rsid w:val="008823A3"/>
    <w:rsid w:val="008824F9"/>
    <w:rsid w:val="008826DC"/>
    <w:rsid w:val="00882967"/>
    <w:rsid w:val="00882BE0"/>
    <w:rsid w:val="00882C14"/>
    <w:rsid w:val="00882E4B"/>
    <w:rsid w:val="00883483"/>
    <w:rsid w:val="008839E4"/>
    <w:rsid w:val="00883CA2"/>
    <w:rsid w:val="00883D38"/>
    <w:rsid w:val="00883D8A"/>
    <w:rsid w:val="00883E17"/>
    <w:rsid w:val="00884062"/>
    <w:rsid w:val="00884163"/>
    <w:rsid w:val="008842DF"/>
    <w:rsid w:val="00884465"/>
    <w:rsid w:val="0088477C"/>
    <w:rsid w:val="0088484D"/>
    <w:rsid w:val="00884A6E"/>
    <w:rsid w:val="00884CE8"/>
    <w:rsid w:val="00884EF2"/>
    <w:rsid w:val="008852AB"/>
    <w:rsid w:val="0088545A"/>
    <w:rsid w:val="00885671"/>
    <w:rsid w:val="00885D54"/>
    <w:rsid w:val="00885E17"/>
    <w:rsid w:val="008863A6"/>
    <w:rsid w:val="008865E3"/>
    <w:rsid w:val="008865F9"/>
    <w:rsid w:val="008866E0"/>
    <w:rsid w:val="00886F5E"/>
    <w:rsid w:val="008872C2"/>
    <w:rsid w:val="008872C6"/>
    <w:rsid w:val="00887CAB"/>
    <w:rsid w:val="0089021A"/>
    <w:rsid w:val="008902C1"/>
    <w:rsid w:val="00890477"/>
    <w:rsid w:val="00890481"/>
    <w:rsid w:val="00890B56"/>
    <w:rsid w:val="00890ED1"/>
    <w:rsid w:val="00891182"/>
    <w:rsid w:val="008911CD"/>
    <w:rsid w:val="00891206"/>
    <w:rsid w:val="00892250"/>
    <w:rsid w:val="008922AC"/>
    <w:rsid w:val="008922E2"/>
    <w:rsid w:val="0089248B"/>
    <w:rsid w:val="00892A3C"/>
    <w:rsid w:val="00892BFA"/>
    <w:rsid w:val="00893121"/>
    <w:rsid w:val="00893473"/>
    <w:rsid w:val="00893656"/>
    <w:rsid w:val="0089365A"/>
    <w:rsid w:val="008936EE"/>
    <w:rsid w:val="0089396D"/>
    <w:rsid w:val="008939CF"/>
    <w:rsid w:val="00893B73"/>
    <w:rsid w:val="00893CEE"/>
    <w:rsid w:val="00893D96"/>
    <w:rsid w:val="0089400A"/>
    <w:rsid w:val="00894067"/>
    <w:rsid w:val="00894301"/>
    <w:rsid w:val="008944F0"/>
    <w:rsid w:val="00894772"/>
    <w:rsid w:val="008949E8"/>
    <w:rsid w:val="00894BCE"/>
    <w:rsid w:val="00894BFF"/>
    <w:rsid w:val="00894C3C"/>
    <w:rsid w:val="0089516D"/>
    <w:rsid w:val="00895193"/>
    <w:rsid w:val="008952F1"/>
    <w:rsid w:val="00895545"/>
    <w:rsid w:val="00895D58"/>
    <w:rsid w:val="00895E0F"/>
    <w:rsid w:val="00895F87"/>
    <w:rsid w:val="008961A7"/>
    <w:rsid w:val="008962CD"/>
    <w:rsid w:val="008963A5"/>
    <w:rsid w:val="00896575"/>
    <w:rsid w:val="00896612"/>
    <w:rsid w:val="008968D9"/>
    <w:rsid w:val="0089690E"/>
    <w:rsid w:val="00896A26"/>
    <w:rsid w:val="00896BC5"/>
    <w:rsid w:val="00896ED7"/>
    <w:rsid w:val="00897A0E"/>
    <w:rsid w:val="00897ED1"/>
    <w:rsid w:val="00897F20"/>
    <w:rsid w:val="008A0301"/>
    <w:rsid w:val="008A0453"/>
    <w:rsid w:val="008A061D"/>
    <w:rsid w:val="008A07CE"/>
    <w:rsid w:val="008A07F0"/>
    <w:rsid w:val="008A0C6F"/>
    <w:rsid w:val="008A1609"/>
    <w:rsid w:val="008A1BAA"/>
    <w:rsid w:val="008A1BC1"/>
    <w:rsid w:val="008A1D00"/>
    <w:rsid w:val="008A1E72"/>
    <w:rsid w:val="008A2413"/>
    <w:rsid w:val="008A25A6"/>
    <w:rsid w:val="008A2904"/>
    <w:rsid w:val="008A291F"/>
    <w:rsid w:val="008A2E0C"/>
    <w:rsid w:val="008A34E0"/>
    <w:rsid w:val="008A368E"/>
    <w:rsid w:val="008A36F0"/>
    <w:rsid w:val="008A37E5"/>
    <w:rsid w:val="008A401D"/>
    <w:rsid w:val="008A4256"/>
    <w:rsid w:val="008A451C"/>
    <w:rsid w:val="008A4724"/>
    <w:rsid w:val="008A47DC"/>
    <w:rsid w:val="008A4824"/>
    <w:rsid w:val="008A49B1"/>
    <w:rsid w:val="008A4F1E"/>
    <w:rsid w:val="008A529E"/>
    <w:rsid w:val="008A56DC"/>
    <w:rsid w:val="008A5771"/>
    <w:rsid w:val="008A59B8"/>
    <w:rsid w:val="008A5E33"/>
    <w:rsid w:val="008A5ED4"/>
    <w:rsid w:val="008A63B0"/>
    <w:rsid w:val="008A65AB"/>
    <w:rsid w:val="008A6623"/>
    <w:rsid w:val="008A663D"/>
    <w:rsid w:val="008A680F"/>
    <w:rsid w:val="008A6A40"/>
    <w:rsid w:val="008A728F"/>
    <w:rsid w:val="008A73C1"/>
    <w:rsid w:val="008A74D2"/>
    <w:rsid w:val="008A76A5"/>
    <w:rsid w:val="008B007B"/>
    <w:rsid w:val="008B052D"/>
    <w:rsid w:val="008B0B57"/>
    <w:rsid w:val="008B0CB1"/>
    <w:rsid w:val="008B1089"/>
    <w:rsid w:val="008B1146"/>
    <w:rsid w:val="008B114F"/>
    <w:rsid w:val="008B1150"/>
    <w:rsid w:val="008B1161"/>
    <w:rsid w:val="008B1293"/>
    <w:rsid w:val="008B13DE"/>
    <w:rsid w:val="008B1720"/>
    <w:rsid w:val="008B1813"/>
    <w:rsid w:val="008B1870"/>
    <w:rsid w:val="008B21B6"/>
    <w:rsid w:val="008B2236"/>
    <w:rsid w:val="008B226B"/>
    <w:rsid w:val="008B22DB"/>
    <w:rsid w:val="008B297A"/>
    <w:rsid w:val="008B2FAB"/>
    <w:rsid w:val="008B31D5"/>
    <w:rsid w:val="008B3498"/>
    <w:rsid w:val="008B3A18"/>
    <w:rsid w:val="008B3A4A"/>
    <w:rsid w:val="008B3D66"/>
    <w:rsid w:val="008B411F"/>
    <w:rsid w:val="008B4175"/>
    <w:rsid w:val="008B4397"/>
    <w:rsid w:val="008B444E"/>
    <w:rsid w:val="008B44D0"/>
    <w:rsid w:val="008B4626"/>
    <w:rsid w:val="008B47CA"/>
    <w:rsid w:val="008B48B7"/>
    <w:rsid w:val="008B4976"/>
    <w:rsid w:val="008B4FC7"/>
    <w:rsid w:val="008B5102"/>
    <w:rsid w:val="008B548D"/>
    <w:rsid w:val="008B5590"/>
    <w:rsid w:val="008B58E7"/>
    <w:rsid w:val="008B5E20"/>
    <w:rsid w:val="008B615E"/>
    <w:rsid w:val="008B63D6"/>
    <w:rsid w:val="008B67BC"/>
    <w:rsid w:val="008B6E48"/>
    <w:rsid w:val="008B6FC0"/>
    <w:rsid w:val="008B7102"/>
    <w:rsid w:val="008B723D"/>
    <w:rsid w:val="008B76EE"/>
    <w:rsid w:val="008B7721"/>
    <w:rsid w:val="008B77E9"/>
    <w:rsid w:val="008B781A"/>
    <w:rsid w:val="008B7CB2"/>
    <w:rsid w:val="008C0597"/>
    <w:rsid w:val="008C081E"/>
    <w:rsid w:val="008C0BCD"/>
    <w:rsid w:val="008C0E6B"/>
    <w:rsid w:val="008C1B54"/>
    <w:rsid w:val="008C23C8"/>
    <w:rsid w:val="008C23C9"/>
    <w:rsid w:val="008C24CB"/>
    <w:rsid w:val="008C2C78"/>
    <w:rsid w:val="008C2E28"/>
    <w:rsid w:val="008C2FA9"/>
    <w:rsid w:val="008C30E7"/>
    <w:rsid w:val="008C310E"/>
    <w:rsid w:val="008C32A9"/>
    <w:rsid w:val="008C33E6"/>
    <w:rsid w:val="008C363C"/>
    <w:rsid w:val="008C37DA"/>
    <w:rsid w:val="008C3A88"/>
    <w:rsid w:val="008C3B2E"/>
    <w:rsid w:val="008C3CBF"/>
    <w:rsid w:val="008C3D22"/>
    <w:rsid w:val="008C4352"/>
    <w:rsid w:val="008C4456"/>
    <w:rsid w:val="008C47FA"/>
    <w:rsid w:val="008C497B"/>
    <w:rsid w:val="008C4C86"/>
    <w:rsid w:val="008C4CC1"/>
    <w:rsid w:val="008C4D55"/>
    <w:rsid w:val="008C4DF2"/>
    <w:rsid w:val="008C4F20"/>
    <w:rsid w:val="008C5008"/>
    <w:rsid w:val="008C525B"/>
    <w:rsid w:val="008C5B5B"/>
    <w:rsid w:val="008C5E64"/>
    <w:rsid w:val="008C65CC"/>
    <w:rsid w:val="008C6796"/>
    <w:rsid w:val="008C6BF9"/>
    <w:rsid w:val="008C6D97"/>
    <w:rsid w:val="008C6FA4"/>
    <w:rsid w:val="008C7015"/>
    <w:rsid w:val="008C70D1"/>
    <w:rsid w:val="008C7160"/>
    <w:rsid w:val="008C73AC"/>
    <w:rsid w:val="008C7405"/>
    <w:rsid w:val="008C762D"/>
    <w:rsid w:val="008C7674"/>
    <w:rsid w:val="008C770D"/>
    <w:rsid w:val="008C781A"/>
    <w:rsid w:val="008C7953"/>
    <w:rsid w:val="008C79B9"/>
    <w:rsid w:val="008C7B2E"/>
    <w:rsid w:val="008C7C58"/>
    <w:rsid w:val="008C7C7C"/>
    <w:rsid w:val="008D052F"/>
    <w:rsid w:val="008D06AC"/>
    <w:rsid w:val="008D06CF"/>
    <w:rsid w:val="008D0782"/>
    <w:rsid w:val="008D0833"/>
    <w:rsid w:val="008D0D2A"/>
    <w:rsid w:val="008D0DAA"/>
    <w:rsid w:val="008D115B"/>
    <w:rsid w:val="008D122C"/>
    <w:rsid w:val="008D1351"/>
    <w:rsid w:val="008D1B09"/>
    <w:rsid w:val="008D1B67"/>
    <w:rsid w:val="008D1DA5"/>
    <w:rsid w:val="008D204F"/>
    <w:rsid w:val="008D20E2"/>
    <w:rsid w:val="008D2521"/>
    <w:rsid w:val="008D2720"/>
    <w:rsid w:val="008D2C41"/>
    <w:rsid w:val="008D3301"/>
    <w:rsid w:val="008D3347"/>
    <w:rsid w:val="008D394B"/>
    <w:rsid w:val="008D3AC8"/>
    <w:rsid w:val="008D48E9"/>
    <w:rsid w:val="008D4E81"/>
    <w:rsid w:val="008D4F44"/>
    <w:rsid w:val="008D5053"/>
    <w:rsid w:val="008D51EC"/>
    <w:rsid w:val="008D5326"/>
    <w:rsid w:val="008D53DC"/>
    <w:rsid w:val="008D5517"/>
    <w:rsid w:val="008D5530"/>
    <w:rsid w:val="008D582A"/>
    <w:rsid w:val="008D5960"/>
    <w:rsid w:val="008D5A82"/>
    <w:rsid w:val="008D5C2B"/>
    <w:rsid w:val="008D6132"/>
    <w:rsid w:val="008D6163"/>
    <w:rsid w:val="008D64F3"/>
    <w:rsid w:val="008D6627"/>
    <w:rsid w:val="008D684F"/>
    <w:rsid w:val="008D6B42"/>
    <w:rsid w:val="008D6B6B"/>
    <w:rsid w:val="008D6C57"/>
    <w:rsid w:val="008D6CA4"/>
    <w:rsid w:val="008D6CCB"/>
    <w:rsid w:val="008D6EF6"/>
    <w:rsid w:val="008D71C6"/>
    <w:rsid w:val="008D754B"/>
    <w:rsid w:val="008D7579"/>
    <w:rsid w:val="008D7731"/>
    <w:rsid w:val="008D77CB"/>
    <w:rsid w:val="008D7B61"/>
    <w:rsid w:val="008D7FB4"/>
    <w:rsid w:val="008E006B"/>
    <w:rsid w:val="008E05F9"/>
    <w:rsid w:val="008E0629"/>
    <w:rsid w:val="008E06C1"/>
    <w:rsid w:val="008E089A"/>
    <w:rsid w:val="008E0967"/>
    <w:rsid w:val="008E0AE2"/>
    <w:rsid w:val="008E0F86"/>
    <w:rsid w:val="008E116D"/>
    <w:rsid w:val="008E14A9"/>
    <w:rsid w:val="008E1615"/>
    <w:rsid w:val="008E171E"/>
    <w:rsid w:val="008E1816"/>
    <w:rsid w:val="008E1A26"/>
    <w:rsid w:val="008E1CA0"/>
    <w:rsid w:val="008E2A23"/>
    <w:rsid w:val="008E2ABF"/>
    <w:rsid w:val="008E2C87"/>
    <w:rsid w:val="008E37BC"/>
    <w:rsid w:val="008E3A51"/>
    <w:rsid w:val="008E3D95"/>
    <w:rsid w:val="008E3EDB"/>
    <w:rsid w:val="008E3FEB"/>
    <w:rsid w:val="008E4256"/>
    <w:rsid w:val="008E45AD"/>
    <w:rsid w:val="008E460F"/>
    <w:rsid w:val="008E48AD"/>
    <w:rsid w:val="008E48E8"/>
    <w:rsid w:val="008E4B6C"/>
    <w:rsid w:val="008E4F0C"/>
    <w:rsid w:val="008E503F"/>
    <w:rsid w:val="008E5070"/>
    <w:rsid w:val="008E53A2"/>
    <w:rsid w:val="008E5434"/>
    <w:rsid w:val="008E5B2F"/>
    <w:rsid w:val="008E5E6B"/>
    <w:rsid w:val="008E5EE2"/>
    <w:rsid w:val="008E60AC"/>
    <w:rsid w:val="008E62A2"/>
    <w:rsid w:val="008E6841"/>
    <w:rsid w:val="008E694A"/>
    <w:rsid w:val="008E6BB6"/>
    <w:rsid w:val="008E6BBA"/>
    <w:rsid w:val="008E6E8C"/>
    <w:rsid w:val="008E6F38"/>
    <w:rsid w:val="008E7006"/>
    <w:rsid w:val="008E706E"/>
    <w:rsid w:val="008E7163"/>
    <w:rsid w:val="008E72F9"/>
    <w:rsid w:val="008E7B49"/>
    <w:rsid w:val="008E7B51"/>
    <w:rsid w:val="008E7CC6"/>
    <w:rsid w:val="008E7F92"/>
    <w:rsid w:val="008F0202"/>
    <w:rsid w:val="008F03B6"/>
    <w:rsid w:val="008F054C"/>
    <w:rsid w:val="008F086A"/>
    <w:rsid w:val="008F0CE6"/>
    <w:rsid w:val="008F0D78"/>
    <w:rsid w:val="008F0FAA"/>
    <w:rsid w:val="008F122E"/>
    <w:rsid w:val="008F1286"/>
    <w:rsid w:val="008F1311"/>
    <w:rsid w:val="008F1584"/>
    <w:rsid w:val="008F1693"/>
    <w:rsid w:val="008F179B"/>
    <w:rsid w:val="008F18EC"/>
    <w:rsid w:val="008F1A55"/>
    <w:rsid w:val="008F1AF6"/>
    <w:rsid w:val="008F1F72"/>
    <w:rsid w:val="008F27AA"/>
    <w:rsid w:val="008F286D"/>
    <w:rsid w:val="008F2913"/>
    <w:rsid w:val="008F2ACF"/>
    <w:rsid w:val="008F2BF5"/>
    <w:rsid w:val="008F2D5A"/>
    <w:rsid w:val="008F2E11"/>
    <w:rsid w:val="008F2E39"/>
    <w:rsid w:val="008F2EDB"/>
    <w:rsid w:val="008F313B"/>
    <w:rsid w:val="008F3270"/>
    <w:rsid w:val="008F3286"/>
    <w:rsid w:val="008F337D"/>
    <w:rsid w:val="008F3411"/>
    <w:rsid w:val="008F3484"/>
    <w:rsid w:val="008F389C"/>
    <w:rsid w:val="008F4055"/>
    <w:rsid w:val="008F451F"/>
    <w:rsid w:val="008F45B6"/>
    <w:rsid w:val="008F45F2"/>
    <w:rsid w:val="008F46DA"/>
    <w:rsid w:val="008F4920"/>
    <w:rsid w:val="008F4C85"/>
    <w:rsid w:val="008F4E07"/>
    <w:rsid w:val="008F4F30"/>
    <w:rsid w:val="008F4F8E"/>
    <w:rsid w:val="008F55E8"/>
    <w:rsid w:val="008F56EA"/>
    <w:rsid w:val="008F596E"/>
    <w:rsid w:val="008F5F8F"/>
    <w:rsid w:val="008F68DC"/>
    <w:rsid w:val="008F6AFF"/>
    <w:rsid w:val="008F6E86"/>
    <w:rsid w:val="008F7036"/>
    <w:rsid w:val="008F71E8"/>
    <w:rsid w:val="008F725B"/>
    <w:rsid w:val="008F726F"/>
    <w:rsid w:val="008F7376"/>
    <w:rsid w:val="008F7C31"/>
    <w:rsid w:val="008F7CB3"/>
    <w:rsid w:val="008F7E7A"/>
    <w:rsid w:val="008F7EA1"/>
    <w:rsid w:val="00900429"/>
    <w:rsid w:val="0090044B"/>
    <w:rsid w:val="009005A2"/>
    <w:rsid w:val="00900C94"/>
    <w:rsid w:val="009010AA"/>
    <w:rsid w:val="009011E8"/>
    <w:rsid w:val="009014A7"/>
    <w:rsid w:val="0090153F"/>
    <w:rsid w:val="00901EF1"/>
    <w:rsid w:val="009020C2"/>
    <w:rsid w:val="0090280E"/>
    <w:rsid w:val="0090287A"/>
    <w:rsid w:val="00902E36"/>
    <w:rsid w:val="00902E73"/>
    <w:rsid w:val="00902FFC"/>
    <w:rsid w:val="009030C4"/>
    <w:rsid w:val="00903532"/>
    <w:rsid w:val="00903906"/>
    <w:rsid w:val="00903914"/>
    <w:rsid w:val="00903B72"/>
    <w:rsid w:val="00903BF8"/>
    <w:rsid w:val="009040B5"/>
    <w:rsid w:val="009046B5"/>
    <w:rsid w:val="00905201"/>
    <w:rsid w:val="00905277"/>
    <w:rsid w:val="00905396"/>
    <w:rsid w:val="009054A3"/>
    <w:rsid w:val="00905775"/>
    <w:rsid w:val="00905939"/>
    <w:rsid w:val="0090594B"/>
    <w:rsid w:val="009059C1"/>
    <w:rsid w:val="00905A22"/>
    <w:rsid w:val="00905DB4"/>
    <w:rsid w:val="009061C2"/>
    <w:rsid w:val="00906310"/>
    <w:rsid w:val="009064A7"/>
    <w:rsid w:val="00906817"/>
    <w:rsid w:val="009069DA"/>
    <w:rsid w:val="00906C6F"/>
    <w:rsid w:val="009070A1"/>
    <w:rsid w:val="00907123"/>
    <w:rsid w:val="00907197"/>
    <w:rsid w:val="009073ED"/>
    <w:rsid w:val="00907604"/>
    <w:rsid w:val="00907AC2"/>
    <w:rsid w:val="00907B27"/>
    <w:rsid w:val="00907BBE"/>
    <w:rsid w:val="00907E9A"/>
    <w:rsid w:val="00910259"/>
    <w:rsid w:val="00910422"/>
    <w:rsid w:val="00910455"/>
    <w:rsid w:val="009107F5"/>
    <w:rsid w:val="00910832"/>
    <w:rsid w:val="009109DE"/>
    <w:rsid w:val="00910A32"/>
    <w:rsid w:val="00910CED"/>
    <w:rsid w:val="00910EE8"/>
    <w:rsid w:val="00910F83"/>
    <w:rsid w:val="00911278"/>
    <w:rsid w:val="009115BB"/>
    <w:rsid w:val="00911639"/>
    <w:rsid w:val="009117C6"/>
    <w:rsid w:val="00911A9D"/>
    <w:rsid w:val="00911BBF"/>
    <w:rsid w:val="0091216C"/>
    <w:rsid w:val="009123A8"/>
    <w:rsid w:val="0091259A"/>
    <w:rsid w:val="00912BDE"/>
    <w:rsid w:val="00912EEE"/>
    <w:rsid w:val="00912F51"/>
    <w:rsid w:val="009131EC"/>
    <w:rsid w:val="0091324D"/>
    <w:rsid w:val="009132BD"/>
    <w:rsid w:val="00913445"/>
    <w:rsid w:val="009136B4"/>
    <w:rsid w:val="009136CA"/>
    <w:rsid w:val="00913B30"/>
    <w:rsid w:val="00913DCF"/>
    <w:rsid w:val="009141B2"/>
    <w:rsid w:val="009142AD"/>
    <w:rsid w:val="0091432D"/>
    <w:rsid w:val="00914BD1"/>
    <w:rsid w:val="00914CD0"/>
    <w:rsid w:val="00914DC0"/>
    <w:rsid w:val="00914F65"/>
    <w:rsid w:val="0091541B"/>
    <w:rsid w:val="009154B0"/>
    <w:rsid w:val="00915584"/>
    <w:rsid w:val="009157B2"/>
    <w:rsid w:val="00915A63"/>
    <w:rsid w:val="00915EF3"/>
    <w:rsid w:val="00915FC6"/>
    <w:rsid w:val="009168D4"/>
    <w:rsid w:val="00916CF7"/>
    <w:rsid w:val="00916EB2"/>
    <w:rsid w:val="00917175"/>
    <w:rsid w:val="0091762D"/>
    <w:rsid w:val="009177D8"/>
    <w:rsid w:val="00917A4F"/>
    <w:rsid w:val="00917B90"/>
    <w:rsid w:val="0092005C"/>
    <w:rsid w:val="009201DB"/>
    <w:rsid w:val="00920209"/>
    <w:rsid w:val="0092033B"/>
    <w:rsid w:val="009204C4"/>
    <w:rsid w:val="009205C1"/>
    <w:rsid w:val="0092067F"/>
    <w:rsid w:val="00920923"/>
    <w:rsid w:val="00920ADB"/>
    <w:rsid w:val="00920BF1"/>
    <w:rsid w:val="00920C92"/>
    <w:rsid w:val="00920CBF"/>
    <w:rsid w:val="00920D77"/>
    <w:rsid w:val="009210F0"/>
    <w:rsid w:val="009211D1"/>
    <w:rsid w:val="009217D6"/>
    <w:rsid w:val="009217EE"/>
    <w:rsid w:val="00921846"/>
    <w:rsid w:val="0092184A"/>
    <w:rsid w:val="00921CAD"/>
    <w:rsid w:val="00922481"/>
    <w:rsid w:val="0092248C"/>
    <w:rsid w:val="009226FB"/>
    <w:rsid w:val="00922ECF"/>
    <w:rsid w:val="00923092"/>
    <w:rsid w:val="009231BC"/>
    <w:rsid w:val="009231DC"/>
    <w:rsid w:val="0092330D"/>
    <w:rsid w:val="009234A1"/>
    <w:rsid w:val="00923881"/>
    <w:rsid w:val="00923A7F"/>
    <w:rsid w:val="00923B39"/>
    <w:rsid w:val="00923CAC"/>
    <w:rsid w:val="00923D1C"/>
    <w:rsid w:val="00924208"/>
    <w:rsid w:val="009246EF"/>
    <w:rsid w:val="00924761"/>
    <w:rsid w:val="0092498B"/>
    <w:rsid w:val="009249A3"/>
    <w:rsid w:val="00924D43"/>
    <w:rsid w:val="00924F9A"/>
    <w:rsid w:val="0092510C"/>
    <w:rsid w:val="009251E1"/>
    <w:rsid w:val="009252F0"/>
    <w:rsid w:val="00925946"/>
    <w:rsid w:val="00925AD5"/>
    <w:rsid w:val="00925FBF"/>
    <w:rsid w:val="0092606F"/>
    <w:rsid w:val="009263BA"/>
    <w:rsid w:val="0092657E"/>
    <w:rsid w:val="00926837"/>
    <w:rsid w:val="00926A86"/>
    <w:rsid w:val="00927126"/>
    <w:rsid w:val="009276B5"/>
    <w:rsid w:val="00927913"/>
    <w:rsid w:val="00927987"/>
    <w:rsid w:val="00927A0C"/>
    <w:rsid w:val="00927B2F"/>
    <w:rsid w:val="00927C80"/>
    <w:rsid w:val="00927F58"/>
    <w:rsid w:val="00930063"/>
    <w:rsid w:val="009305F1"/>
    <w:rsid w:val="0093065A"/>
    <w:rsid w:val="00930AF8"/>
    <w:rsid w:val="00930D85"/>
    <w:rsid w:val="00930F3E"/>
    <w:rsid w:val="00931144"/>
    <w:rsid w:val="009312FC"/>
    <w:rsid w:val="009315BA"/>
    <w:rsid w:val="0093175F"/>
    <w:rsid w:val="00931AB8"/>
    <w:rsid w:val="00931BC2"/>
    <w:rsid w:val="00931DB3"/>
    <w:rsid w:val="00931E9E"/>
    <w:rsid w:val="00932106"/>
    <w:rsid w:val="009326FE"/>
    <w:rsid w:val="00932746"/>
    <w:rsid w:val="009328B8"/>
    <w:rsid w:val="009328DF"/>
    <w:rsid w:val="00932CA3"/>
    <w:rsid w:val="0093322F"/>
    <w:rsid w:val="00933350"/>
    <w:rsid w:val="00933379"/>
    <w:rsid w:val="009337AC"/>
    <w:rsid w:val="00933813"/>
    <w:rsid w:val="009339B7"/>
    <w:rsid w:val="00933BCC"/>
    <w:rsid w:val="00933D05"/>
    <w:rsid w:val="00933E0F"/>
    <w:rsid w:val="009342D9"/>
    <w:rsid w:val="009342F2"/>
    <w:rsid w:val="00934309"/>
    <w:rsid w:val="0093463D"/>
    <w:rsid w:val="00934709"/>
    <w:rsid w:val="00934800"/>
    <w:rsid w:val="0093481E"/>
    <w:rsid w:val="0093485C"/>
    <w:rsid w:val="009349F4"/>
    <w:rsid w:val="00934C2A"/>
    <w:rsid w:val="00934E49"/>
    <w:rsid w:val="00934F9A"/>
    <w:rsid w:val="00935397"/>
    <w:rsid w:val="009353B9"/>
    <w:rsid w:val="00935410"/>
    <w:rsid w:val="009355EC"/>
    <w:rsid w:val="009355F5"/>
    <w:rsid w:val="00935B2B"/>
    <w:rsid w:val="00935B74"/>
    <w:rsid w:val="00935F85"/>
    <w:rsid w:val="00936658"/>
    <w:rsid w:val="00936CCE"/>
    <w:rsid w:val="00936CF4"/>
    <w:rsid w:val="00936D6F"/>
    <w:rsid w:val="00936E80"/>
    <w:rsid w:val="009370A1"/>
    <w:rsid w:val="00937175"/>
    <w:rsid w:val="009371C3"/>
    <w:rsid w:val="0093747F"/>
    <w:rsid w:val="00937760"/>
    <w:rsid w:val="009377E4"/>
    <w:rsid w:val="00937BB5"/>
    <w:rsid w:val="00940067"/>
    <w:rsid w:val="0094008E"/>
    <w:rsid w:val="00940266"/>
    <w:rsid w:val="00940537"/>
    <w:rsid w:val="009406DE"/>
    <w:rsid w:val="009407CC"/>
    <w:rsid w:val="00940CDC"/>
    <w:rsid w:val="00940EBC"/>
    <w:rsid w:val="00940F49"/>
    <w:rsid w:val="0094112C"/>
    <w:rsid w:val="009412BE"/>
    <w:rsid w:val="009413F8"/>
    <w:rsid w:val="00941920"/>
    <w:rsid w:val="009419EE"/>
    <w:rsid w:val="00941D68"/>
    <w:rsid w:val="00941FAC"/>
    <w:rsid w:val="00942270"/>
    <w:rsid w:val="009427AB"/>
    <w:rsid w:val="009429B6"/>
    <w:rsid w:val="0094321B"/>
    <w:rsid w:val="00943A3D"/>
    <w:rsid w:val="00943DCF"/>
    <w:rsid w:val="00943DE2"/>
    <w:rsid w:val="00943E9A"/>
    <w:rsid w:val="009441E4"/>
    <w:rsid w:val="009441F5"/>
    <w:rsid w:val="009442DF"/>
    <w:rsid w:val="009442FA"/>
    <w:rsid w:val="00944375"/>
    <w:rsid w:val="00944845"/>
    <w:rsid w:val="00944B9C"/>
    <w:rsid w:val="00944E0B"/>
    <w:rsid w:val="00944E96"/>
    <w:rsid w:val="0094519B"/>
    <w:rsid w:val="009451C8"/>
    <w:rsid w:val="0094538B"/>
    <w:rsid w:val="009455B1"/>
    <w:rsid w:val="009456CF"/>
    <w:rsid w:val="00945742"/>
    <w:rsid w:val="00945824"/>
    <w:rsid w:val="00945988"/>
    <w:rsid w:val="00945A6B"/>
    <w:rsid w:val="00945D77"/>
    <w:rsid w:val="00945F9F"/>
    <w:rsid w:val="00946198"/>
    <w:rsid w:val="0094624D"/>
    <w:rsid w:val="009463BF"/>
    <w:rsid w:val="0094667B"/>
    <w:rsid w:val="00946746"/>
    <w:rsid w:val="00946B5E"/>
    <w:rsid w:val="00946C09"/>
    <w:rsid w:val="00946EE4"/>
    <w:rsid w:val="00947339"/>
    <w:rsid w:val="009473AB"/>
    <w:rsid w:val="00947511"/>
    <w:rsid w:val="009475D0"/>
    <w:rsid w:val="00947611"/>
    <w:rsid w:val="00947D9F"/>
    <w:rsid w:val="00947E10"/>
    <w:rsid w:val="00947FE4"/>
    <w:rsid w:val="00950292"/>
    <w:rsid w:val="0095032F"/>
    <w:rsid w:val="00950499"/>
    <w:rsid w:val="00950937"/>
    <w:rsid w:val="00950AD0"/>
    <w:rsid w:val="00950AEF"/>
    <w:rsid w:val="009510C4"/>
    <w:rsid w:val="0095114E"/>
    <w:rsid w:val="00951348"/>
    <w:rsid w:val="0095147A"/>
    <w:rsid w:val="009516C4"/>
    <w:rsid w:val="009519AD"/>
    <w:rsid w:val="009519DA"/>
    <w:rsid w:val="00951B64"/>
    <w:rsid w:val="00951CE5"/>
    <w:rsid w:val="00952202"/>
    <w:rsid w:val="009525CB"/>
    <w:rsid w:val="009529F3"/>
    <w:rsid w:val="00952A1B"/>
    <w:rsid w:val="00952E5F"/>
    <w:rsid w:val="00952F3A"/>
    <w:rsid w:val="0095313A"/>
    <w:rsid w:val="009532AC"/>
    <w:rsid w:val="00953322"/>
    <w:rsid w:val="009537A7"/>
    <w:rsid w:val="00953A4C"/>
    <w:rsid w:val="00953A7E"/>
    <w:rsid w:val="00953CF4"/>
    <w:rsid w:val="00953F73"/>
    <w:rsid w:val="00953FA1"/>
    <w:rsid w:val="009541AC"/>
    <w:rsid w:val="00954263"/>
    <w:rsid w:val="00954286"/>
    <w:rsid w:val="009542A8"/>
    <w:rsid w:val="00954501"/>
    <w:rsid w:val="00954892"/>
    <w:rsid w:val="009549F9"/>
    <w:rsid w:val="00954ADB"/>
    <w:rsid w:val="00954BF0"/>
    <w:rsid w:val="009552EA"/>
    <w:rsid w:val="0095582B"/>
    <w:rsid w:val="009559B6"/>
    <w:rsid w:val="00955DDE"/>
    <w:rsid w:val="00956793"/>
    <w:rsid w:val="00956827"/>
    <w:rsid w:val="009568F4"/>
    <w:rsid w:val="00956C96"/>
    <w:rsid w:val="00956E87"/>
    <w:rsid w:val="00956FD3"/>
    <w:rsid w:val="009571A6"/>
    <w:rsid w:val="00957C78"/>
    <w:rsid w:val="00957CEF"/>
    <w:rsid w:val="00957E04"/>
    <w:rsid w:val="0096018A"/>
    <w:rsid w:val="0096034D"/>
    <w:rsid w:val="009603BD"/>
    <w:rsid w:val="00960559"/>
    <w:rsid w:val="009606F6"/>
    <w:rsid w:val="00960972"/>
    <w:rsid w:val="00960993"/>
    <w:rsid w:val="00960A6A"/>
    <w:rsid w:val="00960C62"/>
    <w:rsid w:val="00960C9C"/>
    <w:rsid w:val="00960FEE"/>
    <w:rsid w:val="009616EC"/>
    <w:rsid w:val="0096174B"/>
    <w:rsid w:val="00961909"/>
    <w:rsid w:val="00961B9A"/>
    <w:rsid w:val="00961D17"/>
    <w:rsid w:val="00961EA3"/>
    <w:rsid w:val="00961F76"/>
    <w:rsid w:val="00961FCD"/>
    <w:rsid w:val="0096203B"/>
    <w:rsid w:val="0096203D"/>
    <w:rsid w:val="00962117"/>
    <w:rsid w:val="0096215D"/>
    <w:rsid w:val="009621C5"/>
    <w:rsid w:val="00962243"/>
    <w:rsid w:val="00962362"/>
    <w:rsid w:val="00962A49"/>
    <w:rsid w:val="00962AF0"/>
    <w:rsid w:val="00962CC0"/>
    <w:rsid w:val="00962DA1"/>
    <w:rsid w:val="00962F80"/>
    <w:rsid w:val="00963025"/>
    <w:rsid w:val="00963187"/>
    <w:rsid w:val="009635A6"/>
    <w:rsid w:val="00963885"/>
    <w:rsid w:val="00963AC8"/>
    <w:rsid w:val="00963EC6"/>
    <w:rsid w:val="0096417C"/>
    <w:rsid w:val="009645D2"/>
    <w:rsid w:val="00964834"/>
    <w:rsid w:val="00964EA4"/>
    <w:rsid w:val="00964F50"/>
    <w:rsid w:val="009653A7"/>
    <w:rsid w:val="009658C6"/>
    <w:rsid w:val="00965AD4"/>
    <w:rsid w:val="00965C8E"/>
    <w:rsid w:val="00965CB9"/>
    <w:rsid w:val="00965DF9"/>
    <w:rsid w:val="00965FD4"/>
    <w:rsid w:val="00965FE7"/>
    <w:rsid w:val="009660AB"/>
    <w:rsid w:val="009661AC"/>
    <w:rsid w:val="00966389"/>
    <w:rsid w:val="009663F1"/>
    <w:rsid w:val="00966488"/>
    <w:rsid w:val="009665B9"/>
    <w:rsid w:val="009665DA"/>
    <w:rsid w:val="0096669B"/>
    <w:rsid w:val="009669BE"/>
    <w:rsid w:val="00966B4A"/>
    <w:rsid w:val="00967021"/>
    <w:rsid w:val="00967493"/>
    <w:rsid w:val="009674AC"/>
    <w:rsid w:val="00967660"/>
    <w:rsid w:val="009676C2"/>
    <w:rsid w:val="00967754"/>
    <w:rsid w:val="0096777C"/>
    <w:rsid w:val="009678A2"/>
    <w:rsid w:val="00967B58"/>
    <w:rsid w:val="00967EF5"/>
    <w:rsid w:val="00970039"/>
    <w:rsid w:val="009702C1"/>
    <w:rsid w:val="00970389"/>
    <w:rsid w:val="0097041A"/>
    <w:rsid w:val="00970687"/>
    <w:rsid w:val="00970793"/>
    <w:rsid w:val="0097083A"/>
    <w:rsid w:val="00970CD4"/>
    <w:rsid w:val="00970F19"/>
    <w:rsid w:val="00971146"/>
    <w:rsid w:val="009711A9"/>
    <w:rsid w:val="009711CD"/>
    <w:rsid w:val="0097195B"/>
    <w:rsid w:val="00971BB1"/>
    <w:rsid w:val="00971E6E"/>
    <w:rsid w:val="00971FDE"/>
    <w:rsid w:val="00972316"/>
    <w:rsid w:val="0097242F"/>
    <w:rsid w:val="00972955"/>
    <w:rsid w:val="00972E0C"/>
    <w:rsid w:val="00972F5B"/>
    <w:rsid w:val="009733B4"/>
    <w:rsid w:val="009733D4"/>
    <w:rsid w:val="009734B2"/>
    <w:rsid w:val="00973604"/>
    <w:rsid w:val="00973607"/>
    <w:rsid w:val="009739F4"/>
    <w:rsid w:val="00973BDF"/>
    <w:rsid w:val="00973FF9"/>
    <w:rsid w:val="009740EE"/>
    <w:rsid w:val="00974552"/>
    <w:rsid w:val="009745C3"/>
    <w:rsid w:val="009745F4"/>
    <w:rsid w:val="00974688"/>
    <w:rsid w:val="00974771"/>
    <w:rsid w:val="00974B6E"/>
    <w:rsid w:val="00974CD8"/>
    <w:rsid w:val="00974E5C"/>
    <w:rsid w:val="00975097"/>
    <w:rsid w:val="009753D0"/>
    <w:rsid w:val="00975444"/>
    <w:rsid w:val="00975594"/>
    <w:rsid w:val="0097578E"/>
    <w:rsid w:val="00975933"/>
    <w:rsid w:val="0097595D"/>
    <w:rsid w:val="00975965"/>
    <w:rsid w:val="00975977"/>
    <w:rsid w:val="00975DB5"/>
    <w:rsid w:val="00976045"/>
    <w:rsid w:val="00976088"/>
    <w:rsid w:val="0097626D"/>
    <w:rsid w:val="00976338"/>
    <w:rsid w:val="00976442"/>
    <w:rsid w:val="009769BB"/>
    <w:rsid w:val="00976A05"/>
    <w:rsid w:val="00976A8A"/>
    <w:rsid w:val="009772A5"/>
    <w:rsid w:val="00977342"/>
    <w:rsid w:val="00977354"/>
    <w:rsid w:val="009777C2"/>
    <w:rsid w:val="00977866"/>
    <w:rsid w:val="00977E3C"/>
    <w:rsid w:val="00980064"/>
    <w:rsid w:val="0098013A"/>
    <w:rsid w:val="00980301"/>
    <w:rsid w:val="009804B5"/>
    <w:rsid w:val="0098050D"/>
    <w:rsid w:val="0098083F"/>
    <w:rsid w:val="00980865"/>
    <w:rsid w:val="00980B01"/>
    <w:rsid w:val="00980B57"/>
    <w:rsid w:val="00980E28"/>
    <w:rsid w:val="00980E63"/>
    <w:rsid w:val="009815EC"/>
    <w:rsid w:val="009818A8"/>
    <w:rsid w:val="00981C16"/>
    <w:rsid w:val="00981D00"/>
    <w:rsid w:val="00981D20"/>
    <w:rsid w:val="00981E6F"/>
    <w:rsid w:val="00982465"/>
    <w:rsid w:val="009824A2"/>
    <w:rsid w:val="009824D5"/>
    <w:rsid w:val="00982534"/>
    <w:rsid w:val="00982B80"/>
    <w:rsid w:val="00982CBB"/>
    <w:rsid w:val="00982E2B"/>
    <w:rsid w:val="00982E47"/>
    <w:rsid w:val="009830E6"/>
    <w:rsid w:val="0098325C"/>
    <w:rsid w:val="00983580"/>
    <w:rsid w:val="00983B10"/>
    <w:rsid w:val="00983DC3"/>
    <w:rsid w:val="0098408A"/>
    <w:rsid w:val="00984240"/>
    <w:rsid w:val="00984369"/>
    <w:rsid w:val="0098449E"/>
    <w:rsid w:val="0098464F"/>
    <w:rsid w:val="0098480B"/>
    <w:rsid w:val="00985149"/>
    <w:rsid w:val="00985488"/>
    <w:rsid w:val="009854FA"/>
    <w:rsid w:val="00985C21"/>
    <w:rsid w:val="00985C48"/>
    <w:rsid w:val="00985E24"/>
    <w:rsid w:val="0098673A"/>
    <w:rsid w:val="00986DA8"/>
    <w:rsid w:val="00986E12"/>
    <w:rsid w:val="009875AA"/>
    <w:rsid w:val="009877AD"/>
    <w:rsid w:val="009877BF"/>
    <w:rsid w:val="00990461"/>
    <w:rsid w:val="00990698"/>
    <w:rsid w:val="00990790"/>
    <w:rsid w:val="0099095D"/>
    <w:rsid w:val="00990A5D"/>
    <w:rsid w:val="00990A69"/>
    <w:rsid w:val="00990BE4"/>
    <w:rsid w:val="00990C54"/>
    <w:rsid w:val="0099135D"/>
    <w:rsid w:val="0099168F"/>
    <w:rsid w:val="009918EC"/>
    <w:rsid w:val="00991C19"/>
    <w:rsid w:val="00991D3C"/>
    <w:rsid w:val="00991D93"/>
    <w:rsid w:val="0099234E"/>
    <w:rsid w:val="00992394"/>
    <w:rsid w:val="0099264F"/>
    <w:rsid w:val="00992B2B"/>
    <w:rsid w:val="00992B68"/>
    <w:rsid w:val="00992D80"/>
    <w:rsid w:val="00993183"/>
    <w:rsid w:val="009932C9"/>
    <w:rsid w:val="00993329"/>
    <w:rsid w:val="0099366C"/>
    <w:rsid w:val="00993A2A"/>
    <w:rsid w:val="00993B08"/>
    <w:rsid w:val="00993B7C"/>
    <w:rsid w:val="00993CC2"/>
    <w:rsid w:val="00993DF8"/>
    <w:rsid w:val="0099414F"/>
    <w:rsid w:val="00994284"/>
    <w:rsid w:val="009945D8"/>
    <w:rsid w:val="0099470F"/>
    <w:rsid w:val="00994959"/>
    <w:rsid w:val="00994B76"/>
    <w:rsid w:val="00995104"/>
    <w:rsid w:val="009951D8"/>
    <w:rsid w:val="00995295"/>
    <w:rsid w:val="00995729"/>
    <w:rsid w:val="00995AC7"/>
    <w:rsid w:val="00995D14"/>
    <w:rsid w:val="00995D18"/>
    <w:rsid w:val="00995E52"/>
    <w:rsid w:val="00995E56"/>
    <w:rsid w:val="009960AC"/>
    <w:rsid w:val="009965FE"/>
    <w:rsid w:val="009966ED"/>
    <w:rsid w:val="00996960"/>
    <w:rsid w:val="00996ABB"/>
    <w:rsid w:val="00996F81"/>
    <w:rsid w:val="00996FA9"/>
    <w:rsid w:val="0099721B"/>
    <w:rsid w:val="00997369"/>
    <w:rsid w:val="0099745B"/>
    <w:rsid w:val="0099757A"/>
    <w:rsid w:val="0099773F"/>
    <w:rsid w:val="00997DD9"/>
    <w:rsid w:val="00997E3B"/>
    <w:rsid w:val="00997E9D"/>
    <w:rsid w:val="009A0087"/>
    <w:rsid w:val="009A0452"/>
    <w:rsid w:val="009A0582"/>
    <w:rsid w:val="009A05E5"/>
    <w:rsid w:val="009A0696"/>
    <w:rsid w:val="009A07BE"/>
    <w:rsid w:val="009A07FB"/>
    <w:rsid w:val="009A0922"/>
    <w:rsid w:val="009A0CE2"/>
    <w:rsid w:val="009A0D05"/>
    <w:rsid w:val="009A0DD2"/>
    <w:rsid w:val="009A0E0E"/>
    <w:rsid w:val="009A11FA"/>
    <w:rsid w:val="009A133C"/>
    <w:rsid w:val="009A15CF"/>
    <w:rsid w:val="009A174C"/>
    <w:rsid w:val="009A1896"/>
    <w:rsid w:val="009A1CB7"/>
    <w:rsid w:val="009A1F37"/>
    <w:rsid w:val="009A2048"/>
    <w:rsid w:val="009A207E"/>
    <w:rsid w:val="009A2518"/>
    <w:rsid w:val="009A26C8"/>
    <w:rsid w:val="009A26FF"/>
    <w:rsid w:val="009A27AE"/>
    <w:rsid w:val="009A2BEA"/>
    <w:rsid w:val="009A2C73"/>
    <w:rsid w:val="009A2EA3"/>
    <w:rsid w:val="009A302F"/>
    <w:rsid w:val="009A3191"/>
    <w:rsid w:val="009A39B2"/>
    <w:rsid w:val="009A3DA0"/>
    <w:rsid w:val="009A402B"/>
    <w:rsid w:val="009A41F0"/>
    <w:rsid w:val="009A4256"/>
    <w:rsid w:val="009A4321"/>
    <w:rsid w:val="009A4346"/>
    <w:rsid w:val="009A46B9"/>
    <w:rsid w:val="009A4A04"/>
    <w:rsid w:val="009A4A94"/>
    <w:rsid w:val="009A4CD7"/>
    <w:rsid w:val="009A4D3E"/>
    <w:rsid w:val="009A4F66"/>
    <w:rsid w:val="009A50A4"/>
    <w:rsid w:val="009A597B"/>
    <w:rsid w:val="009A5BBF"/>
    <w:rsid w:val="009A5C08"/>
    <w:rsid w:val="009A60B8"/>
    <w:rsid w:val="009A6382"/>
    <w:rsid w:val="009A6A1A"/>
    <w:rsid w:val="009A6B3E"/>
    <w:rsid w:val="009A6BC5"/>
    <w:rsid w:val="009A6CA4"/>
    <w:rsid w:val="009A6EA0"/>
    <w:rsid w:val="009A6FD9"/>
    <w:rsid w:val="009A6FF6"/>
    <w:rsid w:val="009A70AF"/>
    <w:rsid w:val="009A724D"/>
    <w:rsid w:val="009A727F"/>
    <w:rsid w:val="009A742A"/>
    <w:rsid w:val="009A7692"/>
    <w:rsid w:val="009A772C"/>
    <w:rsid w:val="009A7911"/>
    <w:rsid w:val="009A794E"/>
    <w:rsid w:val="009A7C10"/>
    <w:rsid w:val="009B000F"/>
    <w:rsid w:val="009B010F"/>
    <w:rsid w:val="009B018C"/>
    <w:rsid w:val="009B094D"/>
    <w:rsid w:val="009B09D9"/>
    <w:rsid w:val="009B0A3C"/>
    <w:rsid w:val="009B0CA1"/>
    <w:rsid w:val="009B0F4B"/>
    <w:rsid w:val="009B106D"/>
    <w:rsid w:val="009B1547"/>
    <w:rsid w:val="009B1561"/>
    <w:rsid w:val="009B15F1"/>
    <w:rsid w:val="009B172E"/>
    <w:rsid w:val="009B1742"/>
    <w:rsid w:val="009B1BCA"/>
    <w:rsid w:val="009B1CD1"/>
    <w:rsid w:val="009B1E2D"/>
    <w:rsid w:val="009B296B"/>
    <w:rsid w:val="009B2B38"/>
    <w:rsid w:val="009B33C7"/>
    <w:rsid w:val="009B3454"/>
    <w:rsid w:val="009B3615"/>
    <w:rsid w:val="009B3B3A"/>
    <w:rsid w:val="009B4268"/>
    <w:rsid w:val="009B433D"/>
    <w:rsid w:val="009B45B4"/>
    <w:rsid w:val="009B46AF"/>
    <w:rsid w:val="009B4797"/>
    <w:rsid w:val="009B47BE"/>
    <w:rsid w:val="009B4CFD"/>
    <w:rsid w:val="009B4D72"/>
    <w:rsid w:val="009B4E72"/>
    <w:rsid w:val="009B504B"/>
    <w:rsid w:val="009B52CB"/>
    <w:rsid w:val="009B53BD"/>
    <w:rsid w:val="009B57EC"/>
    <w:rsid w:val="009B5BA4"/>
    <w:rsid w:val="009B5E8D"/>
    <w:rsid w:val="009B5F42"/>
    <w:rsid w:val="009B5FC2"/>
    <w:rsid w:val="009B61B8"/>
    <w:rsid w:val="009B6596"/>
    <w:rsid w:val="009B65AD"/>
    <w:rsid w:val="009B6752"/>
    <w:rsid w:val="009B6B3D"/>
    <w:rsid w:val="009B6DA1"/>
    <w:rsid w:val="009B6F81"/>
    <w:rsid w:val="009B7003"/>
    <w:rsid w:val="009B730E"/>
    <w:rsid w:val="009B782C"/>
    <w:rsid w:val="009B7E72"/>
    <w:rsid w:val="009B7EC9"/>
    <w:rsid w:val="009C056C"/>
    <w:rsid w:val="009C0732"/>
    <w:rsid w:val="009C0A90"/>
    <w:rsid w:val="009C0BE8"/>
    <w:rsid w:val="009C11F9"/>
    <w:rsid w:val="009C1250"/>
    <w:rsid w:val="009C1251"/>
    <w:rsid w:val="009C1551"/>
    <w:rsid w:val="009C1694"/>
    <w:rsid w:val="009C181E"/>
    <w:rsid w:val="009C18C4"/>
    <w:rsid w:val="009C1A28"/>
    <w:rsid w:val="009C1CDC"/>
    <w:rsid w:val="009C1D89"/>
    <w:rsid w:val="009C1E4E"/>
    <w:rsid w:val="009C20FD"/>
    <w:rsid w:val="009C22B2"/>
    <w:rsid w:val="009C22E7"/>
    <w:rsid w:val="009C235B"/>
    <w:rsid w:val="009C28FD"/>
    <w:rsid w:val="009C2E33"/>
    <w:rsid w:val="009C2F12"/>
    <w:rsid w:val="009C3222"/>
    <w:rsid w:val="009C33D9"/>
    <w:rsid w:val="009C34D0"/>
    <w:rsid w:val="009C3526"/>
    <w:rsid w:val="009C3623"/>
    <w:rsid w:val="009C3A20"/>
    <w:rsid w:val="009C3CD6"/>
    <w:rsid w:val="009C3E2F"/>
    <w:rsid w:val="009C3E4E"/>
    <w:rsid w:val="009C3E87"/>
    <w:rsid w:val="009C40AA"/>
    <w:rsid w:val="009C40EF"/>
    <w:rsid w:val="009C46AC"/>
    <w:rsid w:val="009C4B49"/>
    <w:rsid w:val="009C4BBB"/>
    <w:rsid w:val="009C4C6C"/>
    <w:rsid w:val="009C5039"/>
    <w:rsid w:val="009C5057"/>
    <w:rsid w:val="009C5067"/>
    <w:rsid w:val="009C50A7"/>
    <w:rsid w:val="009C55B8"/>
    <w:rsid w:val="009C5634"/>
    <w:rsid w:val="009C565D"/>
    <w:rsid w:val="009C56E0"/>
    <w:rsid w:val="009C57B3"/>
    <w:rsid w:val="009C5864"/>
    <w:rsid w:val="009C5D3E"/>
    <w:rsid w:val="009C5F69"/>
    <w:rsid w:val="009C5FD2"/>
    <w:rsid w:val="009C6193"/>
    <w:rsid w:val="009C6265"/>
    <w:rsid w:val="009C626B"/>
    <w:rsid w:val="009C6BDC"/>
    <w:rsid w:val="009C6F03"/>
    <w:rsid w:val="009C7016"/>
    <w:rsid w:val="009C704D"/>
    <w:rsid w:val="009C7070"/>
    <w:rsid w:val="009C7289"/>
    <w:rsid w:val="009C72D9"/>
    <w:rsid w:val="009C7315"/>
    <w:rsid w:val="009C7770"/>
    <w:rsid w:val="009C7C5D"/>
    <w:rsid w:val="009C7D03"/>
    <w:rsid w:val="009D011E"/>
    <w:rsid w:val="009D0161"/>
    <w:rsid w:val="009D019B"/>
    <w:rsid w:val="009D05BF"/>
    <w:rsid w:val="009D08F6"/>
    <w:rsid w:val="009D09B5"/>
    <w:rsid w:val="009D0A0F"/>
    <w:rsid w:val="009D0DF0"/>
    <w:rsid w:val="009D15AE"/>
    <w:rsid w:val="009D17EA"/>
    <w:rsid w:val="009D17FA"/>
    <w:rsid w:val="009D18AC"/>
    <w:rsid w:val="009D1A01"/>
    <w:rsid w:val="009D1F0C"/>
    <w:rsid w:val="009D1F29"/>
    <w:rsid w:val="009D203F"/>
    <w:rsid w:val="009D268F"/>
    <w:rsid w:val="009D2740"/>
    <w:rsid w:val="009D2B9C"/>
    <w:rsid w:val="009D2BD0"/>
    <w:rsid w:val="009D2DE3"/>
    <w:rsid w:val="009D38C0"/>
    <w:rsid w:val="009D3A3D"/>
    <w:rsid w:val="009D3B39"/>
    <w:rsid w:val="009D3C12"/>
    <w:rsid w:val="009D3D89"/>
    <w:rsid w:val="009D3F20"/>
    <w:rsid w:val="009D4016"/>
    <w:rsid w:val="009D4291"/>
    <w:rsid w:val="009D4778"/>
    <w:rsid w:val="009D51AA"/>
    <w:rsid w:val="009D5417"/>
    <w:rsid w:val="009D569C"/>
    <w:rsid w:val="009D579A"/>
    <w:rsid w:val="009D58F8"/>
    <w:rsid w:val="009D5941"/>
    <w:rsid w:val="009D5C71"/>
    <w:rsid w:val="009D5E2A"/>
    <w:rsid w:val="009D6277"/>
    <w:rsid w:val="009D676E"/>
    <w:rsid w:val="009D691F"/>
    <w:rsid w:val="009D69AC"/>
    <w:rsid w:val="009D6A99"/>
    <w:rsid w:val="009D6DDE"/>
    <w:rsid w:val="009D704A"/>
    <w:rsid w:val="009D7112"/>
    <w:rsid w:val="009D72DF"/>
    <w:rsid w:val="009D752D"/>
    <w:rsid w:val="009D755F"/>
    <w:rsid w:val="009D7797"/>
    <w:rsid w:val="009D7B15"/>
    <w:rsid w:val="009D7E7F"/>
    <w:rsid w:val="009E0625"/>
    <w:rsid w:val="009E0768"/>
    <w:rsid w:val="009E07CF"/>
    <w:rsid w:val="009E0978"/>
    <w:rsid w:val="009E0AD2"/>
    <w:rsid w:val="009E0B18"/>
    <w:rsid w:val="009E1439"/>
    <w:rsid w:val="009E149D"/>
    <w:rsid w:val="009E175C"/>
    <w:rsid w:val="009E175E"/>
    <w:rsid w:val="009E187B"/>
    <w:rsid w:val="009E19FF"/>
    <w:rsid w:val="009E1CA3"/>
    <w:rsid w:val="009E1D65"/>
    <w:rsid w:val="009E1DD1"/>
    <w:rsid w:val="009E1E6F"/>
    <w:rsid w:val="009E216E"/>
    <w:rsid w:val="009E2245"/>
    <w:rsid w:val="009E22DA"/>
    <w:rsid w:val="009E2666"/>
    <w:rsid w:val="009E276A"/>
    <w:rsid w:val="009E27E3"/>
    <w:rsid w:val="009E29A1"/>
    <w:rsid w:val="009E2BAE"/>
    <w:rsid w:val="009E2D74"/>
    <w:rsid w:val="009E2FE1"/>
    <w:rsid w:val="009E2FF2"/>
    <w:rsid w:val="009E3297"/>
    <w:rsid w:val="009E3E52"/>
    <w:rsid w:val="009E3EBA"/>
    <w:rsid w:val="009E430F"/>
    <w:rsid w:val="009E449A"/>
    <w:rsid w:val="009E44BB"/>
    <w:rsid w:val="009E4A53"/>
    <w:rsid w:val="009E4CA1"/>
    <w:rsid w:val="009E4CC5"/>
    <w:rsid w:val="009E4EF6"/>
    <w:rsid w:val="009E4F89"/>
    <w:rsid w:val="009E5394"/>
    <w:rsid w:val="009E5549"/>
    <w:rsid w:val="009E55D5"/>
    <w:rsid w:val="009E560C"/>
    <w:rsid w:val="009E566B"/>
    <w:rsid w:val="009E57AD"/>
    <w:rsid w:val="009E592A"/>
    <w:rsid w:val="009E59B4"/>
    <w:rsid w:val="009E5B20"/>
    <w:rsid w:val="009E5B4D"/>
    <w:rsid w:val="009E5B90"/>
    <w:rsid w:val="009E5BF9"/>
    <w:rsid w:val="009E5DCF"/>
    <w:rsid w:val="009E5F36"/>
    <w:rsid w:val="009E5F3B"/>
    <w:rsid w:val="009E610E"/>
    <w:rsid w:val="009E634F"/>
    <w:rsid w:val="009E6426"/>
    <w:rsid w:val="009E6B48"/>
    <w:rsid w:val="009E6BAF"/>
    <w:rsid w:val="009E6CDE"/>
    <w:rsid w:val="009E72D8"/>
    <w:rsid w:val="009E734D"/>
    <w:rsid w:val="009E7364"/>
    <w:rsid w:val="009E74F7"/>
    <w:rsid w:val="009E76F9"/>
    <w:rsid w:val="009E77FC"/>
    <w:rsid w:val="009E7C1D"/>
    <w:rsid w:val="009F0014"/>
    <w:rsid w:val="009F028D"/>
    <w:rsid w:val="009F09D7"/>
    <w:rsid w:val="009F0A1D"/>
    <w:rsid w:val="009F0BB9"/>
    <w:rsid w:val="009F0DCC"/>
    <w:rsid w:val="009F0E1A"/>
    <w:rsid w:val="009F122A"/>
    <w:rsid w:val="009F13D3"/>
    <w:rsid w:val="009F1C9B"/>
    <w:rsid w:val="009F1D06"/>
    <w:rsid w:val="009F2269"/>
    <w:rsid w:val="009F27B5"/>
    <w:rsid w:val="009F28B5"/>
    <w:rsid w:val="009F2E5F"/>
    <w:rsid w:val="009F2F2C"/>
    <w:rsid w:val="009F3077"/>
    <w:rsid w:val="009F30A9"/>
    <w:rsid w:val="009F3581"/>
    <w:rsid w:val="009F3A71"/>
    <w:rsid w:val="009F3B12"/>
    <w:rsid w:val="009F3DD0"/>
    <w:rsid w:val="009F3DE5"/>
    <w:rsid w:val="009F3FB2"/>
    <w:rsid w:val="009F400A"/>
    <w:rsid w:val="009F410E"/>
    <w:rsid w:val="009F4261"/>
    <w:rsid w:val="009F4450"/>
    <w:rsid w:val="009F48C0"/>
    <w:rsid w:val="009F4955"/>
    <w:rsid w:val="009F4E2E"/>
    <w:rsid w:val="009F4E3D"/>
    <w:rsid w:val="009F50A4"/>
    <w:rsid w:val="009F52C4"/>
    <w:rsid w:val="009F5447"/>
    <w:rsid w:val="009F557B"/>
    <w:rsid w:val="009F568B"/>
    <w:rsid w:val="009F5828"/>
    <w:rsid w:val="009F5A25"/>
    <w:rsid w:val="009F5A79"/>
    <w:rsid w:val="009F5E73"/>
    <w:rsid w:val="009F6177"/>
    <w:rsid w:val="009F662B"/>
    <w:rsid w:val="009F68E2"/>
    <w:rsid w:val="009F69A8"/>
    <w:rsid w:val="009F6B62"/>
    <w:rsid w:val="009F6E3A"/>
    <w:rsid w:val="009F72B0"/>
    <w:rsid w:val="009F7403"/>
    <w:rsid w:val="009F741C"/>
    <w:rsid w:val="009F7500"/>
    <w:rsid w:val="009F758F"/>
    <w:rsid w:val="009F7626"/>
    <w:rsid w:val="009F768E"/>
    <w:rsid w:val="009F76E7"/>
    <w:rsid w:val="009F76F9"/>
    <w:rsid w:val="009F7A94"/>
    <w:rsid w:val="009F7D59"/>
    <w:rsid w:val="009F7D5D"/>
    <w:rsid w:val="00A0080B"/>
    <w:rsid w:val="00A00D2C"/>
    <w:rsid w:val="00A010DC"/>
    <w:rsid w:val="00A012C7"/>
    <w:rsid w:val="00A013FD"/>
    <w:rsid w:val="00A01677"/>
    <w:rsid w:val="00A01B12"/>
    <w:rsid w:val="00A01E2A"/>
    <w:rsid w:val="00A01E81"/>
    <w:rsid w:val="00A022D4"/>
    <w:rsid w:val="00A023B0"/>
    <w:rsid w:val="00A029F2"/>
    <w:rsid w:val="00A02A02"/>
    <w:rsid w:val="00A02D43"/>
    <w:rsid w:val="00A02D4C"/>
    <w:rsid w:val="00A038E0"/>
    <w:rsid w:val="00A03ADC"/>
    <w:rsid w:val="00A03AE3"/>
    <w:rsid w:val="00A03CB8"/>
    <w:rsid w:val="00A042BE"/>
    <w:rsid w:val="00A0454F"/>
    <w:rsid w:val="00A0458F"/>
    <w:rsid w:val="00A04690"/>
    <w:rsid w:val="00A046FB"/>
    <w:rsid w:val="00A04765"/>
    <w:rsid w:val="00A0492A"/>
    <w:rsid w:val="00A04B93"/>
    <w:rsid w:val="00A04EEE"/>
    <w:rsid w:val="00A0512C"/>
    <w:rsid w:val="00A051CB"/>
    <w:rsid w:val="00A052DE"/>
    <w:rsid w:val="00A05977"/>
    <w:rsid w:val="00A05ABE"/>
    <w:rsid w:val="00A05CC5"/>
    <w:rsid w:val="00A05ED2"/>
    <w:rsid w:val="00A05F04"/>
    <w:rsid w:val="00A06019"/>
    <w:rsid w:val="00A06168"/>
    <w:rsid w:val="00A06186"/>
    <w:rsid w:val="00A06372"/>
    <w:rsid w:val="00A06598"/>
    <w:rsid w:val="00A06D7F"/>
    <w:rsid w:val="00A073CF"/>
    <w:rsid w:val="00A0752A"/>
    <w:rsid w:val="00A078F4"/>
    <w:rsid w:val="00A07980"/>
    <w:rsid w:val="00A07D10"/>
    <w:rsid w:val="00A102E4"/>
    <w:rsid w:val="00A10649"/>
    <w:rsid w:val="00A10808"/>
    <w:rsid w:val="00A10CC6"/>
    <w:rsid w:val="00A10D11"/>
    <w:rsid w:val="00A10F29"/>
    <w:rsid w:val="00A110CE"/>
    <w:rsid w:val="00A11444"/>
    <w:rsid w:val="00A116E5"/>
    <w:rsid w:val="00A11800"/>
    <w:rsid w:val="00A11A9A"/>
    <w:rsid w:val="00A11AB8"/>
    <w:rsid w:val="00A11C0C"/>
    <w:rsid w:val="00A11D59"/>
    <w:rsid w:val="00A11D5C"/>
    <w:rsid w:val="00A121E6"/>
    <w:rsid w:val="00A12403"/>
    <w:rsid w:val="00A12750"/>
    <w:rsid w:val="00A12B27"/>
    <w:rsid w:val="00A12B2A"/>
    <w:rsid w:val="00A12CA3"/>
    <w:rsid w:val="00A12CB4"/>
    <w:rsid w:val="00A12D69"/>
    <w:rsid w:val="00A12D9D"/>
    <w:rsid w:val="00A12E2D"/>
    <w:rsid w:val="00A135A8"/>
    <w:rsid w:val="00A13725"/>
    <w:rsid w:val="00A1386E"/>
    <w:rsid w:val="00A138EF"/>
    <w:rsid w:val="00A13C1F"/>
    <w:rsid w:val="00A141BA"/>
    <w:rsid w:val="00A14210"/>
    <w:rsid w:val="00A142AE"/>
    <w:rsid w:val="00A148BF"/>
    <w:rsid w:val="00A14A24"/>
    <w:rsid w:val="00A15108"/>
    <w:rsid w:val="00A1521B"/>
    <w:rsid w:val="00A15C50"/>
    <w:rsid w:val="00A15CF5"/>
    <w:rsid w:val="00A15F89"/>
    <w:rsid w:val="00A1649C"/>
    <w:rsid w:val="00A1660F"/>
    <w:rsid w:val="00A16616"/>
    <w:rsid w:val="00A16B1D"/>
    <w:rsid w:val="00A16C9D"/>
    <w:rsid w:val="00A16EBB"/>
    <w:rsid w:val="00A1735A"/>
    <w:rsid w:val="00A17366"/>
    <w:rsid w:val="00A174E3"/>
    <w:rsid w:val="00A1785B"/>
    <w:rsid w:val="00A178CF"/>
    <w:rsid w:val="00A17926"/>
    <w:rsid w:val="00A17D9B"/>
    <w:rsid w:val="00A17DAE"/>
    <w:rsid w:val="00A2038B"/>
    <w:rsid w:val="00A203C1"/>
    <w:rsid w:val="00A203E2"/>
    <w:rsid w:val="00A20603"/>
    <w:rsid w:val="00A20A4E"/>
    <w:rsid w:val="00A20C1B"/>
    <w:rsid w:val="00A21277"/>
    <w:rsid w:val="00A212EF"/>
    <w:rsid w:val="00A21569"/>
    <w:rsid w:val="00A217EC"/>
    <w:rsid w:val="00A21AE9"/>
    <w:rsid w:val="00A21B58"/>
    <w:rsid w:val="00A2222A"/>
    <w:rsid w:val="00A224EB"/>
    <w:rsid w:val="00A225CB"/>
    <w:rsid w:val="00A22951"/>
    <w:rsid w:val="00A22B7E"/>
    <w:rsid w:val="00A23113"/>
    <w:rsid w:val="00A231F2"/>
    <w:rsid w:val="00A236CB"/>
    <w:rsid w:val="00A237E3"/>
    <w:rsid w:val="00A23968"/>
    <w:rsid w:val="00A23B78"/>
    <w:rsid w:val="00A23C2D"/>
    <w:rsid w:val="00A23D71"/>
    <w:rsid w:val="00A23D7F"/>
    <w:rsid w:val="00A243EF"/>
    <w:rsid w:val="00A24401"/>
    <w:rsid w:val="00A244A8"/>
    <w:rsid w:val="00A24CB3"/>
    <w:rsid w:val="00A253A6"/>
    <w:rsid w:val="00A25A78"/>
    <w:rsid w:val="00A25ACB"/>
    <w:rsid w:val="00A25B9E"/>
    <w:rsid w:val="00A2642F"/>
    <w:rsid w:val="00A26B77"/>
    <w:rsid w:val="00A26E28"/>
    <w:rsid w:val="00A26E31"/>
    <w:rsid w:val="00A27220"/>
    <w:rsid w:val="00A272CE"/>
    <w:rsid w:val="00A2750B"/>
    <w:rsid w:val="00A275C3"/>
    <w:rsid w:val="00A276B9"/>
    <w:rsid w:val="00A2774B"/>
    <w:rsid w:val="00A27A5F"/>
    <w:rsid w:val="00A27B69"/>
    <w:rsid w:val="00A27D4B"/>
    <w:rsid w:val="00A27EB5"/>
    <w:rsid w:val="00A3002C"/>
    <w:rsid w:val="00A3022B"/>
    <w:rsid w:val="00A30338"/>
    <w:rsid w:val="00A303BB"/>
    <w:rsid w:val="00A305D0"/>
    <w:rsid w:val="00A30A01"/>
    <w:rsid w:val="00A30B08"/>
    <w:rsid w:val="00A30D9E"/>
    <w:rsid w:val="00A30E58"/>
    <w:rsid w:val="00A30E6F"/>
    <w:rsid w:val="00A3128B"/>
    <w:rsid w:val="00A312CC"/>
    <w:rsid w:val="00A3147A"/>
    <w:rsid w:val="00A314F4"/>
    <w:rsid w:val="00A31775"/>
    <w:rsid w:val="00A3183D"/>
    <w:rsid w:val="00A31B3F"/>
    <w:rsid w:val="00A31C0F"/>
    <w:rsid w:val="00A31C6D"/>
    <w:rsid w:val="00A31F64"/>
    <w:rsid w:val="00A32226"/>
    <w:rsid w:val="00A32378"/>
    <w:rsid w:val="00A32386"/>
    <w:rsid w:val="00A323A2"/>
    <w:rsid w:val="00A323B0"/>
    <w:rsid w:val="00A323BD"/>
    <w:rsid w:val="00A32885"/>
    <w:rsid w:val="00A328C5"/>
    <w:rsid w:val="00A32B8B"/>
    <w:rsid w:val="00A32E4F"/>
    <w:rsid w:val="00A3320F"/>
    <w:rsid w:val="00A33220"/>
    <w:rsid w:val="00A33432"/>
    <w:rsid w:val="00A335A9"/>
    <w:rsid w:val="00A3360C"/>
    <w:rsid w:val="00A33618"/>
    <w:rsid w:val="00A336C5"/>
    <w:rsid w:val="00A3376A"/>
    <w:rsid w:val="00A33939"/>
    <w:rsid w:val="00A33A95"/>
    <w:rsid w:val="00A33BCC"/>
    <w:rsid w:val="00A342D4"/>
    <w:rsid w:val="00A3445C"/>
    <w:rsid w:val="00A345AC"/>
    <w:rsid w:val="00A34854"/>
    <w:rsid w:val="00A3496B"/>
    <w:rsid w:val="00A34BA0"/>
    <w:rsid w:val="00A34CED"/>
    <w:rsid w:val="00A34DD6"/>
    <w:rsid w:val="00A34E1F"/>
    <w:rsid w:val="00A34EAA"/>
    <w:rsid w:val="00A3517E"/>
    <w:rsid w:val="00A35286"/>
    <w:rsid w:val="00A352E1"/>
    <w:rsid w:val="00A35378"/>
    <w:rsid w:val="00A354DC"/>
    <w:rsid w:val="00A35576"/>
    <w:rsid w:val="00A35843"/>
    <w:rsid w:val="00A35CB2"/>
    <w:rsid w:val="00A36075"/>
    <w:rsid w:val="00A360CA"/>
    <w:rsid w:val="00A36298"/>
    <w:rsid w:val="00A367FD"/>
    <w:rsid w:val="00A36A97"/>
    <w:rsid w:val="00A36CE8"/>
    <w:rsid w:val="00A36D90"/>
    <w:rsid w:val="00A36F02"/>
    <w:rsid w:val="00A36F6A"/>
    <w:rsid w:val="00A37069"/>
    <w:rsid w:val="00A37327"/>
    <w:rsid w:val="00A37465"/>
    <w:rsid w:val="00A374A2"/>
    <w:rsid w:val="00A37603"/>
    <w:rsid w:val="00A376DE"/>
    <w:rsid w:val="00A376E4"/>
    <w:rsid w:val="00A37EE1"/>
    <w:rsid w:val="00A403D4"/>
    <w:rsid w:val="00A40438"/>
    <w:rsid w:val="00A4047C"/>
    <w:rsid w:val="00A40516"/>
    <w:rsid w:val="00A408FA"/>
    <w:rsid w:val="00A40962"/>
    <w:rsid w:val="00A40B01"/>
    <w:rsid w:val="00A40CB8"/>
    <w:rsid w:val="00A40D3E"/>
    <w:rsid w:val="00A40D9A"/>
    <w:rsid w:val="00A41102"/>
    <w:rsid w:val="00A41371"/>
    <w:rsid w:val="00A41400"/>
    <w:rsid w:val="00A41797"/>
    <w:rsid w:val="00A41DD3"/>
    <w:rsid w:val="00A41F51"/>
    <w:rsid w:val="00A42067"/>
    <w:rsid w:val="00A42165"/>
    <w:rsid w:val="00A42213"/>
    <w:rsid w:val="00A42463"/>
    <w:rsid w:val="00A427B3"/>
    <w:rsid w:val="00A429F6"/>
    <w:rsid w:val="00A42AC6"/>
    <w:rsid w:val="00A42B71"/>
    <w:rsid w:val="00A42B99"/>
    <w:rsid w:val="00A43042"/>
    <w:rsid w:val="00A4317B"/>
    <w:rsid w:val="00A4353D"/>
    <w:rsid w:val="00A43806"/>
    <w:rsid w:val="00A438A2"/>
    <w:rsid w:val="00A43CC0"/>
    <w:rsid w:val="00A43E9C"/>
    <w:rsid w:val="00A43EA3"/>
    <w:rsid w:val="00A44006"/>
    <w:rsid w:val="00A443EC"/>
    <w:rsid w:val="00A447DD"/>
    <w:rsid w:val="00A44806"/>
    <w:rsid w:val="00A449DF"/>
    <w:rsid w:val="00A44AA7"/>
    <w:rsid w:val="00A44BF3"/>
    <w:rsid w:val="00A44C6A"/>
    <w:rsid w:val="00A44C83"/>
    <w:rsid w:val="00A44C96"/>
    <w:rsid w:val="00A44F67"/>
    <w:rsid w:val="00A45218"/>
    <w:rsid w:val="00A454CE"/>
    <w:rsid w:val="00A45893"/>
    <w:rsid w:val="00A45CF3"/>
    <w:rsid w:val="00A45D05"/>
    <w:rsid w:val="00A45D78"/>
    <w:rsid w:val="00A45E1D"/>
    <w:rsid w:val="00A46189"/>
    <w:rsid w:val="00A46772"/>
    <w:rsid w:val="00A467B3"/>
    <w:rsid w:val="00A46900"/>
    <w:rsid w:val="00A46FB6"/>
    <w:rsid w:val="00A4708A"/>
    <w:rsid w:val="00A4723A"/>
    <w:rsid w:val="00A47B6C"/>
    <w:rsid w:val="00A47CB5"/>
    <w:rsid w:val="00A47E64"/>
    <w:rsid w:val="00A50335"/>
    <w:rsid w:val="00A50438"/>
    <w:rsid w:val="00A509A2"/>
    <w:rsid w:val="00A509A8"/>
    <w:rsid w:val="00A511D6"/>
    <w:rsid w:val="00A516D5"/>
    <w:rsid w:val="00A5191C"/>
    <w:rsid w:val="00A51C53"/>
    <w:rsid w:val="00A520B6"/>
    <w:rsid w:val="00A5217E"/>
    <w:rsid w:val="00A522FF"/>
    <w:rsid w:val="00A523E0"/>
    <w:rsid w:val="00A52402"/>
    <w:rsid w:val="00A52580"/>
    <w:rsid w:val="00A525D8"/>
    <w:rsid w:val="00A528BA"/>
    <w:rsid w:val="00A52A26"/>
    <w:rsid w:val="00A52D2A"/>
    <w:rsid w:val="00A52D50"/>
    <w:rsid w:val="00A52F74"/>
    <w:rsid w:val="00A530E3"/>
    <w:rsid w:val="00A534E0"/>
    <w:rsid w:val="00A535C9"/>
    <w:rsid w:val="00A53715"/>
    <w:rsid w:val="00A53735"/>
    <w:rsid w:val="00A5387E"/>
    <w:rsid w:val="00A53898"/>
    <w:rsid w:val="00A53936"/>
    <w:rsid w:val="00A53971"/>
    <w:rsid w:val="00A53B3D"/>
    <w:rsid w:val="00A53D4B"/>
    <w:rsid w:val="00A53DA8"/>
    <w:rsid w:val="00A54099"/>
    <w:rsid w:val="00A54184"/>
    <w:rsid w:val="00A5418D"/>
    <w:rsid w:val="00A54403"/>
    <w:rsid w:val="00A544E6"/>
    <w:rsid w:val="00A54925"/>
    <w:rsid w:val="00A54A3E"/>
    <w:rsid w:val="00A54C1D"/>
    <w:rsid w:val="00A54E4D"/>
    <w:rsid w:val="00A54FC0"/>
    <w:rsid w:val="00A55157"/>
    <w:rsid w:val="00A554D2"/>
    <w:rsid w:val="00A55722"/>
    <w:rsid w:val="00A55779"/>
    <w:rsid w:val="00A55A7B"/>
    <w:rsid w:val="00A55ECB"/>
    <w:rsid w:val="00A55FD9"/>
    <w:rsid w:val="00A5668D"/>
    <w:rsid w:val="00A56B05"/>
    <w:rsid w:val="00A56B33"/>
    <w:rsid w:val="00A57103"/>
    <w:rsid w:val="00A5715D"/>
    <w:rsid w:val="00A57162"/>
    <w:rsid w:val="00A571C1"/>
    <w:rsid w:val="00A5761A"/>
    <w:rsid w:val="00A57935"/>
    <w:rsid w:val="00A57B78"/>
    <w:rsid w:val="00A57CF9"/>
    <w:rsid w:val="00A602AD"/>
    <w:rsid w:val="00A60708"/>
    <w:rsid w:val="00A60BFE"/>
    <w:rsid w:val="00A60DF7"/>
    <w:rsid w:val="00A60EEA"/>
    <w:rsid w:val="00A612B7"/>
    <w:rsid w:val="00A612E1"/>
    <w:rsid w:val="00A61D48"/>
    <w:rsid w:val="00A62533"/>
    <w:rsid w:val="00A62579"/>
    <w:rsid w:val="00A626A0"/>
    <w:rsid w:val="00A62A13"/>
    <w:rsid w:val="00A62B74"/>
    <w:rsid w:val="00A62C13"/>
    <w:rsid w:val="00A62C24"/>
    <w:rsid w:val="00A62C74"/>
    <w:rsid w:val="00A62C7B"/>
    <w:rsid w:val="00A62CB7"/>
    <w:rsid w:val="00A62DFF"/>
    <w:rsid w:val="00A62E6A"/>
    <w:rsid w:val="00A62FA7"/>
    <w:rsid w:val="00A631E9"/>
    <w:rsid w:val="00A63518"/>
    <w:rsid w:val="00A63587"/>
    <w:rsid w:val="00A635B2"/>
    <w:rsid w:val="00A63DD5"/>
    <w:rsid w:val="00A63FA6"/>
    <w:rsid w:val="00A6400E"/>
    <w:rsid w:val="00A6433D"/>
    <w:rsid w:val="00A64370"/>
    <w:rsid w:val="00A64432"/>
    <w:rsid w:val="00A64892"/>
    <w:rsid w:val="00A648EF"/>
    <w:rsid w:val="00A64A2F"/>
    <w:rsid w:val="00A64A63"/>
    <w:rsid w:val="00A64D7C"/>
    <w:rsid w:val="00A64FEF"/>
    <w:rsid w:val="00A65018"/>
    <w:rsid w:val="00A6514D"/>
    <w:rsid w:val="00A65683"/>
    <w:rsid w:val="00A65BE7"/>
    <w:rsid w:val="00A65D68"/>
    <w:rsid w:val="00A66005"/>
    <w:rsid w:val="00A6607F"/>
    <w:rsid w:val="00A6632C"/>
    <w:rsid w:val="00A6636C"/>
    <w:rsid w:val="00A66431"/>
    <w:rsid w:val="00A664E3"/>
    <w:rsid w:val="00A6659E"/>
    <w:rsid w:val="00A668DD"/>
    <w:rsid w:val="00A66C3D"/>
    <w:rsid w:val="00A66C8C"/>
    <w:rsid w:val="00A66DEB"/>
    <w:rsid w:val="00A671FA"/>
    <w:rsid w:val="00A67383"/>
    <w:rsid w:val="00A67710"/>
    <w:rsid w:val="00A70023"/>
    <w:rsid w:val="00A70394"/>
    <w:rsid w:val="00A703A0"/>
    <w:rsid w:val="00A704B9"/>
    <w:rsid w:val="00A7054C"/>
    <w:rsid w:val="00A7057A"/>
    <w:rsid w:val="00A7097F"/>
    <w:rsid w:val="00A70A7D"/>
    <w:rsid w:val="00A70C6A"/>
    <w:rsid w:val="00A70C81"/>
    <w:rsid w:val="00A71042"/>
    <w:rsid w:val="00A710EA"/>
    <w:rsid w:val="00A71343"/>
    <w:rsid w:val="00A714A4"/>
    <w:rsid w:val="00A71875"/>
    <w:rsid w:val="00A71AFA"/>
    <w:rsid w:val="00A71C84"/>
    <w:rsid w:val="00A71DB5"/>
    <w:rsid w:val="00A71E21"/>
    <w:rsid w:val="00A71E6D"/>
    <w:rsid w:val="00A7208A"/>
    <w:rsid w:val="00A721AB"/>
    <w:rsid w:val="00A728E1"/>
    <w:rsid w:val="00A72C65"/>
    <w:rsid w:val="00A730ED"/>
    <w:rsid w:val="00A73139"/>
    <w:rsid w:val="00A731F9"/>
    <w:rsid w:val="00A7327E"/>
    <w:rsid w:val="00A7340E"/>
    <w:rsid w:val="00A73621"/>
    <w:rsid w:val="00A73811"/>
    <w:rsid w:val="00A73D03"/>
    <w:rsid w:val="00A73F50"/>
    <w:rsid w:val="00A7428C"/>
    <w:rsid w:val="00A74790"/>
    <w:rsid w:val="00A749D2"/>
    <w:rsid w:val="00A74DB9"/>
    <w:rsid w:val="00A751EF"/>
    <w:rsid w:val="00A752D8"/>
    <w:rsid w:val="00A75423"/>
    <w:rsid w:val="00A755A2"/>
    <w:rsid w:val="00A75C6B"/>
    <w:rsid w:val="00A75E8D"/>
    <w:rsid w:val="00A75F81"/>
    <w:rsid w:val="00A762AA"/>
    <w:rsid w:val="00A766FF"/>
    <w:rsid w:val="00A76B4A"/>
    <w:rsid w:val="00A76E00"/>
    <w:rsid w:val="00A76EE9"/>
    <w:rsid w:val="00A7700E"/>
    <w:rsid w:val="00A77131"/>
    <w:rsid w:val="00A7746B"/>
    <w:rsid w:val="00A77620"/>
    <w:rsid w:val="00A77845"/>
    <w:rsid w:val="00A77B53"/>
    <w:rsid w:val="00A77C7B"/>
    <w:rsid w:val="00A77D15"/>
    <w:rsid w:val="00A77D45"/>
    <w:rsid w:val="00A77E99"/>
    <w:rsid w:val="00A8050B"/>
    <w:rsid w:val="00A80624"/>
    <w:rsid w:val="00A8094A"/>
    <w:rsid w:val="00A80A31"/>
    <w:rsid w:val="00A80C47"/>
    <w:rsid w:val="00A80FCE"/>
    <w:rsid w:val="00A81089"/>
    <w:rsid w:val="00A8111C"/>
    <w:rsid w:val="00A813B1"/>
    <w:rsid w:val="00A81D11"/>
    <w:rsid w:val="00A81EFB"/>
    <w:rsid w:val="00A8210E"/>
    <w:rsid w:val="00A8212E"/>
    <w:rsid w:val="00A82239"/>
    <w:rsid w:val="00A822FD"/>
    <w:rsid w:val="00A8236D"/>
    <w:rsid w:val="00A823E1"/>
    <w:rsid w:val="00A824B4"/>
    <w:rsid w:val="00A82730"/>
    <w:rsid w:val="00A82770"/>
    <w:rsid w:val="00A82D76"/>
    <w:rsid w:val="00A82E0C"/>
    <w:rsid w:val="00A831ED"/>
    <w:rsid w:val="00A83369"/>
    <w:rsid w:val="00A83525"/>
    <w:rsid w:val="00A836CD"/>
    <w:rsid w:val="00A83851"/>
    <w:rsid w:val="00A83BF4"/>
    <w:rsid w:val="00A83C2C"/>
    <w:rsid w:val="00A8409F"/>
    <w:rsid w:val="00A841B8"/>
    <w:rsid w:val="00A8489D"/>
    <w:rsid w:val="00A84967"/>
    <w:rsid w:val="00A849AF"/>
    <w:rsid w:val="00A849D1"/>
    <w:rsid w:val="00A84A59"/>
    <w:rsid w:val="00A84B62"/>
    <w:rsid w:val="00A84B65"/>
    <w:rsid w:val="00A84C30"/>
    <w:rsid w:val="00A84C41"/>
    <w:rsid w:val="00A85115"/>
    <w:rsid w:val="00A8546E"/>
    <w:rsid w:val="00A855C1"/>
    <w:rsid w:val="00A8597C"/>
    <w:rsid w:val="00A859E5"/>
    <w:rsid w:val="00A85C13"/>
    <w:rsid w:val="00A85C6A"/>
    <w:rsid w:val="00A862C5"/>
    <w:rsid w:val="00A86418"/>
    <w:rsid w:val="00A86617"/>
    <w:rsid w:val="00A867DE"/>
    <w:rsid w:val="00A86E24"/>
    <w:rsid w:val="00A86F95"/>
    <w:rsid w:val="00A870D1"/>
    <w:rsid w:val="00A87180"/>
    <w:rsid w:val="00A87261"/>
    <w:rsid w:val="00A87648"/>
    <w:rsid w:val="00A878D1"/>
    <w:rsid w:val="00A87CC9"/>
    <w:rsid w:val="00A90272"/>
    <w:rsid w:val="00A90408"/>
    <w:rsid w:val="00A90657"/>
    <w:rsid w:val="00A906FA"/>
    <w:rsid w:val="00A90944"/>
    <w:rsid w:val="00A90A7F"/>
    <w:rsid w:val="00A90AAD"/>
    <w:rsid w:val="00A90B82"/>
    <w:rsid w:val="00A91051"/>
    <w:rsid w:val="00A91215"/>
    <w:rsid w:val="00A9132A"/>
    <w:rsid w:val="00A9134F"/>
    <w:rsid w:val="00A91BCE"/>
    <w:rsid w:val="00A91BEF"/>
    <w:rsid w:val="00A91E60"/>
    <w:rsid w:val="00A9214A"/>
    <w:rsid w:val="00A9216C"/>
    <w:rsid w:val="00A92480"/>
    <w:rsid w:val="00A928CC"/>
    <w:rsid w:val="00A92B1E"/>
    <w:rsid w:val="00A92DBF"/>
    <w:rsid w:val="00A9343B"/>
    <w:rsid w:val="00A945D4"/>
    <w:rsid w:val="00A94765"/>
    <w:rsid w:val="00A947DF"/>
    <w:rsid w:val="00A94ACE"/>
    <w:rsid w:val="00A94BF2"/>
    <w:rsid w:val="00A94FB6"/>
    <w:rsid w:val="00A9520D"/>
    <w:rsid w:val="00A952BB"/>
    <w:rsid w:val="00A95486"/>
    <w:rsid w:val="00A95715"/>
    <w:rsid w:val="00A957ED"/>
    <w:rsid w:val="00A958CB"/>
    <w:rsid w:val="00A9593F"/>
    <w:rsid w:val="00A959E2"/>
    <w:rsid w:val="00A95EAD"/>
    <w:rsid w:val="00A96099"/>
    <w:rsid w:val="00A9622F"/>
    <w:rsid w:val="00A96293"/>
    <w:rsid w:val="00A9692E"/>
    <w:rsid w:val="00A969CA"/>
    <w:rsid w:val="00A96AAF"/>
    <w:rsid w:val="00A97011"/>
    <w:rsid w:val="00A970D3"/>
    <w:rsid w:val="00A973E2"/>
    <w:rsid w:val="00A976F1"/>
    <w:rsid w:val="00A9771A"/>
    <w:rsid w:val="00A9775F"/>
    <w:rsid w:val="00A97A08"/>
    <w:rsid w:val="00A97CE6"/>
    <w:rsid w:val="00AA02CB"/>
    <w:rsid w:val="00AA05DF"/>
    <w:rsid w:val="00AA0AC1"/>
    <w:rsid w:val="00AA0B79"/>
    <w:rsid w:val="00AA0FDB"/>
    <w:rsid w:val="00AA1092"/>
    <w:rsid w:val="00AA13DA"/>
    <w:rsid w:val="00AA1532"/>
    <w:rsid w:val="00AA181B"/>
    <w:rsid w:val="00AA18CA"/>
    <w:rsid w:val="00AA1907"/>
    <w:rsid w:val="00AA1B55"/>
    <w:rsid w:val="00AA2221"/>
    <w:rsid w:val="00AA2801"/>
    <w:rsid w:val="00AA29BD"/>
    <w:rsid w:val="00AA2BE2"/>
    <w:rsid w:val="00AA32B9"/>
    <w:rsid w:val="00AA3671"/>
    <w:rsid w:val="00AA393C"/>
    <w:rsid w:val="00AA3A33"/>
    <w:rsid w:val="00AA3AFC"/>
    <w:rsid w:val="00AA3CC0"/>
    <w:rsid w:val="00AA3EF2"/>
    <w:rsid w:val="00AA42AC"/>
    <w:rsid w:val="00AA442B"/>
    <w:rsid w:val="00AA450F"/>
    <w:rsid w:val="00AA467D"/>
    <w:rsid w:val="00AA47BA"/>
    <w:rsid w:val="00AA4802"/>
    <w:rsid w:val="00AA4BF2"/>
    <w:rsid w:val="00AA4C11"/>
    <w:rsid w:val="00AA4C22"/>
    <w:rsid w:val="00AA4D65"/>
    <w:rsid w:val="00AA4DF6"/>
    <w:rsid w:val="00AA5118"/>
    <w:rsid w:val="00AA54C6"/>
    <w:rsid w:val="00AA56B0"/>
    <w:rsid w:val="00AA575C"/>
    <w:rsid w:val="00AA5A3C"/>
    <w:rsid w:val="00AA5BC6"/>
    <w:rsid w:val="00AA5D47"/>
    <w:rsid w:val="00AA6163"/>
    <w:rsid w:val="00AA61F2"/>
    <w:rsid w:val="00AA6616"/>
    <w:rsid w:val="00AA667E"/>
    <w:rsid w:val="00AA68D2"/>
    <w:rsid w:val="00AA6AC1"/>
    <w:rsid w:val="00AA6ACB"/>
    <w:rsid w:val="00AA6AE7"/>
    <w:rsid w:val="00AA6B65"/>
    <w:rsid w:val="00AA6DD4"/>
    <w:rsid w:val="00AA7090"/>
    <w:rsid w:val="00AA73FF"/>
    <w:rsid w:val="00AA7751"/>
    <w:rsid w:val="00AA77EF"/>
    <w:rsid w:val="00AA7D2E"/>
    <w:rsid w:val="00AB01F2"/>
    <w:rsid w:val="00AB0274"/>
    <w:rsid w:val="00AB036B"/>
    <w:rsid w:val="00AB039D"/>
    <w:rsid w:val="00AB03F7"/>
    <w:rsid w:val="00AB0436"/>
    <w:rsid w:val="00AB0D3A"/>
    <w:rsid w:val="00AB0DD3"/>
    <w:rsid w:val="00AB1196"/>
    <w:rsid w:val="00AB11AB"/>
    <w:rsid w:val="00AB14CC"/>
    <w:rsid w:val="00AB1738"/>
    <w:rsid w:val="00AB173C"/>
    <w:rsid w:val="00AB1950"/>
    <w:rsid w:val="00AB1AD7"/>
    <w:rsid w:val="00AB1D8F"/>
    <w:rsid w:val="00AB1DC2"/>
    <w:rsid w:val="00AB1EF6"/>
    <w:rsid w:val="00AB221A"/>
    <w:rsid w:val="00AB23D3"/>
    <w:rsid w:val="00AB2456"/>
    <w:rsid w:val="00AB2569"/>
    <w:rsid w:val="00AB261F"/>
    <w:rsid w:val="00AB289F"/>
    <w:rsid w:val="00AB2DC1"/>
    <w:rsid w:val="00AB2EC2"/>
    <w:rsid w:val="00AB2EEB"/>
    <w:rsid w:val="00AB2F7D"/>
    <w:rsid w:val="00AB3292"/>
    <w:rsid w:val="00AB33E3"/>
    <w:rsid w:val="00AB361A"/>
    <w:rsid w:val="00AB3657"/>
    <w:rsid w:val="00AB38C6"/>
    <w:rsid w:val="00AB39B3"/>
    <w:rsid w:val="00AB3A69"/>
    <w:rsid w:val="00AB3B56"/>
    <w:rsid w:val="00AB3E86"/>
    <w:rsid w:val="00AB4299"/>
    <w:rsid w:val="00AB44AC"/>
    <w:rsid w:val="00AB4865"/>
    <w:rsid w:val="00AB4D93"/>
    <w:rsid w:val="00AB4DA2"/>
    <w:rsid w:val="00AB52DD"/>
    <w:rsid w:val="00AB56A2"/>
    <w:rsid w:val="00AB58D2"/>
    <w:rsid w:val="00AB5DE5"/>
    <w:rsid w:val="00AB5E40"/>
    <w:rsid w:val="00AB5F98"/>
    <w:rsid w:val="00AB608D"/>
    <w:rsid w:val="00AB61FB"/>
    <w:rsid w:val="00AB63A6"/>
    <w:rsid w:val="00AB6416"/>
    <w:rsid w:val="00AB650D"/>
    <w:rsid w:val="00AB688C"/>
    <w:rsid w:val="00AB6CD8"/>
    <w:rsid w:val="00AB6D49"/>
    <w:rsid w:val="00AB6F6C"/>
    <w:rsid w:val="00AB70BE"/>
    <w:rsid w:val="00AB7255"/>
    <w:rsid w:val="00AB7787"/>
    <w:rsid w:val="00AB77E5"/>
    <w:rsid w:val="00AB78D9"/>
    <w:rsid w:val="00AB7DC2"/>
    <w:rsid w:val="00AB7DF7"/>
    <w:rsid w:val="00AB7E74"/>
    <w:rsid w:val="00AB7FD0"/>
    <w:rsid w:val="00AC00F3"/>
    <w:rsid w:val="00AC0222"/>
    <w:rsid w:val="00AC04C8"/>
    <w:rsid w:val="00AC0AB1"/>
    <w:rsid w:val="00AC1217"/>
    <w:rsid w:val="00AC1346"/>
    <w:rsid w:val="00AC18D9"/>
    <w:rsid w:val="00AC2487"/>
    <w:rsid w:val="00AC27FF"/>
    <w:rsid w:val="00AC2A2F"/>
    <w:rsid w:val="00AC2C04"/>
    <w:rsid w:val="00AC2C70"/>
    <w:rsid w:val="00AC31EC"/>
    <w:rsid w:val="00AC31FD"/>
    <w:rsid w:val="00AC3293"/>
    <w:rsid w:val="00AC3624"/>
    <w:rsid w:val="00AC39FE"/>
    <w:rsid w:val="00AC3B0B"/>
    <w:rsid w:val="00AC3B27"/>
    <w:rsid w:val="00AC410C"/>
    <w:rsid w:val="00AC429F"/>
    <w:rsid w:val="00AC4321"/>
    <w:rsid w:val="00AC4557"/>
    <w:rsid w:val="00AC49CF"/>
    <w:rsid w:val="00AC4B2B"/>
    <w:rsid w:val="00AC527B"/>
    <w:rsid w:val="00AC53F6"/>
    <w:rsid w:val="00AC542C"/>
    <w:rsid w:val="00AC59A7"/>
    <w:rsid w:val="00AC5B6C"/>
    <w:rsid w:val="00AC5BE8"/>
    <w:rsid w:val="00AC5C06"/>
    <w:rsid w:val="00AC5EFE"/>
    <w:rsid w:val="00AC68C8"/>
    <w:rsid w:val="00AC6955"/>
    <w:rsid w:val="00AC6AFA"/>
    <w:rsid w:val="00AC6F35"/>
    <w:rsid w:val="00AC717A"/>
    <w:rsid w:val="00AC7613"/>
    <w:rsid w:val="00AC77CB"/>
    <w:rsid w:val="00AC782D"/>
    <w:rsid w:val="00AC79A0"/>
    <w:rsid w:val="00AC7A16"/>
    <w:rsid w:val="00AC7B50"/>
    <w:rsid w:val="00AC7C5A"/>
    <w:rsid w:val="00AC7E54"/>
    <w:rsid w:val="00AD0009"/>
    <w:rsid w:val="00AD012E"/>
    <w:rsid w:val="00AD069D"/>
    <w:rsid w:val="00AD081B"/>
    <w:rsid w:val="00AD084B"/>
    <w:rsid w:val="00AD0A55"/>
    <w:rsid w:val="00AD101C"/>
    <w:rsid w:val="00AD1295"/>
    <w:rsid w:val="00AD14C1"/>
    <w:rsid w:val="00AD16FC"/>
    <w:rsid w:val="00AD1A5C"/>
    <w:rsid w:val="00AD1A5D"/>
    <w:rsid w:val="00AD1C9D"/>
    <w:rsid w:val="00AD1E58"/>
    <w:rsid w:val="00AD1F54"/>
    <w:rsid w:val="00AD2058"/>
    <w:rsid w:val="00AD2113"/>
    <w:rsid w:val="00AD212F"/>
    <w:rsid w:val="00AD22EF"/>
    <w:rsid w:val="00AD2DAC"/>
    <w:rsid w:val="00AD2E1C"/>
    <w:rsid w:val="00AD2E79"/>
    <w:rsid w:val="00AD2EC5"/>
    <w:rsid w:val="00AD2FBC"/>
    <w:rsid w:val="00AD323C"/>
    <w:rsid w:val="00AD36E0"/>
    <w:rsid w:val="00AD38A2"/>
    <w:rsid w:val="00AD38EF"/>
    <w:rsid w:val="00AD3A52"/>
    <w:rsid w:val="00AD3A59"/>
    <w:rsid w:val="00AD3F62"/>
    <w:rsid w:val="00AD4035"/>
    <w:rsid w:val="00AD44DE"/>
    <w:rsid w:val="00AD4872"/>
    <w:rsid w:val="00AD4DB2"/>
    <w:rsid w:val="00AD500B"/>
    <w:rsid w:val="00AD51AB"/>
    <w:rsid w:val="00AD5205"/>
    <w:rsid w:val="00AD5708"/>
    <w:rsid w:val="00AD5852"/>
    <w:rsid w:val="00AD598B"/>
    <w:rsid w:val="00AD5E0C"/>
    <w:rsid w:val="00AD6123"/>
    <w:rsid w:val="00AD674F"/>
    <w:rsid w:val="00AD6845"/>
    <w:rsid w:val="00AD68C1"/>
    <w:rsid w:val="00AD6C00"/>
    <w:rsid w:val="00AD6C74"/>
    <w:rsid w:val="00AD7053"/>
    <w:rsid w:val="00AD748B"/>
    <w:rsid w:val="00AD7659"/>
    <w:rsid w:val="00AD7895"/>
    <w:rsid w:val="00AD79F1"/>
    <w:rsid w:val="00AD79F4"/>
    <w:rsid w:val="00AD7B8E"/>
    <w:rsid w:val="00AE00E2"/>
    <w:rsid w:val="00AE01CF"/>
    <w:rsid w:val="00AE01E4"/>
    <w:rsid w:val="00AE0677"/>
    <w:rsid w:val="00AE0A3A"/>
    <w:rsid w:val="00AE0C87"/>
    <w:rsid w:val="00AE0DCC"/>
    <w:rsid w:val="00AE1315"/>
    <w:rsid w:val="00AE1842"/>
    <w:rsid w:val="00AE1C39"/>
    <w:rsid w:val="00AE2025"/>
    <w:rsid w:val="00AE2421"/>
    <w:rsid w:val="00AE26C9"/>
    <w:rsid w:val="00AE26DD"/>
    <w:rsid w:val="00AE2A19"/>
    <w:rsid w:val="00AE2E4E"/>
    <w:rsid w:val="00AE2EA0"/>
    <w:rsid w:val="00AE368F"/>
    <w:rsid w:val="00AE386E"/>
    <w:rsid w:val="00AE41B1"/>
    <w:rsid w:val="00AE4240"/>
    <w:rsid w:val="00AE43E9"/>
    <w:rsid w:val="00AE45D5"/>
    <w:rsid w:val="00AE46C8"/>
    <w:rsid w:val="00AE4955"/>
    <w:rsid w:val="00AE4C04"/>
    <w:rsid w:val="00AE4E68"/>
    <w:rsid w:val="00AE4E9D"/>
    <w:rsid w:val="00AE527A"/>
    <w:rsid w:val="00AE5404"/>
    <w:rsid w:val="00AE5422"/>
    <w:rsid w:val="00AE54D5"/>
    <w:rsid w:val="00AE5791"/>
    <w:rsid w:val="00AE579B"/>
    <w:rsid w:val="00AE57BB"/>
    <w:rsid w:val="00AE59A6"/>
    <w:rsid w:val="00AE6AAA"/>
    <w:rsid w:val="00AE6BE3"/>
    <w:rsid w:val="00AE6F13"/>
    <w:rsid w:val="00AE7068"/>
    <w:rsid w:val="00AE7321"/>
    <w:rsid w:val="00AE73D7"/>
    <w:rsid w:val="00AE75C1"/>
    <w:rsid w:val="00AE76FD"/>
    <w:rsid w:val="00AE7841"/>
    <w:rsid w:val="00AE7B30"/>
    <w:rsid w:val="00AE7C82"/>
    <w:rsid w:val="00AE7D10"/>
    <w:rsid w:val="00AF025C"/>
    <w:rsid w:val="00AF043A"/>
    <w:rsid w:val="00AF05B0"/>
    <w:rsid w:val="00AF0E17"/>
    <w:rsid w:val="00AF10B2"/>
    <w:rsid w:val="00AF112A"/>
    <w:rsid w:val="00AF11C4"/>
    <w:rsid w:val="00AF12A8"/>
    <w:rsid w:val="00AF18E7"/>
    <w:rsid w:val="00AF1BE6"/>
    <w:rsid w:val="00AF1C90"/>
    <w:rsid w:val="00AF1D41"/>
    <w:rsid w:val="00AF1F1A"/>
    <w:rsid w:val="00AF2181"/>
    <w:rsid w:val="00AF24DF"/>
    <w:rsid w:val="00AF263B"/>
    <w:rsid w:val="00AF29F6"/>
    <w:rsid w:val="00AF2A7B"/>
    <w:rsid w:val="00AF2C75"/>
    <w:rsid w:val="00AF2CCD"/>
    <w:rsid w:val="00AF34A0"/>
    <w:rsid w:val="00AF3903"/>
    <w:rsid w:val="00AF3B34"/>
    <w:rsid w:val="00AF3C5C"/>
    <w:rsid w:val="00AF3D83"/>
    <w:rsid w:val="00AF3DCD"/>
    <w:rsid w:val="00AF427C"/>
    <w:rsid w:val="00AF45D7"/>
    <w:rsid w:val="00AF47D4"/>
    <w:rsid w:val="00AF48C4"/>
    <w:rsid w:val="00AF495B"/>
    <w:rsid w:val="00AF49DD"/>
    <w:rsid w:val="00AF4F9C"/>
    <w:rsid w:val="00AF52BC"/>
    <w:rsid w:val="00AF5327"/>
    <w:rsid w:val="00AF5337"/>
    <w:rsid w:val="00AF540E"/>
    <w:rsid w:val="00AF5549"/>
    <w:rsid w:val="00AF57F7"/>
    <w:rsid w:val="00AF5C5D"/>
    <w:rsid w:val="00AF5F3D"/>
    <w:rsid w:val="00AF64B6"/>
    <w:rsid w:val="00AF64C5"/>
    <w:rsid w:val="00AF659E"/>
    <w:rsid w:val="00AF6681"/>
    <w:rsid w:val="00AF66A9"/>
    <w:rsid w:val="00AF67DD"/>
    <w:rsid w:val="00AF692A"/>
    <w:rsid w:val="00AF6CF2"/>
    <w:rsid w:val="00AF744E"/>
    <w:rsid w:val="00AF74C2"/>
    <w:rsid w:val="00AF79E5"/>
    <w:rsid w:val="00AF7A9B"/>
    <w:rsid w:val="00AF7E92"/>
    <w:rsid w:val="00B00018"/>
    <w:rsid w:val="00B000BE"/>
    <w:rsid w:val="00B0030E"/>
    <w:rsid w:val="00B00879"/>
    <w:rsid w:val="00B00938"/>
    <w:rsid w:val="00B00C29"/>
    <w:rsid w:val="00B00D72"/>
    <w:rsid w:val="00B00D80"/>
    <w:rsid w:val="00B012CA"/>
    <w:rsid w:val="00B01369"/>
    <w:rsid w:val="00B01D56"/>
    <w:rsid w:val="00B01E3F"/>
    <w:rsid w:val="00B023FD"/>
    <w:rsid w:val="00B0249F"/>
    <w:rsid w:val="00B02584"/>
    <w:rsid w:val="00B02C47"/>
    <w:rsid w:val="00B035D9"/>
    <w:rsid w:val="00B03AAB"/>
    <w:rsid w:val="00B03AC1"/>
    <w:rsid w:val="00B03BF2"/>
    <w:rsid w:val="00B04024"/>
    <w:rsid w:val="00B042BF"/>
    <w:rsid w:val="00B04410"/>
    <w:rsid w:val="00B044CA"/>
    <w:rsid w:val="00B044E2"/>
    <w:rsid w:val="00B0470A"/>
    <w:rsid w:val="00B04734"/>
    <w:rsid w:val="00B0479B"/>
    <w:rsid w:val="00B048F0"/>
    <w:rsid w:val="00B04BEA"/>
    <w:rsid w:val="00B04D56"/>
    <w:rsid w:val="00B04EA7"/>
    <w:rsid w:val="00B0510E"/>
    <w:rsid w:val="00B05139"/>
    <w:rsid w:val="00B052F6"/>
    <w:rsid w:val="00B05423"/>
    <w:rsid w:val="00B05D68"/>
    <w:rsid w:val="00B05FEC"/>
    <w:rsid w:val="00B06248"/>
    <w:rsid w:val="00B0627F"/>
    <w:rsid w:val="00B062B1"/>
    <w:rsid w:val="00B064DB"/>
    <w:rsid w:val="00B066FD"/>
    <w:rsid w:val="00B06898"/>
    <w:rsid w:val="00B0726C"/>
    <w:rsid w:val="00B073B7"/>
    <w:rsid w:val="00B073DD"/>
    <w:rsid w:val="00B07491"/>
    <w:rsid w:val="00B07527"/>
    <w:rsid w:val="00B07569"/>
    <w:rsid w:val="00B07601"/>
    <w:rsid w:val="00B076A4"/>
    <w:rsid w:val="00B079BF"/>
    <w:rsid w:val="00B07AC0"/>
    <w:rsid w:val="00B07BA0"/>
    <w:rsid w:val="00B07C18"/>
    <w:rsid w:val="00B07D12"/>
    <w:rsid w:val="00B07F3D"/>
    <w:rsid w:val="00B1019C"/>
    <w:rsid w:val="00B101CD"/>
    <w:rsid w:val="00B10463"/>
    <w:rsid w:val="00B105C4"/>
    <w:rsid w:val="00B1068B"/>
    <w:rsid w:val="00B10790"/>
    <w:rsid w:val="00B10A48"/>
    <w:rsid w:val="00B10B4E"/>
    <w:rsid w:val="00B10CD5"/>
    <w:rsid w:val="00B110CA"/>
    <w:rsid w:val="00B110F5"/>
    <w:rsid w:val="00B1119D"/>
    <w:rsid w:val="00B11322"/>
    <w:rsid w:val="00B11430"/>
    <w:rsid w:val="00B118D1"/>
    <w:rsid w:val="00B11B5F"/>
    <w:rsid w:val="00B11BD3"/>
    <w:rsid w:val="00B11F81"/>
    <w:rsid w:val="00B121CA"/>
    <w:rsid w:val="00B12319"/>
    <w:rsid w:val="00B1265F"/>
    <w:rsid w:val="00B127A9"/>
    <w:rsid w:val="00B12B3E"/>
    <w:rsid w:val="00B12F0E"/>
    <w:rsid w:val="00B12F3B"/>
    <w:rsid w:val="00B13015"/>
    <w:rsid w:val="00B13206"/>
    <w:rsid w:val="00B13405"/>
    <w:rsid w:val="00B136FB"/>
    <w:rsid w:val="00B13794"/>
    <w:rsid w:val="00B1382F"/>
    <w:rsid w:val="00B13921"/>
    <w:rsid w:val="00B13A33"/>
    <w:rsid w:val="00B13A9F"/>
    <w:rsid w:val="00B13B99"/>
    <w:rsid w:val="00B13CD1"/>
    <w:rsid w:val="00B1412C"/>
    <w:rsid w:val="00B144A8"/>
    <w:rsid w:val="00B14578"/>
    <w:rsid w:val="00B14A35"/>
    <w:rsid w:val="00B14F54"/>
    <w:rsid w:val="00B15302"/>
    <w:rsid w:val="00B1535C"/>
    <w:rsid w:val="00B1536C"/>
    <w:rsid w:val="00B15397"/>
    <w:rsid w:val="00B15581"/>
    <w:rsid w:val="00B155AE"/>
    <w:rsid w:val="00B15A59"/>
    <w:rsid w:val="00B15D16"/>
    <w:rsid w:val="00B161E9"/>
    <w:rsid w:val="00B16354"/>
    <w:rsid w:val="00B164F0"/>
    <w:rsid w:val="00B16548"/>
    <w:rsid w:val="00B169DB"/>
    <w:rsid w:val="00B169F0"/>
    <w:rsid w:val="00B16AEC"/>
    <w:rsid w:val="00B16C7D"/>
    <w:rsid w:val="00B16EFC"/>
    <w:rsid w:val="00B17232"/>
    <w:rsid w:val="00B17491"/>
    <w:rsid w:val="00B17AFB"/>
    <w:rsid w:val="00B17B4E"/>
    <w:rsid w:val="00B17E0A"/>
    <w:rsid w:val="00B17F37"/>
    <w:rsid w:val="00B17F6C"/>
    <w:rsid w:val="00B17FBC"/>
    <w:rsid w:val="00B20090"/>
    <w:rsid w:val="00B202D4"/>
    <w:rsid w:val="00B20515"/>
    <w:rsid w:val="00B20E42"/>
    <w:rsid w:val="00B20E6A"/>
    <w:rsid w:val="00B20E83"/>
    <w:rsid w:val="00B21057"/>
    <w:rsid w:val="00B2112B"/>
    <w:rsid w:val="00B216EC"/>
    <w:rsid w:val="00B21868"/>
    <w:rsid w:val="00B21A36"/>
    <w:rsid w:val="00B21A6C"/>
    <w:rsid w:val="00B21B7A"/>
    <w:rsid w:val="00B21CBC"/>
    <w:rsid w:val="00B21CF3"/>
    <w:rsid w:val="00B21D69"/>
    <w:rsid w:val="00B21F61"/>
    <w:rsid w:val="00B21F71"/>
    <w:rsid w:val="00B220CC"/>
    <w:rsid w:val="00B2217D"/>
    <w:rsid w:val="00B22760"/>
    <w:rsid w:val="00B2295C"/>
    <w:rsid w:val="00B22A4E"/>
    <w:rsid w:val="00B22AC9"/>
    <w:rsid w:val="00B22CEE"/>
    <w:rsid w:val="00B22E39"/>
    <w:rsid w:val="00B2319A"/>
    <w:rsid w:val="00B234C3"/>
    <w:rsid w:val="00B235E1"/>
    <w:rsid w:val="00B2377F"/>
    <w:rsid w:val="00B237DE"/>
    <w:rsid w:val="00B23887"/>
    <w:rsid w:val="00B23950"/>
    <w:rsid w:val="00B23DBD"/>
    <w:rsid w:val="00B24082"/>
    <w:rsid w:val="00B241F9"/>
    <w:rsid w:val="00B24238"/>
    <w:rsid w:val="00B248A0"/>
    <w:rsid w:val="00B24CD7"/>
    <w:rsid w:val="00B24F22"/>
    <w:rsid w:val="00B24F96"/>
    <w:rsid w:val="00B25579"/>
    <w:rsid w:val="00B25994"/>
    <w:rsid w:val="00B259BD"/>
    <w:rsid w:val="00B259CD"/>
    <w:rsid w:val="00B25F06"/>
    <w:rsid w:val="00B25F50"/>
    <w:rsid w:val="00B25F52"/>
    <w:rsid w:val="00B261AA"/>
    <w:rsid w:val="00B261DE"/>
    <w:rsid w:val="00B2621B"/>
    <w:rsid w:val="00B2623A"/>
    <w:rsid w:val="00B263D0"/>
    <w:rsid w:val="00B266A0"/>
    <w:rsid w:val="00B266C8"/>
    <w:rsid w:val="00B268BE"/>
    <w:rsid w:val="00B26A1F"/>
    <w:rsid w:val="00B26A5D"/>
    <w:rsid w:val="00B26B55"/>
    <w:rsid w:val="00B27104"/>
    <w:rsid w:val="00B2748A"/>
    <w:rsid w:val="00B27560"/>
    <w:rsid w:val="00B275FA"/>
    <w:rsid w:val="00B276E7"/>
    <w:rsid w:val="00B2779E"/>
    <w:rsid w:val="00B27937"/>
    <w:rsid w:val="00B27B06"/>
    <w:rsid w:val="00B27BC2"/>
    <w:rsid w:val="00B27BD5"/>
    <w:rsid w:val="00B27D92"/>
    <w:rsid w:val="00B27EAF"/>
    <w:rsid w:val="00B302ED"/>
    <w:rsid w:val="00B305A8"/>
    <w:rsid w:val="00B3087F"/>
    <w:rsid w:val="00B30929"/>
    <w:rsid w:val="00B3114C"/>
    <w:rsid w:val="00B31308"/>
    <w:rsid w:val="00B31441"/>
    <w:rsid w:val="00B31560"/>
    <w:rsid w:val="00B31669"/>
    <w:rsid w:val="00B317FA"/>
    <w:rsid w:val="00B3191D"/>
    <w:rsid w:val="00B32343"/>
    <w:rsid w:val="00B3274B"/>
    <w:rsid w:val="00B32D73"/>
    <w:rsid w:val="00B32F05"/>
    <w:rsid w:val="00B32FAD"/>
    <w:rsid w:val="00B330EE"/>
    <w:rsid w:val="00B331E1"/>
    <w:rsid w:val="00B332CB"/>
    <w:rsid w:val="00B33494"/>
    <w:rsid w:val="00B336BF"/>
    <w:rsid w:val="00B33C54"/>
    <w:rsid w:val="00B33E67"/>
    <w:rsid w:val="00B33F8B"/>
    <w:rsid w:val="00B3400C"/>
    <w:rsid w:val="00B34194"/>
    <w:rsid w:val="00B3452F"/>
    <w:rsid w:val="00B34564"/>
    <w:rsid w:val="00B34AF9"/>
    <w:rsid w:val="00B34F0D"/>
    <w:rsid w:val="00B34F20"/>
    <w:rsid w:val="00B352C0"/>
    <w:rsid w:val="00B3533D"/>
    <w:rsid w:val="00B3540F"/>
    <w:rsid w:val="00B35523"/>
    <w:rsid w:val="00B35BF4"/>
    <w:rsid w:val="00B35E70"/>
    <w:rsid w:val="00B3614B"/>
    <w:rsid w:val="00B36749"/>
    <w:rsid w:val="00B36803"/>
    <w:rsid w:val="00B36921"/>
    <w:rsid w:val="00B36DE3"/>
    <w:rsid w:val="00B3723D"/>
    <w:rsid w:val="00B37757"/>
    <w:rsid w:val="00B37DE1"/>
    <w:rsid w:val="00B37DFC"/>
    <w:rsid w:val="00B37EA2"/>
    <w:rsid w:val="00B37EF4"/>
    <w:rsid w:val="00B40760"/>
    <w:rsid w:val="00B409C0"/>
    <w:rsid w:val="00B409F4"/>
    <w:rsid w:val="00B40CD0"/>
    <w:rsid w:val="00B40E39"/>
    <w:rsid w:val="00B4135A"/>
    <w:rsid w:val="00B4141A"/>
    <w:rsid w:val="00B41471"/>
    <w:rsid w:val="00B414BD"/>
    <w:rsid w:val="00B4159C"/>
    <w:rsid w:val="00B41749"/>
    <w:rsid w:val="00B417DF"/>
    <w:rsid w:val="00B4197F"/>
    <w:rsid w:val="00B41AD3"/>
    <w:rsid w:val="00B42146"/>
    <w:rsid w:val="00B42270"/>
    <w:rsid w:val="00B426F8"/>
    <w:rsid w:val="00B42D23"/>
    <w:rsid w:val="00B42FC1"/>
    <w:rsid w:val="00B432AA"/>
    <w:rsid w:val="00B4361C"/>
    <w:rsid w:val="00B4387A"/>
    <w:rsid w:val="00B43A66"/>
    <w:rsid w:val="00B43B10"/>
    <w:rsid w:val="00B43D20"/>
    <w:rsid w:val="00B43D9C"/>
    <w:rsid w:val="00B441DB"/>
    <w:rsid w:val="00B443C1"/>
    <w:rsid w:val="00B44422"/>
    <w:rsid w:val="00B44674"/>
    <w:rsid w:val="00B44915"/>
    <w:rsid w:val="00B44C24"/>
    <w:rsid w:val="00B45079"/>
    <w:rsid w:val="00B4556A"/>
    <w:rsid w:val="00B45626"/>
    <w:rsid w:val="00B45AF9"/>
    <w:rsid w:val="00B45B79"/>
    <w:rsid w:val="00B45B7A"/>
    <w:rsid w:val="00B46B64"/>
    <w:rsid w:val="00B46BDD"/>
    <w:rsid w:val="00B46CC1"/>
    <w:rsid w:val="00B46DBE"/>
    <w:rsid w:val="00B470EA"/>
    <w:rsid w:val="00B47394"/>
    <w:rsid w:val="00B475A9"/>
    <w:rsid w:val="00B4799D"/>
    <w:rsid w:val="00B47A89"/>
    <w:rsid w:val="00B47D66"/>
    <w:rsid w:val="00B47E4F"/>
    <w:rsid w:val="00B47F0C"/>
    <w:rsid w:val="00B50331"/>
    <w:rsid w:val="00B50334"/>
    <w:rsid w:val="00B50C5A"/>
    <w:rsid w:val="00B50D1D"/>
    <w:rsid w:val="00B50DBD"/>
    <w:rsid w:val="00B50EB7"/>
    <w:rsid w:val="00B50EBE"/>
    <w:rsid w:val="00B5135D"/>
    <w:rsid w:val="00B5160C"/>
    <w:rsid w:val="00B51A16"/>
    <w:rsid w:val="00B51BFA"/>
    <w:rsid w:val="00B51E10"/>
    <w:rsid w:val="00B51E46"/>
    <w:rsid w:val="00B51EB4"/>
    <w:rsid w:val="00B52323"/>
    <w:rsid w:val="00B5274E"/>
    <w:rsid w:val="00B52B71"/>
    <w:rsid w:val="00B52B80"/>
    <w:rsid w:val="00B52CCA"/>
    <w:rsid w:val="00B52D3D"/>
    <w:rsid w:val="00B52D3E"/>
    <w:rsid w:val="00B52DCB"/>
    <w:rsid w:val="00B52E0E"/>
    <w:rsid w:val="00B530DC"/>
    <w:rsid w:val="00B5313E"/>
    <w:rsid w:val="00B53267"/>
    <w:rsid w:val="00B53387"/>
    <w:rsid w:val="00B534F0"/>
    <w:rsid w:val="00B53AEF"/>
    <w:rsid w:val="00B53BC9"/>
    <w:rsid w:val="00B53D03"/>
    <w:rsid w:val="00B53E86"/>
    <w:rsid w:val="00B5417C"/>
    <w:rsid w:val="00B546E2"/>
    <w:rsid w:val="00B5548E"/>
    <w:rsid w:val="00B55583"/>
    <w:rsid w:val="00B55AC6"/>
    <w:rsid w:val="00B55D56"/>
    <w:rsid w:val="00B55F9E"/>
    <w:rsid w:val="00B55FBA"/>
    <w:rsid w:val="00B560F0"/>
    <w:rsid w:val="00B56134"/>
    <w:rsid w:val="00B566BA"/>
    <w:rsid w:val="00B569A4"/>
    <w:rsid w:val="00B569B8"/>
    <w:rsid w:val="00B570F1"/>
    <w:rsid w:val="00B57DC9"/>
    <w:rsid w:val="00B57E2F"/>
    <w:rsid w:val="00B601AA"/>
    <w:rsid w:val="00B6050E"/>
    <w:rsid w:val="00B60670"/>
    <w:rsid w:val="00B60689"/>
    <w:rsid w:val="00B60950"/>
    <w:rsid w:val="00B609BB"/>
    <w:rsid w:val="00B60D86"/>
    <w:rsid w:val="00B60DEB"/>
    <w:rsid w:val="00B6114D"/>
    <w:rsid w:val="00B6132E"/>
    <w:rsid w:val="00B613EC"/>
    <w:rsid w:val="00B615D3"/>
    <w:rsid w:val="00B61650"/>
    <w:rsid w:val="00B616C9"/>
    <w:rsid w:val="00B61EB6"/>
    <w:rsid w:val="00B62148"/>
    <w:rsid w:val="00B62226"/>
    <w:rsid w:val="00B626A3"/>
    <w:rsid w:val="00B62746"/>
    <w:rsid w:val="00B62954"/>
    <w:rsid w:val="00B62DAF"/>
    <w:rsid w:val="00B62E1E"/>
    <w:rsid w:val="00B62FE1"/>
    <w:rsid w:val="00B6392E"/>
    <w:rsid w:val="00B63BA9"/>
    <w:rsid w:val="00B63C03"/>
    <w:rsid w:val="00B64103"/>
    <w:rsid w:val="00B641A2"/>
    <w:rsid w:val="00B6429C"/>
    <w:rsid w:val="00B64AB2"/>
    <w:rsid w:val="00B651B0"/>
    <w:rsid w:val="00B651FC"/>
    <w:rsid w:val="00B65207"/>
    <w:rsid w:val="00B6522F"/>
    <w:rsid w:val="00B65343"/>
    <w:rsid w:val="00B654FC"/>
    <w:rsid w:val="00B65BE6"/>
    <w:rsid w:val="00B65C8F"/>
    <w:rsid w:val="00B65EDD"/>
    <w:rsid w:val="00B65FEF"/>
    <w:rsid w:val="00B6648B"/>
    <w:rsid w:val="00B665B6"/>
    <w:rsid w:val="00B66615"/>
    <w:rsid w:val="00B667B3"/>
    <w:rsid w:val="00B66D07"/>
    <w:rsid w:val="00B66D23"/>
    <w:rsid w:val="00B66E04"/>
    <w:rsid w:val="00B67104"/>
    <w:rsid w:val="00B672A1"/>
    <w:rsid w:val="00B67333"/>
    <w:rsid w:val="00B673C4"/>
    <w:rsid w:val="00B67518"/>
    <w:rsid w:val="00B678D5"/>
    <w:rsid w:val="00B678D9"/>
    <w:rsid w:val="00B67CB0"/>
    <w:rsid w:val="00B67DB4"/>
    <w:rsid w:val="00B67DB7"/>
    <w:rsid w:val="00B67DC3"/>
    <w:rsid w:val="00B67E5F"/>
    <w:rsid w:val="00B70554"/>
    <w:rsid w:val="00B706D1"/>
    <w:rsid w:val="00B71015"/>
    <w:rsid w:val="00B71248"/>
    <w:rsid w:val="00B7127C"/>
    <w:rsid w:val="00B71B61"/>
    <w:rsid w:val="00B72018"/>
    <w:rsid w:val="00B72633"/>
    <w:rsid w:val="00B72965"/>
    <w:rsid w:val="00B72A38"/>
    <w:rsid w:val="00B72A3E"/>
    <w:rsid w:val="00B72DF7"/>
    <w:rsid w:val="00B72E6C"/>
    <w:rsid w:val="00B72F50"/>
    <w:rsid w:val="00B731DE"/>
    <w:rsid w:val="00B731EC"/>
    <w:rsid w:val="00B732C5"/>
    <w:rsid w:val="00B7354A"/>
    <w:rsid w:val="00B739B0"/>
    <w:rsid w:val="00B73A00"/>
    <w:rsid w:val="00B73AAF"/>
    <w:rsid w:val="00B73D41"/>
    <w:rsid w:val="00B73DE6"/>
    <w:rsid w:val="00B73DF3"/>
    <w:rsid w:val="00B73F25"/>
    <w:rsid w:val="00B741AF"/>
    <w:rsid w:val="00B7439A"/>
    <w:rsid w:val="00B74454"/>
    <w:rsid w:val="00B7465C"/>
    <w:rsid w:val="00B748CC"/>
    <w:rsid w:val="00B74A97"/>
    <w:rsid w:val="00B74B49"/>
    <w:rsid w:val="00B74B4A"/>
    <w:rsid w:val="00B74B7D"/>
    <w:rsid w:val="00B74FAA"/>
    <w:rsid w:val="00B75285"/>
    <w:rsid w:val="00B75485"/>
    <w:rsid w:val="00B75488"/>
    <w:rsid w:val="00B7555F"/>
    <w:rsid w:val="00B757AA"/>
    <w:rsid w:val="00B758A5"/>
    <w:rsid w:val="00B75A8C"/>
    <w:rsid w:val="00B75E18"/>
    <w:rsid w:val="00B75E91"/>
    <w:rsid w:val="00B76067"/>
    <w:rsid w:val="00B76260"/>
    <w:rsid w:val="00B76399"/>
    <w:rsid w:val="00B76706"/>
    <w:rsid w:val="00B76E0E"/>
    <w:rsid w:val="00B76EBD"/>
    <w:rsid w:val="00B76ECE"/>
    <w:rsid w:val="00B77545"/>
    <w:rsid w:val="00B775BE"/>
    <w:rsid w:val="00B776CD"/>
    <w:rsid w:val="00B77801"/>
    <w:rsid w:val="00B80197"/>
    <w:rsid w:val="00B801A8"/>
    <w:rsid w:val="00B80214"/>
    <w:rsid w:val="00B80476"/>
    <w:rsid w:val="00B804E8"/>
    <w:rsid w:val="00B8064C"/>
    <w:rsid w:val="00B806CB"/>
    <w:rsid w:val="00B808E4"/>
    <w:rsid w:val="00B80A92"/>
    <w:rsid w:val="00B80C40"/>
    <w:rsid w:val="00B80E47"/>
    <w:rsid w:val="00B81052"/>
    <w:rsid w:val="00B81156"/>
    <w:rsid w:val="00B812BD"/>
    <w:rsid w:val="00B815B0"/>
    <w:rsid w:val="00B81879"/>
    <w:rsid w:val="00B818BE"/>
    <w:rsid w:val="00B81A78"/>
    <w:rsid w:val="00B81B6B"/>
    <w:rsid w:val="00B81C89"/>
    <w:rsid w:val="00B81E3E"/>
    <w:rsid w:val="00B82082"/>
    <w:rsid w:val="00B82321"/>
    <w:rsid w:val="00B8255F"/>
    <w:rsid w:val="00B825B0"/>
    <w:rsid w:val="00B82A7D"/>
    <w:rsid w:val="00B82C01"/>
    <w:rsid w:val="00B82C1F"/>
    <w:rsid w:val="00B82D3A"/>
    <w:rsid w:val="00B82E52"/>
    <w:rsid w:val="00B8304C"/>
    <w:rsid w:val="00B83381"/>
    <w:rsid w:val="00B835A3"/>
    <w:rsid w:val="00B83E46"/>
    <w:rsid w:val="00B843B6"/>
    <w:rsid w:val="00B84689"/>
    <w:rsid w:val="00B849C9"/>
    <w:rsid w:val="00B84A62"/>
    <w:rsid w:val="00B84ED3"/>
    <w:rsid w:val="00B84F34"/>
    <w:rsid w:val="00B84F7F"/>
    <w:rsid w:val="00B853C7"/>
    <w:rsid w:val="00B85414"/>
    <w:rsid w:val="00B85465"/>
    <w:rsid w:val="00B85747"/>
    <w:rsid w:val="00B85A45"/>
    <w:rsid w:val="00B85D09"/>
    <w:rsid w:val="00B8645C"/>
    <w:rsid w:val="00B86801"/>
    <w:rsid w:val="00B86933"/>
    <w:rsid w:val="00B86BB1"/>
    <w:rsid w:val="00B86C48"/>
    <w:rsid w:val="00B87258"/>
    <w:rsid w:val="00B87688"/>
    <w:rsid w:val="00B8777E"/>
    <w:rsid w:val="00B87D7A"/>
    <w:rsid w:val="00B908F8"/>
    <w:rsid w:val="00B90B26"/>
    <w:rsid w:val="00B90D71"/>
    <w:rsid w:val="00B90DBE"/>
    <w:rsid w:val="00B90DC1"/>
    <w:rsid w:val="00B9101E"/>
    <w:rsid w:val="00B91027"/>
    <w:rsid w:val="00B9111B"/>
    <w:rsid w:val="00B911E7"/>
    <w:rsid w:val="00B91223"/>
    <w:rsid w:val="00B9141B"/>
    <w:rsid w:val="00B91487"/>
    <w:rsid w:val="00B917C1"/>
    <w:rsid w:val="00B91CCC"/>
    <w:rsid w:val="00B91D5A"/>
    <w:rsid w:val="00B91F97"/>
    <w:rsid w:val="00B921B0"/>
    <w:rsid w:val="00B9259E"/>
    <w:rsid w:val="00B927CB"/>
    <w:rsid w:val="00B92CB2"/>
    <w:rsid w:val="00B92DCC"/>
    <w:rsid w:val="00B92FE6"/>
    <w:rsid w:val="00B93044"/>
    <w:rsid w:val="00B93535"/>
    <w:rsid w:val="00B935F8"/>
    <w:rsid w:val="00B93D0B"/>
    <w:rsid w:val="00B93D3B"/>
    <w:rsid w:val="00B93E98"/>
    <w:rsid w:val="00B943FB"/>
    <w:rsid w:val="00B94914"/>
    <w:rsid w:val="00B94A79"/>
    <w:rsid w:val="00B94ADD"/>
    <w:rsid w:val="00B94C87"/>
    <w:rsid w:val="00B94D17"/>
    <w:rsid w:val="00B950CA"/>
    <w:rsid w:val="00B952F6"/>
    <w:rsid w:val="00B953B9"/>
    <w:rsid w:val="00B95491"/>
    <w:rsid w:val="00B95568"/>
    <w:rsid w:val="00B9557F"/>
    <w:rsid w:val="00B95AB2"/>
    <w:rsid w:val="00B95D4B"/>
    <w:rsid w:val="00B95D73"/>
    <w:rsid w:val="00B96316"/>
    <w:rsid w:val="00B963DB"/>
    <w:rsid w:val="00B964E1"/>
    <w:rsid w:val="00B9652D"/>
    <w:rsid w:val="00B96574"/>
    <w:rsid w:val="00B965FD"/>
    <w:rsid w:val="00B96766"/>
    <w:rsid w:val="00B96C7F"/>
    <w:rsid w:val="00B96E51"/>
    <w:rsid w:val="00B970A0"/>
    <w:rsid w:val="00B97189"/>
    <w:rsid w:val="00B972E1"/>
    <w:rsid w:val="00B972F6"/>
    <w:rsid w:val="00B973EA"/>
    <w:rsid w:val="00B97429"/>
    <w:rsid w:val="00B977E4"/>
    <w:rsid w:val="00B97A18"/>
    <w:rsid w:val="00B97B3D"/>
    <w:rsid w:val="00BA015D"/>
    <w:rsid w:val="00BA0229"/>
    <w:rsid w:val="00BA0860"/>
    <w:rsid w:val="00BA0A8E"/>
    <w:rsid w:val="00BA0ECC"/>
    <w:rsid w:val="00BA139E"/>
    <w:rsid w:val="00BA17E4"/>
    <w:rsid w:val="00BA1A10"/>
    <w:rsid w:val="00BA1A90"/>
    <w:rsid w:val="00BA1B35"/>
    <w:rsid w:val="00BA1B99"/>
    <w:rsid w:val="00BA1C72"/>
    <w:rsid w:val="00BA2652"/>
    <w:rsid w:val="00BA2914"/>
    <w:rsid w:val="00BA2B6F"/>
    <w:rsid w:val="00BA2DD7"/>
    <w:rsid w:val="00BA3072"/>
    <w:rsid w:val="00BA30C7"/>
    <w:rsid w:val="00BA35C5"/>
    <w:rsid w:val="00BA3857"/>
    <w:rsid w:val="00BA3A00"/>
    <w:rsid w:val="00BA3CB8"/>
    <w:rsid w:val="00BA3CFD"/>
    <w:rsid w:val="00BA3D55"/>
    <w:rsid w:val="00BA4183"/>
    <w:rsid w:val="00BA4301"/>
    <w:rsid w:val="00BA449D"/>
    <w:rsid w:val="00BA45D8"/>
    <w:rsid w:val="00BA52B6"/>
    <w:rsid w:val="00BA5320"/>
    <w:rsid w:val="00BA532E"/>
    <w:rsid w:val="00BA5982"/>
    <w:rsid w:val="00BA5B32"/>
    <w:rsid w:val="00BA5B52"/>
    <w:rsid w:val="00BA5B9A"/>
    <w:rsid w:val="00BA5E53"/>
    <w:rsid w:val="00BA5ED7"/>
    <w:rsid w:val="00BA613A"/>
    <w:rsid w:val="00BA6226"/>
    <w:rsid w:val="00BA6510"/>
    <w:rsid w:val="00BA65AB"/>
    <w:rsid w:val="00BA688B"/>
    <w:rsid w:val="00BA6C06"/>
    <w:rsid w:val="00BA6DF7"/>
    <w:rsid w:val="00BA6F40"/>
    <w:rsid w:val="00BA7246"/>
    <w:rsid w:val="00BA7262"/>
    <w:rsid w:val="00BA7269"/>
    <w:rsid w:val="00BA757B"/>
    <w:rsid w:val="00BA7A42"/>
    <w:rsid w:val="00BA7AAD"/>
    <w:rsid w:val="00BA7AB6"/>
    <w:rsid w:val="00BA7B74"/>
    <w:rsid w:val="00BA7D3A"/>
    <w:rsid w:val="00BB0E11"/>
    <w:rsid w:val="00BB0F25"/>
    <w:rsid w:val="00BB0F4D"/>
    <w:rsid w:val="00BB1628"/>
    <w:rsid w:val="00BB1803"/>
    <w:rsid w:val="00BB1837"/>
    <w:rsid w:val="00BB1857"/>
    <w:rsid w:val="00BB18C4"/>
    <w:rsid w:val="00BB1C14"/>
    <w:rsid w:val="00BB1CBA"/>
    <w:rsid w:val="00BB25A9"/>
    <w:rsid w:val="00BB27DE"/>
    <w:rsid w:val="00BB298C"/>
    <w:rsid w:val="00BB29AF"/>
    <w:rsid w:val="00BB2ABC"/>
    <w:rsid w:val="00BB2D92"/>
    <w:rsid w:val="00BB3046"/>
    <w:rsid w:val="00BB3461"/>
    <w:rsid w:val="00BB3619"/>
    <w:rsid w:val="00BB36B1"/>
    <w:rsid w:val="00BB372A"/>
    <w:rsid w:val="00BB3895"/>
    <w:rsid w:val="00BB3990"/>
    <w:rsid w:val="00BB3F05"/>
    <w:rsid w:val="00BB4035"/>
    <w:rsid w:val="00BB434B"/>
    <w:rsid w:val="00BB4485"/>
    <w:rsid w:val="00BB4AEA"/>
    <w:rsid w:val="00BB4B7E"/>
    <w:rsid w:val="00BB4F35"/>
    <w:rsid w:val="00BB4F46"/>
    <w:rsid w:val="00BB5673"/>
    <w:rsid w:val="00BB5AAA"/>
    <w:rsid w:val="00BB5B80"/>
    <w:rsid w:val="00BB5EEC"/>
    <w:rsid w:val="00BB617F"/>
    <w:rsid w:val="00BB67F4"/>
    <w:rsid w:val="00BB68FD"/>
    <w:rsid w:val="00BB6C69"/>
    <w:rsid w:val="00BB70C8"/>
    <w:rsid w:val="00BB7218"/>
    <w:rsid w:val="00BB7227"/>
    <w:rsid w:val="00BB7410"/>
    <w:rsid w:val="00BB761A"/>
    <w:rsid w:val="00BB788E"/>
    <w:rsid w:val="00BB78D1"/>
    <w:rsid w:val="00BC0455"/>
    <w:rsid w:val="00BC0974"/>
    <w:rsid w:val="00BC0C75"/>
    <w:rsid w:val="00BC0E32"/>
    <w:rsid w:val="00BC0E33"/>
    <w:rsid w:val="00BC0F7E"/>
    <w:rsid w:val="00BC126B"/>
    <w:rsid w:val="00BC130F"/>
    <w:rsid w:val="00BC18C9"/>
    <w:rsid w:val="00BC1918"/>
    <w:rsid w:val="00BC1A76"/>
    <w:rsid w:val="00BC1AB4"/>
    <w:rsid w:val="00BC1B77"/>
    <w:rsid w:val="00BC1FFB"/>
    <w:rsid w:val="00BC2122"/>
    <w:rsid w:val="00BC23A5"/>
    <w:rsid w:val="00BC265E"/>
    <w:rsid w:val="00BC269F"/>
    <w:rsid w:val="00BC29C7"/>
    <w:rsid w:val="00BC2BC9"/>
    <w:rsid w:val="00BC2BDA"/>
    <w:rsid w:val="00BC2BE0"/>
    <w:rsid w:val="00BC2D2B"/>
    <w:rsid w:val="00BC2DB1"/>
    <w:rsid w:val="00BC2DD0"/>
    <w:rsid w:val="00BC33CF"/>
    <w:rsid w:val="00BC35A6"/>
    <w:rsid w:val="00BC38CE"/>
    <w:rsid w:val="00BC3991"/>
    <w:rsid w:val="00BC3FD0"/>
    <w:rsid w:val="00BC4609"/>
    <w:rsid w:val="00BC473C"/>
    <w:rsid w:val="00BC4B45"/>
    <w:rsid w:val="00BC4B70"/>
    <w:rsid w:val="00BC555E"/>
    <w:rsid w:val="00BC575C"/>
    <w:rsid w:val="00BC5923"/>
    <w:rsid w:val="00BC5A95"/>
    <w:rsid w:val="00BC5AD6"/>
    <w:rsid w:val="00BC61C4"/>
    <w:rsid w:val="00BC65D9"/>
    <w:rsid w:val="00BC683D"/>
    <w:rsid w:val="00BC69AA"/>
    <w:rsid w:val="00BC6B48"/>
    <w:rsid w:val="00BC6CC5"/>
    <w:rsid w:val="00BC6D68"/>
    <w:rsid w:val="00BC6DC4"/>
    <w:rsid w:val="00BC7240"/>
    <w:rsid w:val="00BC74D6"/>
    <w:rsid w:val="00BC76EA"/>
    <w:rsid w:val="00BC77EF"/>
    <w:rsid w:val="00BC7969"/>
    <w:rsid w:val="00BC79A6"/>
    <w:rsid w:val="00BC79B3"/>
    <w:rsid w:val="00BC7C7C"/>
    <w:rsid w:val="00BD0322"/>
    <w:rsid w:val="00BD05D8"/>
    <w:rsid w:val="00BD06E7"/>
    <w:rsid w:val="00BD0A2B"/>
    <w:rsid w:val="00BD0C7F"/>
    <w:rsid w:val="00BD0CAD"/>
    <w:rsid w:val="00BD1838"/>
    <w:rsid w:val="00BD1BAB"/>
    <w:rsid w:val="00BD1CFD"/>
    <w:rsid w:val="00BD20C3"/>
    <w:rsid w:val="00BD216D"/>
    <w:rsid w:val="00BD2C72"/>
    <w:rsid w:val="00BD2CF3"/>
    <w:rsid w:val="00BD3003"/>
    <w:rsid w:val="00BD30D1"/>
    <w:rsid w:val="00BD33D9"/>
    <w:rsid w:val="00BD36DF"/>
    <w:rsid w:val="00BD3886"/>
    <w:rsid w:val="00BD3A20"/>
    <w:rsid w:val="00BD3C13"/>
    <w:rsid w:val="00BD3D49"/>
    <w:rsid w:val="00BD3DE7"/>
    <w:rsid w:val="00BD3E51"/>
    <w:rsid w:val="00BD3E6C"/>
    <w:rsid w:val="00BD3EC7"/>
    <w:rsid w:val="00BD3F08"/>
    <w:rsid w:val="00BD3F85"/>
    <w:rsid w:val="00BD4202"/>
    <w:rsid w:val="00BD4222"/>
    <w:rsid w:val="00BD446A"/>
    <w:rsid w:val="00BD460A"/>
    <w:rsid w:val="00BD47E4"/>
    <w:rsid w:val="00BD4946"/>
    <w:rsid w:val="00BD4D9A"/>
    <w:rsid w:val="00BD4FEC"/>
    <w:rsid w:val="00BD503E"/>
    <w:rsid w:val="00BD5550"/>
    <w:rsid w:val="00BD559C"/>
    <w:rsid w:val="00BD56B8"/>
    <w:rsid w:val="00BD5802"/>
    <w:rsid w:val="00BD618C"/>
    <w:rsid w:val="00BD6441"/>
    <w:rsid w:val="00BD64BE"/>
    <w:rsid w:val="00BD6593"/>
    <w:rsid w:val="00BD6630"/>
    <w:rsid w:val="00BD6C37"/>
    <w:rsid w:val="00BD6DFD"/>
    <w:rsid w:val="00BD6FDD"/>
    <w:rsid w:val="00BD7460"/>
    <w:rsid w:val="00BD74BF"/>
    <w:rsid w:val="00BE0156"/>
    <w:rsid w:val="00BE0230"/>
    <w:rsid w:val="00BE05B9"/>
    <w:rsid w:val="00BE0AC6"/>
    <w:rsid w:val="00BE0F8B"/>
    <w:rsid w:val="00BE0F99"/>
    <w:rsid w:val="00BE101D"/>
    <w:rsid w:val="00BE1176"/>
    <w:rsid w:val="00BE12C9"/>
    <w:rsid w:val="00BE140E"/>
    <w:rsid w:val="00BE1529"/>
    <w:rsid w:val="00BE16AB"/>
    <w:rsid w:val="00BE1CB8"/>
    <w:rsid w:val="00BE1EB7"/>
    <w:rsid w:val="00BE2334"/>
    <w:rsid w:val="00BE2550"/>
    <w:rsid w:val="00BE2748"/>
    <w:rsid w:val="00BE2A26"/>
    <w:rsid w:val="00BE2A83"/>
    <w:rsid w:val="00BE2A90"/>
    <w:rsid w:val="00BE2B6A"/>
    <w:rsid w:val="00BE2C59"/>
    <w:rsid w:val="00BE3137"/>
    <w:rsid w:val="00BE3459"/>
    <w:rsid w:val="00BE3651"/>
    <w:rsid w:val="00BE37A5"/>
    <w:rsid w:val="00BE37FF"/>
    <w:rsid w:val="00BE39B4"/>
    <w:rsid w:val="00BE39DE"/>
    <w:rsid w:val="00BE3AD1"/>
    <w:rsid w:val="00BE3D57"/>
    <w:rsid w:val="00BE3DBE"/>
    <w:rsid w:val="00BE3E6B"/>
    <w:rsid w:val="00BE410A"/>
    <w:rsid w:val="00BE47DD"/>
    <w:rsid w:val="00BE48E6"/>
    <w:rsid w:val="00BE4DC7"/>
    <w:rsid w:val="00BE4DFE"/>
    <w:rsid w:val="00BE5116"/>
    <w:rsid w:val="00BE534A"/>
    <w:rsid w:val="00BE5ACB"/>
    <w:rsid w:val="00BE5B67"/>
    <w:rsid w:val="00BE5C18"/>
    <w:rsid w:val="00BE5DD0"/>
    <w:rsid w:val="00BE5E4E"/>
    <w:rsid w:val="00BE5FB1"/>
    <w:rsid w:val="00BE6458"/>
    <w:rsid w:val="00BE6628"/>
    <w:rsid w:val="00BE6C18"/>
    <w:rsid w:val="00BE6CE4"/>
    <w:rsid w:val="00BE74FD"/>
    <w:rsid w:val="00BE7598"/>
    <w:rsid w:val="00BE78AF"/>
    <w:rsid w:val="00BE7912"/>
    <w:rsid w:val="00BE7CF2"/>
    <w:rsid w:val="00BE7DC5"/>
    <w:rsid w:val="00BF000B"/>
    <w:rsid w:val="00BF0046"/>
    <w:rsid w:val="00BF0052"/>
    <w:rsid w:val="00BF026E"/>
    <w:rsid w:val="00BF044C"/>
    <w:rsid w:val="00BF0565"/>
    <w:rsid w:val="00BF0757"/>
    <w:rsid w:val="00BF0A16"/>
    <w:rsid w:val="00BF0BA0"/>
    <w:rsid w:val="00BF0E35"/>
    <w:rsid w:val="00BF0F33"/>
    <w:rsid w:val="00BF132A"/>
    <w:rsid w:val="00BF16CF"/>
    <w:rsid w:val="00BF198A"/>
    <w:rsid w:val="00BF19BB"/>
    <w:rsid w:val="00BF1AF8"/>
    <w:rsid w:val="00BF24D5"/>
    <w:rsid w:val="00BF24F3"/>
    <w:rsid w:val="00BF2509"/>
    <w:rsid w:val="00BF260B"/>
    <w:rsid w:val="00BF2632"/>
    <w:rsid w:val="00BF27F2"/>
    <w:rsid w:val="00BF2B0D"/>
    <w:rsid w:val="00BF2C55"/>
    <w:rsid w:val="00BF3073"/>
    <w:rsid w:val="00BF322D"/>
    <w:rsid w:val="00BF325C"/>
    <w:rsid w:val="00BF32B7"/>
    <w:rsid w:val="00BF330A"/>
    <w:rsid w:val="00BF3715"/>
    <w:rsid w:val="00BF38CD"/>
    <w:rsid w:val="00BF3B82"/>
    <w:rsid w:val="00BF3E3F"/>
    <w:rsid w:val="00BF4775"/>
    <w:rsid w:val="00BF4860"/>
    <w:rsid w:val="00BF48E2"/>
    <w:rsid w:val="00BF4BF3"/>
    <w:rsid w:val="00BF4ED5"/>
    <w:rsid w:val="00BF4EE4"/>
    <w:rsid w:val="00BF4F5D"/>
    <w:rsid w:val="00BF5122"/>
    <w:rsid w:val="00BF5455"/>
    <w:rsid w:val="00BF5B8E"/>
    <w:rsid w:val="00BF62E6"/>
    <w:rsid w:val="00BF63B6"/>
    <w:rsid w:val="00BF653F"/>
    <w:rsid w:val="00BF65A5"/>
    <w:rsid w:val="00BF676E"/>
    <w:rsid w:val="00BF6A44"/>
    <w:rsid w:val="00BF6B2D"/>
    <w:rsid w:val="00BF6E21"/>
    <w:rsid w:val="00BF6FD1"/>
    <w:rsid w:val="00BF73DC"/>
    <w:rsid w:val="00BF7598"/>
    <w:rsid w:val="00BF7886"/>
    <w:rsid w:val="00C000A3"/>
    <w:rsid w:val="00C0042E"/>
    <w:rsid w:val="00C006A0"/>
    <w:rsid w:val="00C008E5"/>
    <w:rsid w:val="00C00E0A"/>
    <w:rsid w:val="00C00EDF"/>
    <w:rsid w:val="00C01169"/>
    <w:rsid w:val="00C012AF"/>
    <w:rsid w:val="00C01844"/>
    <w:rsid w:val="00C01876"/>
    <w:rsid w:val="00C018AE"/>
    <w:rsid w:val="00C01B16"/>
    <w:rsid w:val="00C024A0"/>
    <w:rsid w:val="00C0297F"/>
    <w:rsid w:val="00C029D7"/>
    <w:rsid w:val="00C02BD0"/>
    <w:rsid w:val="00C02D1E"/>
    <w:rsid w:val="00C030FE"/>
    <w:rsid w:val="00C03530"/>
    <w:rsid w:val="00C036B9"/>
    <w:rsid w:val="00C0370B"/>
    <w:rsid w:val="00C03C18"/>
    <w:rsid w:val="00C03F43"/>
    <w:rsid w:val="00C03F48"/>
    <w:rsid w:val="00C03FD8"/>
    <w:rsid w:val="00C04513"/>
    <w:rsid w:val="00C04557"/>
    <w:rsid w:val="00C04DD1"/>
    <w:rsid w:val="00C0502A"/>
    <w:rsid w:val="00C05121"/>
    <w:rsid w:val="00C05248"/>
    <w:rsid w:val="00C056C9"/>
    <w:rsid w:val="00C057EB"/>
    <w:rsid w:val="00C05900"/>
    <w:rsid w:val="00C05AE7"/>
    <w:rsid w:val="00C05EFF"/>
    <w:rsid w:val="00C05FFB"/>
    <w:rsid w:val="00C06179"/>
    <w:rsid w:val="00C06186"/>
    <w:rsid w:val="00C0645D"/>
    <w:rsid w:val="00C0691E"/>
    <w:rsid w:val="00C069F1"/>
    <w:rsid w:val="00C06AF4"/>
    <w:rsid w:val="00C06BCE"/>
    <w:rsid w:val="00C06DB4"/>
    <w:rsid w:val="00C06F28"/>
    <w:rsid w:val="00C06FD0"/>
    <w:rsid w:val="00C0707C"/>
    <w:rsid w:val="00C07267"/>
    <w:rsid w:val="00C0747B"/>
    <w:rsid w:val="00C076C2"/>
    <w:rsid w:val="00C07972"/>
    <w:rsid w:val="00C07E81"/>
    <w:rsid w:val="00C07ED2"/>
    <w:rsid w:val="00C10448"/>
    <w:rsid w:val="00C105C2"/>
    <w:rsid w:val="00C109CB"/>
    <w:rsid w:val="00C10C9B"/>
    <w:rsid w:val="00C10CC1"/>
    <w:rsid w:val="00C10F6E"/>
    <w:rsid w:val="00C10F78"/>
    <w:rsid w:val="00C11561"/>
    <w:rsid w:val="00C117BA"/>
    <w:rsid w:val="00C1200C"/>
    <w:rsid w:val="00C1249E"/>
    <w:rsid w:val="00C124C9"/>
    <w:rsid w:val="00C12554"/>
    <w:rsid w:val="00C1256A"/>
    <w:rsid w:val="00C127B6"/>
    <w:rsid w:val="00C12A64"/>
    <w:rsid w:val="00C12DD6"/>
    <w:rsid w:val="00C138AF"/>
    <w:rsid w:val="00C13C42"/>
    <w:rsid w:val="00C14C63"/>
    <w:rsid w:val="00C14F48"/>
    <w:rsid w:val="00C151E3"/>
    <w:rsid w:val="00C152E3"/>
    <w:rsid w:val="00C154CD"/>
    <w:rsid w:val="00C15507"/>
    <w:rsid w:val="00C15671"/>
    <w:rsid w:val="00C158D3"/>
    <w:rsid w:val="00C158DA"/>
    <w:rsid w:val="00C15D4E"/>
    <w:rsid w:val="00C15F26"/>
    <w:rsid w:val="00C160CD"/>
    <w:rsid w:val="00C165B2"/>
    <w:rsid w:val="00C16703"/>
    <w:rsid w:val="00C16AB2"/>
    <w:rsid w:val="00C16C05"/>
    <w:rsid w:val="00C17036"/>
    <w:rsid w:val="00C17215"/>
    <w:rsid w:val="00C173AD"/>
    <w:rsid w:val="00C1758F"/>
    <w:rsid w:val="00C176CB"/>
    <w:rsid w:val="00C17B66"/>
    <w:rsid w:val="00C17DE5"/>
    <w:rsid w:val="00C17E68"/>
    <w:rsid w:val="00C17F3E"/>
    <w:rsid w:val="00C208D5"/>
    <w:rsid w:val="00C20B43"/>
    <w:rsid w:val="00C20CAB"/>
    <w:rsid w:val="00C20F7A"/>
    <w:rsid w:val="00C21163"/>
    <w:rsid w:val="00C2128A"/>
    <w:rsid w:val="00C214C5"/>
    <w:rsid w:val="00C214E6"/>
    <w:rsid w:val="00C2151A"/>
    <w:rsid w:val="00C219FD"/>
    <w:rsid w:val="00C21A38"/>
    <w:rsid w:val="00C21EAB"/>
    <w:rsid w:val="00C21F8F"/>
    <w:rsid w:val="00C220D3"/>
    <w:rsid w:val="00C223A5"/>
    <w:rsid w:val="00C224F6"/>
    <w:rsid w:val="00C2251E"/>
    <w:rsid w:val="00C225D6"/>
    <w:rsid w:val="00C2263A"/>
    <w:rsid w:val="00C22D7F"/>
    <w:rsid w:val="00C22EDF"/>
    <w:rsid w:val="00C23005"/>
    <w:rsid w:val="00C230B7"/>
    <w:rsid w:val="00C2346D"/>
    <w:rsid w:val="00C236F1"/>
    <w:rsid w:val="00C2374B"/>
    <w:rsid w:val="00C23C8C"/>
    <w:rsid w:val="00C23EC1"/>
    <w:rsid w:val="00C240BF"/>
    <w:rsid w:val="00C24245"/>
    <w:rsid w:val="00C2479D"/>
    <w:rsid w:val="00C247BF"/>
    <w:rsid w:val="00C2486C"/>
    <w:rsid w:val="00C24BE2"/>
    <w:rsid w:val="00C24ED1"/>
    <w:rsid w:val="00C24F1D"/>
    <w:rsid w:val="00C24F6C"/>
    <w:rsid w:val="00C25159"/>
    <w:rsid w:val="00C253E2"/>
    <w:rsid w:val="00C25AA0"/>
    <w:rsid w:val="00C25D5F"/>
    <w:rsid w:val="00C26040"/>
    <w:rsid w:val="00C2662E"/>
    <w:rsid w:val="00C267C6"/>
    <w:rsid w:val="00C26CC7"/>
    <w:rsid w:val="00C26E32"/>
    <w:rsid w:val="00C27030"/>
    <w:rsid w:val="00C271E2"/>
    <w:rsid w:val="00C27518"/>
    <w:rsid w:val="00C2784F"/>
    <w:rsid w:val="00C27D1D"/>
    <w:rsid w:val="00C27F24"/>
    <w:rsid w:val="00C301B8"/>
    <w:rsid w:val="00C3023F"/>
    <w:rsid w:val="00C30438"/>
    <w:rsid w:val="00C304C5"/>
    <w:rsid w:val="00C30873"/>
    <w:rsid w:val="00C30902"/>
    <w:rsid w:val="00C30E82"/>
    <w:rsid w:val="00C3105A"/>
    <w:rsid w:val="00C31284"/>
    <w:rsid w:val="00C31313"/>
    <w:rsid w:val="00C313F4"/>
    <w:rsid w:val="00C3143C"/>
    <w:rsid w:val="00C31610"/>
    <w:rsid w:val="00C31810"/>
    <w:rsid w:val="00C3184B"/>
    <w:rsid w:val="00C318E5"/>
    <w:rsid w:val="00C31D95"/>
    <w:rsid w:val="00C31DE4"/>
    <w:rsid w:val="00C31FBA"/>
    <w:rsid w:val="00C32014"/>
    <w:rsid w:val="00C323D1"/>
    <w:rsid w:val="00C32454"/>
    <w:rsid w:val="00C32576"/>
    <w:rsid w:val="00C325F9"/>
    <w:rsid w:val="00C327D7"/>
    <w:rsid w:val="00C32AFA"/>
    <w:rsid w:val="00C32C12"/>
    <w:rsid w:val="00C32C39"/>
    <w:rsid w:val="00C32E32"/>
    <w:rsid w:val="00C33DAD"/>
    <w:rsid w:val="00C348C9"/>
    <w:rsid w:val="00C34A49"/>
    <w:rsid w:val="00C34BAA"/>
    <w:rsid w:val="00C34F1C"/>
    <w:rsid w:val="00C35415"/>
    <w:rsid w:val="00C354E3"/>
    <w:rsid w:val="00C355EB"/>
    <w:rsid w:val="00C35967"/>
    <w:rsid w:val="00C359A9"/>
    <w:rsid w:val="00C35D6A"/>
    <w:rsid w:val="00C35E06"/>
    <w:rsid w:val="00C35FB5"/>
    <w:rsid w:val="00C36132"/>
    <w:rsid w:val="00C36168"/>
    <w:rsid w:val="00C362BB"/>
    <w:rsid w:val="00C36535"/>
    <w:rsid w:val="00C3665A"/>
    <w:rsid w:val="00C367B2"/>
    <w:rsid w:val="00C36B06"/>
    <w:rsid w:val="00C36C89"/>
    <w:rsid w:val="00C36FA9"/>
    <w:rsid w:val="00C3708F"/>
    <w:rsid w:val="00C3728B"/>
    <w:rsid w:val="00C373CB"/>
    <w:rsid w:val="00C378EA"/>
    <w:rsid w:val="00C37BC1"/>
    <w:rsid w:val="00C37C88"/>
    <w:rsid w:val="00C37DE9"/>
    <w:rsid w:val="00C37FB8"/>
    <w:rsid w:val="00C401D1"/>
    <w:rsid w:val="00C40483"/>
    <w:rsid w:val="00C407AB"/>
    <w:rsid w:val="00C40AAF"/>
    <w:rsid w:val="00C40C50"/>
    <w:rsid w:val="00C40CDB"/>
    <w:rsid w:val="00C40F89"/>
    <w:rsid w:val="00C41695"/>
    <w:rsid w:val="00C41B04"/>
    <w:rsid w:val="00C41D69"/>
    <w:rsid w:val="00C41F7A"/>
    <w:rsid w:val="00C42042"/>
    <w:rsid w:val="00C423DB"/>
    <w:rsid w:val="00C4265D"/>
    <w:rsid w:val="00C42674"/>
    <w:rsid w:val="00C428A6"/>
    <w:rsid w:val="00C42D3F"/>
    <w:rsid w:val="00C43908"/>
    <w:rsid w:val="00C43B4A"/>
    <w:rsid w:val="00C43C91"/>
    <w:rsid w:val="00C44069"/>
    <w:rsid w:val="00C443DF"/>
    <w:rsid w:val="00C44476"/>
    <w:rsid w:val="00C4500C"/>
    <w:rsid w:val="00C4504E"/>
    <w:rsid w:val="00C45171"/>
    <w:rsid w:val="00C45414"/>
    <w:rsid w:val="00C4545E"/>
    <w:rsid w:val="00C4574A"/>
    <w:rsid w:val="00C458FE"/>
    <w:rsid w:val="00C45A54"/>
    <w:rsid w:val="00C45C73"/>
    <w:rsid w:val="00C4629F"/>
    <w:rsid w:val="00C463D5"/>
    <w:rsid w:val="00C4644A"/>
    <w:rsid w:val="00C464FE"/>
    <w:rsid w:val="00C465E1"/>
    <w:rsid w:val="00C467FD"/>
    <w:rsid w:val="00C46812"/>
    <w:rsid w:val="00C46AA1"/>
    <w:rsid w:val="00C472B8"/>
    <w:rsid w:val="00C472DF"/>
    <w:rsid w:val="00C4730A"/>
    <w:rsid w:val="00C4751E"/>
    <w:rsid w:val="00C4751F"/>
    <w:rsid w:val="00C47594"/>
    <w:rsid w:val="00C47899"/>
    <w:rsid w:val="00C47A2C"/>
    <w:rsid w:val="00C47AA1"/>
    <w:rsid w:val="00C47C2D"/>
    <w:rsid w:val="00C50676"/>
    <w:rsid w:val="00C50A03"/>
    <w:rsid w:val="00C5100D"/>
    <w:rsid w:val="00C51307"/>
    <w:rsid w:val="00C51415"/>
    <w:rsid w:val="00C5156D"/>
    <w:rsid w:val="00C517CA"/>
    <w:rsid w:val="00C51864"/>
    <w:rsid w:val="00C51878"/>
    <w:rsid w:val="00C51A6C"/>
    <w:rsid w:val="00C523B3"/>
    <w:rsid w:val="00C524BE"/>
    <w:rsid w:val="00C5277B"/>
    <w:rsid w:val="00C52BF3"/>
    <w:rsid w:val="00C52DED"/>
    <w:rsid w:val="00C52F8C"/>
    <w:rsid w:val="00C531B8"/>
    <w:rsid w:val="00C53365"/>
    <w:rsid w:val="00C53708"/>
    <w:rsid w:val="00C53728"/>
    <w:rsid w:val="00C53955"/>
    <w:rsid w:val="00C53A76"/>
    <w:rsid w:val="00C53BAC"/>
    <w:rsid w:val="00C53ED9"/>
    <w:rsid w:val="00C53F6B"/>
    <w:rsid w:val="00C540EA"/>
    <w:rsid w:val="00C54667"/>
    <w:rsid w:val="00C54668"/>
    <w:rsid w:val="00C546C6"/>
    <w:rsid w:val="00C5472E"/>
    <w:rsid w:val="00C548E5"/>
    <w:rsid w:val="00C54BD9"/>
    <w:rsid w:val="00C54C19"/>
    <w:rsid w:val="00C54DFB"/>
    <w:rsid w:val="00C55124"/>
    <w:rsid w:val="00C552C8"/>
    <w:rsid w:val="00C5537A"/>
    <w:rsid w:val="00C55395"/>
    <w:rsid w:val="00C55402"/>
    <w:rsid w:val="00C5552B"/>
    <w:rsid w:val="00C5579F"/>
    <w:rsid w:val="00C5599F"/>
    <w:rsid w:val="00C55A42"/>
    <w:rsid w:val="00C55BED"/>
    <w:rsid w:val="00C55D4D"/>
    <w:rsid w:val="00C56A0D"/>
    <w:rsid w:val="00C56E99"/>
    <w:rsid w:val="00C5700F"/>
    <w:rsid w:val="00C5723C"/>
    <w:rsid w:val="00C576C3"/>
    <w:rsid w:val="00C576E5"/>
    <w:rsid w:val="00C57ADB"/>
    <w:rsid w:val="00C57B31"/>
    <w:rsid w:val="00C57BC4"/>
    <w:rsid w:val="00C57C19"/>
    <w:rsid w:val="00C60337"/>
    <w:rsid w:val="00C60372"/>
    <w:rsid w:val="00C6054F"/>
    <w:rsid w:val="00C60659"/>
    <w:rsid w:val="00C6066C"/>
    <w:rsid w:val="00C606D0"/>
    <w:rsid w:val="00C606E8"/>
    <w:rsid w:val="00C607C3"/>
    <w:rsid w:val="00C60C67"/>
    <w:rsid w:val="00C60C90"/>
    <w:rsid w:val="00C612E0"/>
    <w:rsid w:val="00C61516"/>
    <w:rsid w:val="00C61646"/>
    <w:rsid w:val="00C616E3"/>
    <w:rsid w:val="00C61856"/>
    <w:rsid w:val="00C618C3"/>
    <w:rsid w:val="00C61916"/>
    <w:rsid w:val="00C619ED"/>
    <w:rsid w:val="00C61E6A"/>
    <w:rsid w:val="00C62091"/>
    <w:rsid w:val="00C62171"/>
    <w:rsid w:val="00C62699"/>
    <w:rsid w:val="00C626A2"/>
    <w:rsid w:val="00C62853"/>
    <w:rsid w:val="00C62975"/>
    <w:rsid w:val="00C629C6"/>
    <w:rsid w:val="00C62E15"/>
    <w:rsid w:val="00C62E42"/>
    <w:rsid w:val="00C62F90"/>
    <w:rsid w:val="00C63051"/>
    <w:rsid w:val="00C630A4"/>
    <w:rsid w:val="00C632C3"/>
    <w:rsid w:val="00C636CC"/>
    <w:rsid w:val="00C6371E"/>
    <w:rsid w:val="00C6376F"/>
    <w:rsid w:val="00C6386F"/>
    <w:rsid w:val="00C63A7D"/>
    <w:rsid w:val="00C63F0A"/>
    <w:rsid w:val="00C641E9"/>
    <w:rsid w:val="00C646E0"/>
    <w:rsid w:val="00C646F0"/>
    <w:rsid w:val="00C647CC"/>
    <w:rsid w:val="00C6492D"/>
    <w:rsid w:val="00C64AF1"/>
    <w:rsid w:val="00C64B75"/>
    <w:rsid w:val="00C64CA8"/>
    <w:rsid w:val="00C64E07"/>
    <w:rsid w:val="00C652DA"/>
    <w:rsid w:val="00C65572"/>
    <w:rsid w:val="00C65655"/>
    <w:rsid w:val="00C657DD"/>
    <w:rsid w:val="00C65A5E"/>
    <w:rsid w:val="00C65A69"/>
    <w:rsid w:val="00C65A6A"/>
    <w:rsid w:val="00C65D4F"/>
    <w:rsid w:val="00C6607F"/>
    <w:rsid w:val="00C66083"/>
    <w:rsid w:val="00C66225"/>
    <w:rsid w:val="00C662B0"/>
    <w:rsid w:val="00C663FE"/>
    <w:rsid w:val="00C6645A"/>
    <w:rsid w:val="00C66482"/>
    <w:rsid w:val="00C66878"/>
    <w:rsid w:val="00C66ABC"/>
    <w:rsid w:val="00C66B3A"/>
    <w:rsid w:val="00C66C0D"/>
    <w:rsid w:val="00C66F28"/>
    <w:rsid w:val="00C67001"/>
    <w:rsid w:val="00C67495"/>
    <w:rsid w:val="00C67507"/>
    <w:rsid w:val="00C6787B"/>
    <w:rsid w:val="00C70017"/>
    <w:rsid w:val="00C7026C"/>
    <w:rsid w:val="00C7031D"/>
    <w:rsid w:val="00C704C0"/>
    <w:rsid w:val="00C704C9"/>
    <w:rsid w:val="00C70720"/>
    <w:rsid w:val="00C70A1C"/>
    <w:rsid w:val="00C70BC1"/>
    <w:rsid w:val="00C70ED2"/>
    <w:rsid w:val="00C71189"/>
    <w:rsid w:val="00C71824"/>
    <w:rsid w:val="00C71889"/>
    <w:rsid w:val="00C7198A"/>
    <w:rsid w:val="00C72074"/>
    <w:rsid w:val="00C7217C"/>
    <w:rsid w:val="00C7233C"/>
    <w:rsid w:val="00C72406"/>
    <w:rsid w:val="00C7288A"/>
    <w:rsid w:val="00C72BA9"/>
    <w:rsid w:val="00C72C42"/>
    <w:rsid w:val="00C732CF"/>
    <w:rsid w:val="00C737F5"/>
    <w:rsid w:val="00C73805"/>
    <w:rsid w:val="00C738CF"/>
    <w:rsid w:val="00C73A42"/>
    <w:rsid w:val="00C73DD4"/>
    <w:rsid w:val="00C74147"/>
    <w:rsid w:val="00C74327"/>
    <w:rsid w:val="00C74BDF"/>
    <w:rsid w:val="00C75517"/>
    <w:rsid w:val="00C75619"/>
    <w:rsid w:val="00C75861"/>
    <w:rsid w:val="00C75A74"/>
    <w:rsid w:val="00C75C38"/>
    <w:rsid w:val="00C75FB2"/>
    <w:rsid w:val="00C76077"/>
    <w:rsid w:val="00C76228"/>
    <w:rsid w:val="00C764E4"/>
    <w:rsid w:val="00C76BB9"/>
    <w:rsid w:val="00C76C31"/>
    <w:rsid w:val="00C76E57"/>
    <w:rsid w:val="00C770CE"/>
    <w:rsid w:val="00C7723B"/>
    <w:rsid w:val="00C7724F"/>
    <w:rsid w:val="00C77281"/>
    <w:rsid w:val="00C777A7"/>
    <w:rsid w:val="00C777E9"/>
    <w:rsid w:val="00C77804"/>
    <w:rsid w:val="00C805D9"/>
    <w:rsid w:val="00C807C0"/>
    <w:rsid w:val="00C80A72"/>
    <w:rsid w:val="00C80AF3"/>
    <w:rsid w:val="00C8110D"/>
    <w:rsid w:val="00C81331"/>
    <w:rsid w:val="00C81975"/>
    <w:rsid w:val="00C81BF0"/>
    <w:rsid w:val="00C82166"/>
    <w:rsid w:val="00C82540"/>
    <w:rsid w:val="00C82624"/>
    <w:rsid w:val="00C82EBF"/>
    <w:rsid w:val="00C82ED3"/>
    <w:rsid w:val="00C82FB5"/>
    <w:rsid w:val="00C83405"/>
    <w:rsid w:val="00C83613"/>
    <w:rsid w:val="00C83958"/>
    <w:rsid w:val="00C83F9A"/>
    <w:rsid w:val="00C83FEA"/>
    <w:rsid w:val="00C84324"/>
    <w:rsid w:val="00C8434D"/>
    <w:rsid w:val="00C84898"/>
    <w:rsid w:val="00C848A0"/>
    <w:rsid w:val="00C84A98"/>
    <w:rsid w:val="00C84AE5"/>
    <w:rsid w:val="00C84D61"/>
    <w:rsid w:val="00C850F8"/>
    <w:rsid w:val="00C85145"/>
    <w:rsid w:val="00C85608"/>
    <w:rsid w:val="00C859B5"/>
    <w:rsid w:val="00C85B6F"/>
    <w:rsid w:val="00C86183"/>
    <w:rsid w:val="00C86245"/>
    <w:rsid w:val="00C86370"/>
    <w:rsid w:val="00C867AE"/>
    <w:rsid w:val="00C867E1"/>
    <w:rsid w:val="00C86D7B"/>
    <w:rsid w:val="00C86EEC"/>
    <w:rsid w:val="00C87318"/>
    <w:rsid w:val="00C875F0"/>
    <w:rsid w:val="00C8771A"/>
    <w:rsid w:val="00C904A8"/>
    <w:rsid w:val="00C90603"/>
    <w:rsid w:val="00C90DA1"/>
    <w:rsid w:val="00C90F11"/>
    <w:rsid w:val="00C9131E"/>
    <w:rsid w:val="00C915A0"/>
    <w:rsid w:val="00C9185A"/>
    <w:rsid w:val="00C919DA"/>
    <w:rsid w:val="00C91A1D"/>
    <w:rsid w:val="00C91AB0"/>
    <w:rsid w:val="00C91BE3"/>
    <w:rsid w:val="00C91E07"/>
    <w:rsid w:val="00C91E8F"/>
    <w:rsid w:val="00C91F7A"/>
    <w:rsid w:val="00C9215C"/>
    <w:rsid w:val="00C92222"/>
    <w:rsid w:val="00C9268B"/>
    <w:rsid w:val="00C9268D"/>
    <w:rsid w:val="00C92957"/>
    <w:rsid w:val="00C92C0C"/>
    <w:rsid w:val="00C92CFA"/>
    <w:rsid w:val="00C92F0A"/>
    <w:rsid w:val="00C92F77"/>
    <w:rsid w:val="00C93579"/>
    <w:rsid w:val="00C937E9"/>
    <w:rsid w:val="00C93A91"/>
    <w:rsid w:val="00C93CB0"/>
    <w:rsid w:val="00C941E2"/>
    <w:rsid w:val="00C942CD"/>
    <w:rsid w:val="00C945E1"/>
    <w:rsid w:val="00C95083"/>
    <w:rsid w:val="00C953CB"/>
    <w:rsid w:val="00C95639"/>
    <w:rsid w:val="00C95761"/>
    <w:rsid w:val="00C95ED5"/>
    <w:rsid w:val="00C9653E"/>
    <w:rsid w:val="00C966AC"/>
    <w:rsid w:val="00C969DE"/>
    <w:rsid w:val="00C96B91"/>
    <w:rsid w:val="00C96FEF"/>
    <w:rsid w:val="00C977A7"/>
    <w:rsid w:val="00C97969"/>
    <w:rsid w:val="00C97AB4"/>
    <w:rsid w:val="00C97ADC"/>
    <w:rsid w:val="00C97BE8"/>
    <w:rsid w:val="00C97D4F"/>
    <w:rsid w:val="00C97E64"/>
    <w:rsid w:val="00CA0104"/>
    <w:rsid w:val="00CA0188"/>
    <w:rsid w:val="00CA03B4"/>
    <w:rsid w:val="00CA0416"/>
    <w:rsid w:val="00CA04BA"/>
    <w:rsid w:val="00CA0576"/>
    <w:rsid w:val="00CA05D1"/>
    <w:rsid w:val="00CA0719"/>
    <w:rsid w:val="00CA07B2"/>
    <w:rsid w:val="00CA09D3"/>
    <w:rsid w:val="00CA0C34"/>
    <w:rsid w:val="00CA0D7E"/>
    <w:rsid w:val="00CA0E1E"/>
    <w:rsid w:val="00CA0FA1"/>
    <w:rsid w:val="00CA1122"/>
    <w:rsid w:val="00CA114E"/>
    <w:rsid w:val="00CA19B2"/>
    <w:rsid w:val="00CA1B6B"/>
    <w:rsid w:val="00CA1C6C"/>
    <w:rsid w:val="00CA1C94"/>
    <w:rsid w:val="00CA23ED"/>
    <w:rsid w:val="00CA24D9"/>
    <w:rsid w:val="00CA2EE2"/>
    <w:rsid w:val="00CA326D"/>
    <w:rsid w:val="00CA371A"/>
    <w:rsid w:val="00CA371E"/>
    <w:rsid w:val="00CA3AD1"/>
    <w:rsid w:val="00CA3CDD"/>
    <w:rsid w:val="00CA3DCC"/>
    <w:rsid w:val="00CA404F"/>
    <w:rsid w:val="00CA41D8"/>
    <w:rsid w:val="00CA463C"/>
    <w:rsid w:val="00CA474B"/>
    <w:rsid w:val="00CA4760"/>
    <w:rsid w:val="00CA4863"/>
    <w:rsid w:val="00CA4C2D"/>
    <w:rsid w:val="00CA4C6A"/>
    <w:rsid w:val="00CA51C3"/>
    <w:rsid w:val="00CA5B28"/>
    <w:rsid w:val="00CA5CEA"/>
    <w:rsid w:val="00CA5D19"/>
    <w:rsid w:val="00CA633D"/>
    <w:rsid w:val="00CA63D9"/>
    <w:rsid w:val="00CA6759"/>
    <w:rsid w:val="00CA6CB0"/>
    <w:rsid w:val="00CA76F9"/>
    <w:rsid w:val="00CA7700"/>
    <w:rsid w:val="00CA7755"/>
    <w:rsid w:val="00CA776B"/>
    <w:rsid w:val="00CA7A40"/>
    <w:rsid w:val="00CA7AA0"/>
    <w:rsid w:val="00CA7BAC"/>
    <w:rsid w:val="00CB0237"/>
    <w:rsid w:val="00CB0440"/>
    <w:rsid w:val="00CB0447"/>
    <w:rsid w:val="00CB053B"/>
    <w:rsid w:val="00CB0729"/>
    <w:rsid w:val="00CB074A"/>
    <w:rsid w:val="00CB07D9"/>
    <w:rsid w:val="00CB08CA"/>
    <w:rsid w:val="00CB09B7"/>
    <w:rsid w:val="00CB0F1F"/>
    <w:rsid w:val="00CB0F7E"/>
    <w:rsid w:val="00CB102A"/>
    <w:rsid w:val="00CB1792"/>
    <w:rsid w:val="00CB184E"/>
    <w:rsid w:val="00CB202F"/>
    <w:rsid w:val="00CB224B"/>
    <w:rsid w:val="00CB23F7"/>
    <w:rsid w:val="00CB257A"/>
    <w:rsid w:val="00CB2643"/>
    <w:rsid w:val="00CB2775"/>
    <w:rsid w:val="00CB2988"/>
    <w:rsid w:val="00CB2EB3"/>
    <w:rsid w:val="00CB346D"/>
    <w:rsid w:val="00CB34E4"/>
    <w:rsid w:val="00CB3553"/>
    <w:rsid w:val="00CB3621"/>
    <w:rsid w:val="00CB373A"/>
    <w:rsid w:val="00CB38DE"/>
    <w:rsid w:val="00CB38F9"/>
    <w:rsid w:val="00CB400B"/>
    <w:rsid w:val="00CB4184"/>
    <w:rsid w:val="00CB41DB"/>
    <w:rsid w:val="00CB421E"/>
    <w:rsid w:val="00CB469E"/>
    <w:rsid w:val="00CB486E"/>
    <w:rsid w:val="00CB494A"/>
    <w:rsid w:val="00CB4995"/>
    <w:rsid w:val="00CB4D0B"/>
    <w:rsid w:val="00CB4D79"/>
    <w:rsid w:val="00CB5084"/>
    <w:rsid w:val="00CB50D9"/>
    <w:rsid w:val="00CB52FD"/>
    <w:rsid w:val="00CB5470"/>
    <w:rsid w:val="00CB56EC"/>
    <w:rsid w:val="00CB56F2"/>
    <w:rsid w:val="00CB5A25"/>
    <w:rsid w:val="00CB5B93"/>
    <w:rsid w:val="00CB5E6C"/>
    <w:rsid w:val="00CB5F55"/>
    <w:rsid w:val="00CB623C"/>
    <w:rsid w:val="00CB6733"/>
    <w:rsid w:val="00CB6737"/>
    <w:rsid w:val="00CB6A01"/>
    <w:rsid w:val="00CB6FA6"/>
    <w:rsid w:val="00CB7274"/>
    <w:rsid w:val="00CB72C9"/>
    <w:rsid w:val="00CB740D"/>
    <w:rsid w:val="00CB7483"/>
    <w:rsid w:val="00CB78B6"/>
    <w:rsid w:val="00CB7B22"/>
    <w:rsid w:val="00CB7C5C"/>
    <w:rsid w:val="00CB7DE0"/>
    <w:rsid w:val="00CC0543"/>
    <w:rsid w:val="00CC05D3"/>
    <w:rsid w:val="00CC0609"/>
    <w:rsid w:val="00CC071E"/>
    <w:rsid w:val="00CC083E"/>
    <w:rsid w:val="00CC0F8C"/>
    <w:rsid w:val="00CC1463"/>
    <w:rsid w:val="00CC158D"/>
    <w:rsid w:val="00CC168E"/>
    <w:rsid w:val="00CC1C59"/>
    <w:rsid w:val="00CC1D4B"/>
    <w:rsid w:val="00CC1E96"/>
    <w:rsid w:val="00CC20BF"/>
    <w:rsid w:val="00CC2255"/>
    <w:rsid w:val="00CC237C"/>
    <w:rsid w:val="00CC246F"/>
    <w:rsid w:val="00CC25A8"/>
    <w:rsid w:val="00CC263C"/>
    <w:rsid w:val="00CC2E07"/>
    <w:rsid w:val="00CC31E7"/>
    <w:rsid w:val="00CC3491"/>
    <w:rsid w:val="00CC3A21"/>
    <w:rsid w:val="00CC3A2F"/>
    <w:rsid w:val="00CC3A34"/>
    <w:rsid w:val="00CC3CEC"/>
    <w:rsid w:val="00CC3DC2"/>
    <w:rsid w:val="00CC40EB"/>
    <w:rsid w:val="00CC4179"/>
    <w:rsid w:val="00CC4314"/>
    <w:rsid w:val="00CC4522"/>
    <w:rsid w:val="00CC474D"/>
    <w:rsid w:val="00CC4818"/>
    <w:rsid w:val="00CC49F5"/>
    <w:rsid w:val="00CC4B9D"/>
    <w:rsid w:val="00CC4FFC"/>
    <w:rsid w:val="00CC50F1"/>
    <w:rsid w:val="00CC5105"/>
    <w:rsid w:val="00CC5180"/>
    <w:rsid w:val="00CC51D6"/>
    <w:rsid w:val="00CC5280"/>
    <w:rsid w:val="00CC52A6"/>
    <w:rsid w:val="00CC554A"/>
    <w:rsid w:val="00CC5C70"/>
    <w:rsid w:val="00CC5DBC"/>
    <w:rsid w:val="00CC6139"/>
    <w:rsid w:val="00CC6282"/>
    <w:rsid w:val="00CC65BF"/>
    <w:rsid w:val="00CC67AF"/>
    <w:rsid w:val="00CC6830"/>
    <w:rsid w:val="00CC6897"/>
    <w:rsid w:val="00CC68DC"/>
    <w:rsid w:val="00CC6A7E"/>
    <w:rsid w:val="00CC6F8F"/>
    <w:rsid w:val="00CC745A"/>
    <w:rsid w:val="00CC7832"/>
    <w:rsid w:val="00CC783C"/>
    <w:rsid w:val="00CC7E1E"/>
    <w:rsid w:val="00CC7E5C"/>
    <w:rsid w:val="00CC7FD7"/>
    <w:rsid w:val="00CD0113"/>
    <w:rsid w:val="00CD0127"/>
    <w:rsid w:val="00CD028A"/>
    <w:rsid w:val="00CD052F"/>
    <w:rsid w:val="00CD05A1"/>
    <w:rsid w:val="00CD0667"/>
    <w:rsid w:val="00CD06E4"/>
    <w:rsid w:val="00CD076C"/>
    <w:rsid w:val="00CD07A1"/>
    <w:rsid w:val="00CD087F"/>
    <w:rsid w:val="00CD0AD1"/>
    <w:rsid w:val="00CD0E95"/>
    <w:rsid w:val="00CD13A4"/>
    <w:rsid w:val="00CD18D9"/>
    <w:rsid w:val="00CD19EB"/>
    <w:rsid w:val="00CD1B28"/>
    <w:rsid w:val="00CD1B29"/>
    <w:rsid w:val="00CD1C40"/>
    <w:rsid w:val="00CD1E87"/>
    <w:rsid w:val="00CD2013"/>
    <w:rsid w:val="00CD208C"/>
    <w:rsid w:val="00CD2242"/>
    <w:rsid w:val="00CD22BE"/>
    <w:rsid w:val="00CD249B"/>
    <w:rsid w:val="00CD2502"/>
    <w:rsid w:val="00CD2523"/>
    <w:rsid w:val="00CD2912"/>
    <w:rsid w:val="00CD291D"/>
    <w:rsid w:val="00CD2E1F"/>
    <w:rsid w:val="00CD2EB3"/>
    <w:rsid w:val="00CD30ED"/>
    <w:rsid w:val="00CD3197"/>
    <w:rsid w:val="00CD34DD"/>
    <w:rsid w:val="00CD34FA"/>
    <w:rsid w:val="00CD3544"/>
    <w:rsid w:val="00CD3E8B"/>
    <w:rsid w:val="00CD41DD"/>
    <w:rsid w:val="00CD47F2"/>
    <w:rsid w:val="00CD4E1C"/>
    <w:rsid w:val="00CD4EBB"/>
    <w:rsid w:val="00CD5571"/>
    <w:rsid w:val="00CD5991"/>
    <w:rsid w:val="00CD5AC0"/>
    <w:rsid w:val="00CD5DA8"/>
    <w:rsid w:val="00CD5DAA"/>
    <w:rsid w:val="00CD5F0A"/>
    <w:rsid w:val="00CD5F4D"/>
    <w:rsid w:val="00CD6331"/>
    <w:rsid w:val="00CD64C9"/>
    <w:rsid w:val="00CD6540"/>
    <w:rsid w:val="00CD6703"/>
    <w:rsid w:val="00CD6A12"/>
    <w:rsid w:val="00CD6DD4"/>
    <w:rsid w:val="00CD730B"/>
    <w:rsid w:val="00CD7314"/>
    <w:rsid w:val="00CD7479"/>
    <w:rsid w:val="00CD756A"/>
    <w:rsid w:val="00CD76D3"/>
    <w:rsid w:val="00CD7AB0"/>
    <w:rsid w:val="00CD7C05"/>
    <w:rsid w:val="00CD7C10"/>
    <w:rsid w:val="00CD7D8D"/>
    <w:rsid w:val="00CD7EA8"/>
    <w:rsid w:val="00CE00CD"/>
    <w:rsid w:val="00CE014C"/>
    <w:rsid w:val="00CE0627"/>
    <w:rsid w:val="00CE091F"/>
    <w:rsid w:val="00CE09C2"/>
    <w:rsid w:val="00CE0A3E"/>
    <w:rsid w:val="00CE0A67"/>
    <w:rsid w:val="00CE0BE4"/>
    <w:rsid w:val="00CE1128"/>
    <w:rsid w:val="00CE121A"/>
    <w:rsid w:val="00CE1253"/>
    <w:rsid w:val="00CE1281"/>
    <w:rsid w:val="00CE1636"/>
    <w:rsid w:val="00CE185B"/>
    <w:rsid w:val="00CE19D8"/>
    <w:rsid w:val="00CE1A6A"/>
    <w:rsid w:val="00CE1BFB"/>
    <w:rsid w:val="00CE1EF2"/>
    <w:rsid w:val="00CE1FA2"/>
    <w:rsid w:val="00CE1FBD"/>
    <w:rsid w:val="00CE2001"/>
    <w:rsid w:val="00CE20D4"/>
    <w:rsid w:val="00CE2C4C"/>
    <w:rsid w:val="00CE2FEC"/>
    <w:rsid w:val="00CE3343"/>
    <w:rsid w:val="00CE3589"/>
    <w:rsid w:val="00CE3C8A"/>
    <w:rsid w:val="00CE3D2A"/>
    <w:rsid w:val="00CE436D"/>
    <w:rsid w:val="00CE44A8"/>
    <w:rsid w:val="00CE48FA"/>
    <w:rsid w:val="00CE495C"/>
    <w:rsid w:val="00CE5216"/>
    <w:rsid w:val="00CE52E3"/>
    <w:rsid w:val="00CE5770"/>
    <w:rsid w:val="00CE5986"/>
    <w:rsid w:val="00CE5DD1"/>
    <w:rsid w:val="00CE5E30"/>
    <w:rsid w:val="00CE5E85"/>
    <w:rsid w:val="00CE5FAA"/>
    <w:rsid w:val="00CE63FA"/>
    <w:rsid w:val="00CE6EC3"/>
    <w:rsid w:val="00CE6EEE"/>
    <w:rsid w:val="00CE7412"/>
    <w:rsid w:val="00CE7572"/>
    <w:rsid w:val="00CE76EE"/>
    <w:rsid w:val="00CE7B52"/>
    <w:rsid w:val="00CE7E70"/>
    <w:rsid w:val="00CF0243"/>
    <w:rsid w:val="00CF02A7"/>
    <w:rsid w:val="00CF02FB"/>
    <w:rsid w:val="00CF0607"/>
    <w:rsid w:val="00CF0E85"/>
    <w:rsid w:val="00CF0FAC"/>
    <w:rsid w:val="00CF0FFE"/>
    <w:rsid w:val="00CF101F"/>
    <w:rsid w:val="00CF132F"/>
    <w:rsid w:val="00CF1390"/>
    <w:rsid w:val="00CF1558"/>
    <w:rsid w:val="00CF1565"/>
    <w:rsid w:val="00CF162A"/>
    <w:rsid w:val="00CF177B"/>
    <w:rsid w:val="00CF192F"/>
    <w:rsid w:val="00CF1A06"/>
    <w:rsid w:val="00CF1B11"/>
    <w:rsid w:val="00CF1DF8"/>
    <w:rsid w:val="00CF1F60"/>
    <w:rsid w:val="00CF1FD6"/>
    <w:rsid w:val="00CF203C"/>
    <w:rsid w:val="00CF2145"/>
    <w:rsid w:val="00CF2348"/>
    <w:rsid w:val="00CF2501"/>
    <w:rsid w:val="00CF255C"/>
    <w:rsid w:val="00CF2631"/>
    <w:rsid w:val="00CF27A9"/>
    <w:rsid w:val="00CF27DB"/>
    <w:rsid w:val="00CF29EB"/>
    <w:rsid w:val="00CF2D06"/>
    <w:rsid w:val="00CF3014"/>
    <w:rsid w:val="00CF36BD"/>
    <w:rsid w:val="00CF3769"/>
    <w:rsid w:val="00CF3C30"/>
    <w:rsid w:val="00CF5003"/>
    <w:rsid w:val="00CF53BB"/>
    <w:rsid w:val="00CF547E"/>
    <w:rsid w:val="00CF5895"/>
    <w:rsid w:val="00CF5954"/>
    <w:rsid w:val="00CF5A41"/>
    <w:rsid w:val="00CF5B65"/>
    <w:rsid w:val="00CF5BD9"/>
    <w:rsid w:val="00CF5D8A"/>
    <w:rsid w:val="00CF5D99"/>
    <w:rsid w:val="00CF5F23"/>
    <w:rsid w:val="00CF6013"/>
    <w:rsid w:val="00CF62EA"/>
    <w:rsid w:val="00CF64BB"/>
    <w:rsid w:val="00CF650A"/>
    <w:rsid w:val="00CF6BE8"/>
    <w:rsid w:val="00CF6D16"/>
    <w:rsid w:val="00CF6DBF"/>
    <w:rsid w:val="00CF6E1E"/>
    <w:rsid w:val="00CF6F7C"/>
    <w:rsid w:val="00CF6FF5"/>
    <w:rsid w:val="00CF703E"/>
    <w:rsid w:val="00CF7345"/>
    <w:rsid w:val="00CF741D"/>
    <w:rsid w:val="00CF7836"/>
    <w:rsid w:val="00CF7BFD"/>
    <w:rsid w:val="00CF7D09"/>
    <w:rsid w:val="00CF7E82"/>
    <w:rsid w:val="00D00051"/>
    <w:rsid w:val="00D00195"/>
    <w:rsid w:val="00D00243"/>
    <w:rsid w:val="00D0064D"/>
    <w:rsid w:val="00D00664"/>
    <w:rsid w:val="00D0075D"/>
    <w:rsid w:val="00D007E4"/>
    <w:rsid w:val="00D008E3"/>
    <w:rsid w:val="00D00993"/>
    <w:rsid w:val="00D0099E"/>
    <w:rsid w:val="00D009AA"/>
    <w:rsid w:val="00D009BA"/>
    <w:rsid w:val="00D00C3D"/>
    <w:rsid w:val="00D00CA9"/>
    <w:rsid w:val="00D00DC1"/>
    <w:rsid w:val="00D0114A"/>
    <w:rsid w:val="00D015EF"/>
    <w:rsid w:val="00D01688"/>
    <w:rsid w:val="00D016DD"/>
    <w:rsid w:val="00D01865"/>
    <w:rsid w:val="00D01AD7"/>
    <w:rsid w:val="00D01DEF"/>
    <w:rsid w:val="00D01E2C"/>
    <w:rsid w:val="00D01E95"/>
    <w:rsid w:val="00D01F9A"/>
    <w:rsid w:val="00D02198"/>
    <w:rsid w:val="00D0238E"/>
    <w:rsid w:val="00D0239F"/>
    <w:rsid w:val="00D0325B"/>
    <w:rsid w:val="00D03C56"/>
    <w:rsid w:val="00D03E40"/>
    <w:rsid w:val="00D04064"/>
    <w:rsid w:val="00D04154"/>
    <w:rsid w:val="00D04509"/>
    <w:rsid w:val="00D04ABA"/>
    <w:rsid w:val="00D04AEC"/>
    <w:rsid w:val="00D05038"/>
    <w:rsid w:val="00D050A8"/>
    <w:rsid w:val="00D050ED"/>
    <w:rsid w:val="00D05236"/>
    <w:rsid w:val="00D05591"/>
    <w:rsid w:val="00D055E1"/>
    <w:rsid w:val="00D0579D"/>
    <w:rsid w:val="00D057AE"/>
    <w:rsid w:val="00D05F13"/>
    <w:rsid w:val="00D05F34"/>
    <w:rsid w:val="00D062BC"/>
    <w:rsid w:val="00D0659A"/>
    <w:rsid w:val="00D065A0"/>
    <w:rsid w:val="00D0712F"/>
    <w:rsid w:val="00D07276"/>
    <w:rsid w:val="00D0742A"/>
    <w:rsid w:val="00D07497"/>
    <w:rsid w:val="00D07682"/>
    <w:rsid w:val="00D0779C"/>
    <w:rsid w:val="00D077B3"/>
    <w:rsid w:val="00D07841"/>
    <w:rsid w:val="00D07984"/>
    <w:rsid w:val="00D07D37"/>
    <w:rsid w:val="00D07D5C"/>
    <w:rsid w:val="00D07F1F"/>
    <w:rsid w:val="00D10049"/>
    <w:rsid w:val="00D1010F"/>
    <w:rsid w:val="00D102D3"/>
    <w:rsid w:val="00D102E3"/>
    <w:rsid w:val="00D1065D"/>
    <w:rsid w:val="00D1082E"/>
    <w:rsid w:val="00D10D79"/>
    <w:rsid w:val="00D10E13"/>
    <w:rsid w:val="00D110A2"/>
    <w:rsid w:val="00D1136C"/>
    <w:rsid w:val="00D118DD"/>
    <w:rsid w:val="00D11A1C"/>
    <w:rsid w:val="00D11A58"/>
    <w:rsid w:val="00D11BF4"/>
    <w:rsid w:val="00D11C15"/>
    <w:rsid w:val="00D11F64"/>
    <w:rsid w:val="00D12070"/>
    <w:rsid w:val="00D1221A"/>
    <w:rsid w:val="00D1221D"/>
    <w:rsid w:val="00D123A9"/>
    <w:rsid w:val="00D123EC"/>
    <w:rsid w:val="00D12697"/>
    <w:rsid w:val="00D127AE"/>
    <w:rsid w:val="00D12B64"/>
    <w:rsid w:val="00D12B78"/>
    <w:rsid w:val="00D13416"/>
    <w:rsid w:val="00D1366E"/>
    <w:rsid w:val="00D13839"/>
    <w:rsid w:val="00D13B8E"/>
    <w:rsid w:val="00D13CA8"/>
    <w:rsid w:val="00D13D6E"/>
    <w:rsid w:val="00D13FA5"/>
    <w:rsid w:val="00D14003"/>
    <w:rsid w:val="00D14040"/>
    <w:rsid w:val="00D14131"/>
    <w:rsid w:val="00D1414C"/>
    <w:rsid w:val="00D142FA"/>
    <w:rsid w:val="00D148DD"/>
    <w:rsid w:val="00D14E4A"/>
    <w:rsid w:val="00D1520E"/>
    <w:rsid w:val="00D154B4"/>
    <w:rsid w:val="00D15578"/>
    <w:rsid w:val="00D158A2"/>
    <w:rsid w:val="00D15E75"/>
    <w:rsid w:val="00D15FE7"/>
    <w:rsid w:val="00D160C6"/>
    <w:rsid w:val="00D161E6"/>
    <w:rsid w:val="00D16440"/>
    <w:rsid w:val="00D166A4"/>
    <w:rsid w:val="00D16B2F"/>
    <w:rsid w:val="00D16C40"/>
    <w:rsid w:val="00D16E07"/>
    <w:rsid w:val="00D1725A"/>
    <w:rsid w:val="00D17555"/>
    <w:rsid w:val="00D1788B"/>
    <w:rsid w:val="00D178EB"/>
    <w:rsid w:val="00D17923"/>
    <w:rsid w:val="00D179CA"/>
    <w:rsid w:val="00D17DB7"/>
    <w:rsid w:val="00D202EB"/>
    <w:rsid w:val="00D20878"/>
    <w:rsid w:val="00D2089A"/>
    <w:rsid w:val="00D208BA"/>
    <w:rsid w:val="00D20933"/>
    <w:rsid w:val="00D209FF"/>
    <w:rsid w:val="00D20C9E"/>
    <w:rsid w:val="00D21913"/>
    <w:rsid w:val="00D2193A"/>
    <w:rsid w:val="00D2196A"/>
    <w:rsid w:val="00D21B70"/>
    <w:rsid w:val="00D21C40"/>
    <w:rsid w:val="00D21C72"/>
    <w:rsid w:val="00D21F3F"/>
    <w:rsid w:val="00D220C7"/>
    <w:rsid w:val="00D221FA"/>
    <w:rsid w:val="00D22434"/>
    <w:rsid w:val="00D225E7"/>
    <w:rsid w:val="00D229C9"/>
    <w:rsid w:val="00D22D1B"/>
    <w:rsid w:val="00D22DEE"/>
    <w:rsid w:val="00D22E7A"/>
    <w:rsid w:val="00D22FAE"/>
    <w:rsid w:val="00D23458"/>
    <w:rsid w:val="00D234CA"/>
    <w:rsid w:val="00D23750"/>
    <w:rsid w:val="00D23769"/>
    <w:rsid w:val="00D2381F"/>
    <w:rsid w:val="00D23A25"/>
    <w:rsid w:val="00D241EF"/>
    <w:rsid w:val="00D24287"/>
    <w:rsid w:val="00D2434F"/>
    <w:rsid w:val="00D24364"/>
    <w:rsid w:val="00D244FC"/>
    <w:rsid w:val="00D24586"/>
    <w:rsid w:val="00D2475A"/>
    <w:rsid w:val="00D24874"/>
    <w:rsid w:val="00D24920"/>
    <w:rsid w:val="00D24BD7"/>
    <w:rsid w:val="00D24C8E"/>
    <w:rsid w:val="00D24D69"/>
    <w:rsid w:val="00D24F74"/>
    <w:rsid w:val="00D25094"/>
    <w:rsid w:val="00D250D2"/>
    <w:rsid w:val="00D250E9"/>
    <w:rsid w:val="00D250EF"/>
    <w:rsid w:val="00D25168"/>
    <w:rsid w:val="00D251BF"/>
    <w:rsid w:val="00D25221"/>
    <w:rsid w:val="00D256E6"/>
    <w:rsid w:val="00D25773"/>
    <w:rsid w:val="00D257D5"/>
    <w:rsid w:val="00D25CBB"/>
    <w:rsid w:val="00D25CCA"/>
    <w:rsid w:val="00D2606A"/>
    <w:rsid w:val="00D26150"/>
    <w:rsid w:val="00D265C6"/>
    <w:rsid w:val="00D268BE"/>
    <w:rsid w:val="00D2691A"/>
    <w:rsid w:val="00D26C51"/>
    <w:rsid w:val="00D271AC"/>
    <w:rsid w:val="00D27609"/>
    <w:rsid w:val="00D27950"/>
    <w:rsid w:val="00D279BB"/>
    <w:rsid w:val="00D27AAA"/>
    <w:rsid w:val="00D27C35"/>
    <w:rsid w:val="00D300DA"/>
    <w:rsid w:val="00D30132"/>
    <w:rsid w:val="00D303EE"/>
    <w:rsid w:val="00D306B6"/>
    <w:rsid w:val="00D307CF"/>
    <w:rsid w:val="00D307D9"/>
    <w:rsid w:val="00D30DEE"/>
    <w:rsid w:val="00D30E78"/>
    <w:rsid w:val="00D31170"/>
    <w:rsid w:val="00D311E7"/>
    <w:rsid w:val="00D31348"/>
    <w:rsid w:val="00D314AD"/>
    <w:rsid w:val="00D31582"/>
    <w:rsid w:val="00D31B07"/>
    <w:rsid w:val="00D31BDD"/>
    <w:rsid w:val="00D32077"/>
    <w:rsid w:val="00D32151"/>
    <w:rsid w:val="00D324FC"/>
    <w:rsid w:val="00D32558"/>
    <w:rsid w:val="00D32912"/>
    <w:rsid w:val="00D32A27"/>
    <w:rsid w:val="00D32BBE"/>
    <w:rsid w:val="00D32F54"/>
    <w:rsid w:val="00D330F6"/>
    <w:rsid w:val="00D3320F"/>
    <w:rsid w:val="00D3343E"/>
    <w:rsid w:val="00D334D5"/>
    <w:rsid w:val="00D33750"/>
    <w:rsid w:val="00D33919"/>
    <w:rsid w:val="00D33AAD"/>
    <w:rsid w:val="00D33B8B"/>
    <w:rsid w:val="00D34189"/>
    <w:rsid w:val="00D343D7"/>
    <w:rsid w:val="00D34589"/>
    <w:rsid w:val="00D34757"/>
    <w:rsid w:val="00D349D7"/>
    <w:rsid w:val="00D34CAB"/>
    <w:rsid w:val="00D34FE4"/>
    <w:rsid w:val="00D35223"/>
    <w:rsid w:val="00D3540D"/>
    <w:rsid w:val="00D3552E"/>
    <w:rsid w:val="00D3553D"/>
    <w:rsid w:val="00D3576B"/>
    <w:rsid w:val="00D35B03"/>
    <w:rsid w:val="00D35C4C"/>
    <w:rsid w:val="00D35FD5"/>
    <w:rsid w:val="00D361A7"/>
    <w:rsid w:val="00D36236"/>
    <w:rsid w:val="00D362B5"/>
    <w:rsid w:val="00D367F5"/>
    <w:rsid w:val="00D36A01"/>
    <w:rsid w:val="00D36A0C"/>
    <w:rsid w:val="00D36ADA"/>
    <w:rsid w:val="00D36E44"/>
    <w:rsid w:val="00D36F14"/>
    <w:rsid w:val="00D3736D"/>
    <w:rsid w:val="00D37550"/>
    <w:rsid w:val="00D376ED"/>
    <w:rsid w:val="00D37715"/>
    <w:rsid w:val="00D37B46"/>
    <w:rsid w:val="00D37EEF"/>
    <w:rsid w:val="00D400B0"/>
    <w:rsid w:val="00D403C0"/>
    <w:rsid w:val="00D4075C"/>
    <w:rsid w:val="00D40CD6"/>
    <w:rsid w:val="00D40CE6"/>
    <w:rsid w:val="00D40E31"/>
    <w:rsid w:val="00D40EB6"/>
    <w:rsid w:val="00D40F7B"/>
    <w:rsid w:val="00D412B0"/>
    <w:rsid w:val="00D417F7"/>
    <w:rsid w:val="00D41A0D"/>
    <w:rsid w:val="00D41BC7"/>
    <w:rsid w:val="00D41BE4"/>
    <w:rsid w:val="00D41C06"/>
    <w:rsid w:val="00D41C33"/>
    <w:rsid w:val="00D41D0D"/>
    <w:rsid w:val="00D41F46"/>
    <w:rsid w:val="00D41FF4"/>
    <w:rsid w:val="00D42531"/>
    <w:rsid w:val="00D42928"/>
    <w:rsid w:val="00D42AB7"/>
    <w:rsid w:val="00D42D74"/>
    <w:rsid w:val="00D42FF7"/>
    <w:rsid w:val="00D43376"/>
    <w:rsid w:val="00D43385"/>
    <w:rsid w:val="00D4340D"/>
    <w:rsid w:val="00D435F9"/>
    <w:rsid w:val="00D43693"/>
    <w:rsid w:val="00D43856"/>
    <w:rsid w:val="00D438FB"/>
    <w:rsid w:val="00D43EFA"/>
    <w:rsid w:val="00D44230"/>
    <w:rsid w:val="00D442C7"/>
    <w:rsid w:val="00D446BC"/>
    <w:rsid w:val="00D44B15"/>
    <w:rsid w:val="00D44B2B"/>
    <w:rsid w:val="00D44B5D"/>
    <w:rsid w:val="00D4517E"/>
    <w:rsid w:val="00D4543F"/>
    <w:rsid w:val="00D45502"/>
    <w:rsid w:val="00D45508"/>
    <w:rsid w:val="00D4589B"/>
    <w:rsid w:val="00D45EFB"/>
    <w:rsid w:val="00D460EB"/>
    <w:rsid w:val="00D463E2"/>
    <w:rsid w:val="00D4659C"/>
    <w:rsid w:val="00D46635"/>
    <w:rsid w:val="00D468D0"/>
    <w:rsid w:val="00D46AE2"/>
    <w:rsid w:val="00D46C8F"/>
    <w:rsid w:val="00D47073"/>
    <w:rsid w:val="00D479E4"/>
    <w:rsid w:val="00D47AEB"/>
    <w:rsid w:val="00D47CBD"/>
    <w:rsid w:val="00D47FFE"/>
    <w:rsid w:val="00D502A6"/>
    <w:rsid w:val="00D502C1"/>
    <w:rsid w:val="00D502DD"/>
    <w:rsid w:val="00D503A9"/>
    <w:rsid w:val="00D503FC"/>
    <w:rsid w:val="00D50674"/>
    <w:rsid w:val="00D506D1"/>
    <w:rsid w:val="00D506F5"/>
    <w:rsid w:val="00D50B35"/>
    <w:rsid w:val="00D50CCE"/>
    <w:rsid w:val="00D50F49"/>
    <w:rsid w:val="00D50FEC"/>
    <w:rsid w:val="00D51AB2"/>
    <w:rsid w:val="00D51D3E"/>
    <w:rsid w:val="00D51D9F"/>
    <w:rsid w:val="00D51ED2"/>
    <w:rsid w:val="00D51F0A"/>
    <w:rsid w:val="00D5200B"/>
    <w:rsid w:val="00D52478"/>
    <w:rsid w:val="00D524BE"/>
    <w:rsid w:val="00D524E2"/>
    <w:rsid w:val="00D52956"/>
    <w:rsid w:val="00D52BBC"/>
    <w:rsid w:val="00D52C38"/>
    <w:rsid w:val="00D52CE1"/>
    <w:rsid w:val="00D52CE3"/>
    <w:rsid w:val="00D53235"/>
    <w:rsid w:val="00D533A5"/>
    <w:rsid w:val="00D536A4"/>
    <w:rsid w:val="00D5392B"/>
    <w:rsid w:val="00D53980"/>
    <w:rsid w:val="00D53989"/>
    <w:rsid w:val="00D5399E"/>
    <w:rsid w:val="00D539DD"/>
    <w:rsid w:val="00D53E5D"/>
    <w:rsid w:val="00D53FF4"/>
    <w:rsid w:val="00D5468E"/>
    <w:rsid w:val="00D5468F"/>
    <w:rsid w:val="00D54BF9"/>
    <w:rsid w:val="00D54E5B"/>
    <w:rsid w:val="00D5500B"/>
    <w:rsid w:val="00D5547D"/>
    <w:rsid w:val="00D55572"/>
    <w:rsid w:val="00D5560D"/>
    <w:rsid w:val="00D557C6"/>
    <w:rsid w:val="00D557EE"/>
    <w:rsid w:val="00D5583B"/>
    <w:rsid w:val="00D55AA4"/>
    <w:rsid w:val="00D55AB3"/>
    <w:rsid w:val="00D5640B"/>
    <w:rsid w:val="00D56C12"/>
    <w:rsid w:val="00D57040"/>
    <w:rsid w:val="00D57366"/>
    <w:rsid w:val="00D57446"/>
    <w:rsid w:val="00D57696"/>
    <w:rsid w:val="00D576BC"/>
    <w:rsid w:val="00D579A6"/>
    <w:rsid w:val="00D579CC"/>
    <w:rsid w:val="00D57A73"/>
    <w:rsid w:val="00D57D22"/>
    <w:rsid w:val="00D57EF3"/>
    <w:rsid w:val="00D60235"/>
    <w:rsid w:val="00D60339"/>
    <w:rsid w:val="00D6035A"/>
    <w:rsid w:val="00D6053E"/>
    <w:rsid w:val="00D60564"/>
    <w:rsid w:val="00D6083C"/>
    <w:rsid w:val="00D60870"/>
    <w:rsid w:val="00D6088B"/>
    <w:rsid w:val="00D60C5B"/>
    <w:rsid w:val="00D60EED"/>
    <w:rsid w:val="00D60F21"/>
    <w:rsid w:val="00D615AD"/>
    <w:rsid w:val="00D617CC"/>
    <w:rsid w:val="00D6183D"/>
    <w:rsid w:val="00D61A02"/>
    <w:rsid w:val="00D62208"/>
    <w:rsid w:val="00D625F2"/>
    <w:rsid w:val="00D62AAF"/>
    <w:rsid w:val="00D62B8A"/>
    <w:rsid w:val="00D634A7"/>
    <w:rsid w:val="00D634E9"/>
    <w:rsid w:val="00D636AA"/>
    <w:rsid w:val="00D63BEA"/>
    <w:rsid w:val="00D63CDA"/>
    <w:rsid w:val="00D643C5"/>
    <w:rsid w:val="00D64791"/>
    <w:rsid w:val="00D64A46"/>
    <w:rsid w:val="00D64B5A"/>
    <w:rsid w:val="00D64CE8"/>
    <w:rsid w:val="00D64F53"/>
    <w:rsid w:val="00D65064"/>
    <w:rsid w:val="00D6563A"/>
    <w:rsid w:val="00D656B9"/>
    <w:rsid w:val="00D65BA6"/>
    <w:rsid w:val="00D65E4D"/>
    <w:rsid w:val="00D66132"/>
    <w:rsid w:val="00D66287"/>
    <w:rsid w:val="00D662C9"/>
    <w:rsid w:val="00D665A3"/>
    <w:rsid w:val="00D66C87"/>
    <w:rsid w:val="00D66CDA"/>
    <w:rsid w:val="00D66CDB"/>
    <w:rsid w:val="00D66EFF"/>
    <w:rsid w:val="00D66F39"/>
    <w:rsid w:val="00D67710"/>
    <w:rsid w:val="00D677CA"/>
    <w:rsid w:val="00D67C18"/>
    <w:rsid w:val="00D70039"/>
    <w:rsid w:val="00D70174"/>
    <w:rsid w:val="00D70318"/>
    <w:rsid w:val="00D70604"/>
    <w:rsid w:val="00D70631"/>
    <w:rsid w:val="00D708BC"/>
    <w:rsid w:val="00D709D6"/>
    <w:rsid w:val="00D70B9C"/>
    <w:rsid w:val="00D70C68"/>
    <w:rsid w:val="00D70C6E"/>
    <w:rsid w:val="00D70E1F"/>
    <w:rsid w:val="00D70EFA"/>
    <w:rsid w:val="00D711FF"/>
    <w:rsid w:val="00D714AE"/>
    <w:rsid w:val="00D7165F"/>
    <w:rsid w:val="00D717C5"/>
    <w:rsid w:val="00D724E2"/>
    <w:rsid w:val="00D72500"/>
    <w:rsid w:val="00D72826"/>
    <w:rsid w:val="00D728E2"/>
    <w:rsid w:val="00D729DC"/>
    <w:rsid w:val="00D72B1F"/>
    <w:rsid w:val="00D72D1D"/>
    <w:rsid w:val="00D73108"/>
    <w:rsid w:val="00D731EB"/>
    <w:rsid w:val="00D7358E"/>
    <w:rsid w:val="00D73612"/>
    <w:rsid w:val="00D7392E"/>
    <w:rsid w:val="00D740D6"/>
    <w:rsid w:val="00D740DB"/>
    <w:rsid w:val="00D7476D"/>
    <w:rsid w:val="00D74933"/>
    <w:rsid w:val="00D749DD"/>
    <w:rsid w:val="00D74A63"/>
    <w:rsid w:val="00D74AF0"/>
    <w:rsid w:val="00D74BDE"/>
    <w:rsid w:val="00D74C36"/>
    <w:rsid w:val="00D74D0C"/>
    <w:rsid w:val="00D750BA"/>
    <w:rsid w:val="00D75160"/>
    <w:rsid w:val="00D755E7"/>
    <w:rsid w:val="00D756AA"/>
    <w:rsid w:val="00D757BD"/>
    <w:rsid w:val="00D75843"/>
    <w:rsid w:val="00D75DE5"/>
    <w:rsid w:val="00D75FA2"/>
    <w:rsid w:val="00D76097"/>
    <w:rsid w:val="00D765A0"/>
    <w:rsid w:val="00D765D0"/>
    <w:rsid w:val="00D76709"/>
    <w:rsid w:val="00D767A0"/>
    <w:rsid w:val="00D7682A"/>
    <w:rsid w:val="00D76E51"/>
    <w:rsid w:val="00D7703D"/>
    <w:rsid w:val="00D776D4"/>
    <w:rsid w:val="00D77800"/>
    <w:rsid w:val="00D779F9"/>
    <w:rsid w:val="00D77BBF"/>
    <w:rsid w:val="00D8040B"/>
    <w:rsid w:val="00D80567"/>
    <w:rsid w:val="00D80889"/>
    <w:rsid w:val="00D80912"/>
    <w:rsid w:val="00D809AE"/>
    <w:rsid w:val="00D80AF6"/>
    <w:rsid w:val="00D80C3D"/>
    <w:rsid w:val="00D80FB0"/>
    <w:rsid w:val="00D812B7"/>
    <w:rsid w:val="00D81550"/>
    <w:rsid w:val="00D81864"/>
    <w:rsid w:val="00D818DD"/>
    <w:rsid w:val="00D81DF1"/>
    <w:rsid w:val="00D820EF"/>
    <w:rsid w:val="00D8231D"/>
    <w:rsid w:val="00D82569"/>
    <w:rsid w:val="00D825DD"/>
    <w:rsid w:val="00D82658"/>
    <w:rsid w:val="00D8297C"/>
    <w:rsid w:val="00D82A80"/>
    <w:rsid w:val="00D831DD"/>
    <w:rsid w:val="00D832A1"/>
    <w:rsid w:val="00D832AA"/>
    <w:rsid w:val="00D832D6"/>
    <w:rsid w:val="00D83420"/>
    <w:rsid w:val="00D834ED"/>
    <w:rsid w:val="00D83753"/>
    <w:rsid w:val="00D83BC6"/>
    <w:rsid w:val="00D84463"/>
    <w:rsid w:val="00D8455B"/>
    <w:rsid w:val="00D845B3"/>
    <w:rsid w:val="00D849DC"/>
    <w:rsid w:val="00D84A7E"/>
    <w:rsid w:val="00D84C1F"/>
    <w:rsid w:val="00D84E7E"/>
    <w:rsid w:val="00D850FE"/>
    <w:rsid w:val="00D8525E"/>
    <w:rsid w:val="00D85500"/>
    <w:rsid w:val="00D8562E"/>
    <w:rsid w:val="00D85B61"/>
    <w:rsid w:val="00D85FDD"/>
    <w:rsid w:val="00D861B8"/>
    <w:rsid w:val="00D862D7"/>
    <w:rsid w:val="00D866CC"/>
    <w:rsid w:val="00D86929"/>
    <w:rsid w:val="00D869CB"/>
    <w:rsid w:val="00D86AF6"/>
    <w:rsid w:val="00D86CDC"/>
    <w:rsid w:val="00D86D0A"/>
    <w:rsid w:val="00D870FF"/>
    <w:rsid w:val="00D874B9"/>
    <w:rsid w:val="00D879F1"/>
    <w:rsid w:val="00D87A6E"/>
    <w:rsid w:val="00D87EAA"/>
    <w:rsid w:val="00D900EF"/>
    <w:rsid w:val="00D90555"/>
    <w:rsid w:val="00D907B3"/>
    <w:rsid w:val="00D9089A"/>
    <w:rsid w:val="00D90932"/>
    <w:rsid w:val="00D90B8D"/>
    <w:rsid w:val="00D90C91"/>
    <w:rsid w:val="00D90CD2"/>
    <w:rsid w:val="00D912E6"/>
    <w:rsid w:val="00D913F5"/>
    <w:rsid w:val="00D915EE"/>
    <w:rsid w:val="00D91D74"/>
    <w:rsid w:val="00D91E68"/>
    <w:rsid w:val="00D9201D"/>
    <w:rsid w:val="00D925AB"/>
    <w:rsid w:val="00D92877"/>
    <w:rsid w:val="00D9294C"/>
    <w:rsid w:val="00D92A24"/>
    <w:rsid w:val="00D92AB6"/>
    <w:rsid w:val="00D92BFF"/>
    <w:rsid w:val="00D92DE5"/>
    <w:rsid w:val="00D92F09"/>
    <w:rsid w:val="00D930B9"/>
    <w:rsid w:val="00D93630"/>
    <w:rsid w:val="00D937F1"/>
    <w:rsid w:val="00D93FD0"/>
    <w:rsid w:val="00D940D6"/>
    <w:rsid w:val="00D941A4"/>
    <w:rsid w:val="00D942BE"/>
    <w:rsid w:val="00D944F1"/>
    <w:rsid w:val="00D9471D"/>
    <w:rsid w:val="00D94A2A"/>
    <w:rsid w:val="00D94A4A"/>
    <w:rsid w:val="00D94A8C"/>
    <w:rsid w:val="00D94BA6"/>
    <w:rsid w:val="00D94C8A"/>
    <w:rsid w:val="00D94E8F"/>
    <w:rsid w:val="00D94F9F"/>
    <w:rsid w:val="00D95051"/>
    <w:rsid w:val="00D9508E"/>
    <w:rsid w:val="00D95460"/>
    <w:rsid w:val="00D95963"/>
    <w:rsid w:val="00D95B84"/>
    <w:rsid w:val="00D95CB4"/>
    <w:rsid w:val="00D95E94"/>
    <w:rsid w:val="00D95F9E"/>
    <w:rsid w:val="00D96231"/>
    <w:rsid w:val="00D96714"/>
    <w:rsid w:val="00D969F4"/>
    <w:rsid w:val="00D96AFE"/>
    <w:rsid w:val="00D96EA9"/>
    <w:rsid w:val="00D97320"/>
    <w:rsid w:val="00D9784A"/>
    <w:rsid w:val="00D978E5"/>
    <w:rsid w:val="00D97D00"/>
    <w:rsid w:val="00D97EFE"/>
    <w:rsid w:val="00DA008F"/>
    <w:rsid w:val="00DA01BF"/>
    <w:rsid w:val="00DA0815"/>
    <w:rsid w:val="00DA08BB"/>
    <w:rsid w:val="00DA09AF"/>
    <w:rsid w:val="00DA09D2"/>
    <w:rsid w:val="00DA0B44"/>
    <w:rsid w:val="00DA10CD"/>
    <w:rsid w:val="00DA14F6"/>
    <w:rsid w:val="00DA1801"/>
    <w:rsid w:val="00DA1803"/>
    <w:rsid w:val="00DA1F2D"/>
    <w:rsid w:val="00DA1F83"/>
    <w:rsid w:val="00DA2176"/>
    <w:rsid w:val="00DA2223"/>
    <w:rsid w:val="00DA22ED"/>
    <w:rsid w:val="00DA26FA"/>
    <w:rsid w:val="00DA2720"/>
    <w:rsid w:val="00DA2838"/>
    <w:rsid w:val="00DA2885"/>
    <w:rsid w:val="00DA3167"/>
    <w:rsid w:val="00DA31B5"/>
    <w:rsid w:val="00DA3497"/>
    <w:rsid w:val="00DA3767"/>
    <w:rsid w:val="00DA385D"/>
    <w:rsid w:val="00DA39FF"/>
    <w:rsid w:val="00DA3A17"/>
    <w:rsid w:val="00DA3D62"/>
    <w:rsid w:val="00DA3DE7"/>
    <w:rsid w:val="00DA4049"/>
    <w:rsid w:val="00DA43F1"/>
    <w:rsid w:val="00DA4549"/>
    <w:rsid w:val="00DA455E"/>
    <w:rsid w:val="00DA48EF"/>
    <w:rsid w:val="00DA49CA"/>
    <w:rsid w:val="00DA49CF"/>
    <w:rsid w:val="00DA5446"/>
    <w:rsid w:val="00DA5E4B"/>
    <w:rsid w:val="00DA6189"/>
    <w:rsid w:val="00DA6A3D"/>
    <w:rsid w:val="00DA7613"/>
    <w:rsid w:val="00DA7622"/>
    <w:rsid w:val="00DA7637"/>
    <w:rsid w:val="00DA77EB"/>
    <w:rsid w:val="00DA7BE9"/>
    <w:rsid w:val="00DA7C43"/>
    <w:rsid w:val="00DA7D70"/>
    <w:rsid w:val="00DA7E37"/>
    <w:rsid w:val="00DA7FD7"/>
    <w:rsid w:val="00DB0259"/>
    <w:rsid w:val="00DB072F"/>
    <w:rsid w:val="00DB0B99"/>
    <w:rsid w:val="00DB0CC9"/>
    <w:rsid w:val="00DB0D3F"/>
    <w:rsid w:val="00DB0DAC"/>
    <w:rsid w:val="00DB124D"/>
    <w:rsid w:val="00DB17CA"/>
    <w:rsid w:val="00DB18C4"/>
    <w:rsid w:val="00DB18D5"/>
    <w:rsid w:val="00DB18EE"/>
    <w:rsid w:val="00DB1A21"/>
    <w:rsid w:val="00DB1A4C"/>
    <w:rsid w:val="00DB1C33"/>
    <w:rsid w:val="00DB1D3E"/>
    <w:rsid w:val="00DB1EF5"/>
    <w:rsid w:val="00DB1F51"/>
    <w:rsid w:val="00DB1FE2"/>
    <w:rsid w:val="00DB2327"/>
    <w:rsid w:val="00DB24BC"/>
    <w:rsid w:val="00DB256C"/>
    <w:rsid w:val="00DB27C6"/>
    <w:rsid w:val="00DB28E3"/>
    <w:rsid w:val="00DB3507"/>
    <w:rsid w:val="00DB37CD"/>
    <w:rsid w:val="00DB39D1"/>
    <w:rsid w:val="00DB3F0A"/>
    <w:rsid w:val="00DB41CC"/>
    <w:rsid w:val="00DB4665"/>
    <w:rsid w:val="00DB46B9"/>
    <w:rsid w:val="00DB49E5"/>
    <w:rsid w:val="00DB4AFF"/>
    <w:rsid w:val="00DB4B12"/>
    <w:rsid w:val="00DB4B7C"/>
    <w:rsid w:val="00DB4C97"/>
    <w:rsid w:val="00DB52BA"/>
    <w:rsid w:val="00DB53FD"/>
    <w:rsid w:val="00DB54EB"/>
    <w:rsid w:val="00DB5A4C"/>
    <w:rsid w:val="00DB5AA2"/>
    <w:rsid w:val="00DB5B85"/>
    <w:rsid w:val="00DB5E56"/>
    <w:rsid w:val="00DB6066"/>
    <w:rsid w:val="00DB6115"/>
    <w:rsid w:val="00DB61BA"/>
    <w:rsid w:val="00DB61F1"/>
    <w:rsid w:val="00DB68DD"/>
    <w:rsid w:val="00DB6958"/>
    <w:rsid w:val="00DB6B9B"/>
    <w:rsid w:val="00DB6BDA"/>
    <w:rsid w:val="00DB6E0A"/>
    <w:rsid w:val="00DB6F45"/>
    <w:rsid w:val="00DB7168"/>
    <w:rsid w:val="00DB76E4"/>
    <w:rsid w:val="00DB7A6D"/>
    <w:rsid w:val="00DB7C25"/>
    <w:rsid w:val="00DB7FA0"/>
    <w:rsid w:val="00DB7FF4"/>
    <w:rsid w:val="00DC00FF"/>
    <w:rsid w:val="00DC0129"/>
    <w:rsid w:val="00DC0191"/>
    <w:rsid w:val="00DC02B3"/>
    <w:rsid w:val="00DC0646"/>
    <w:rsid w:val="00DC07AC"/>
    <w:rsid w:val="00DC07F1"/>
    <w:rsid w:val="00DC0A11"/>
    <w:rsid w:val="00DC0AA5"/>
    <w:rsid w:val="00DC0F1F"/>
    <w:rsid w:val="00DC12EB"/>
    <w:rsid w:val="00DC16EC"/>
    <w:rsid w:val="00DC1B38"/>
    <w:rsid w:val="00DC1BA2"/>
    <w:rsid w:val="00DC1BD3"/>
    <w:rsid w:val="00DC1C8D"/>
    <w:rsid w:val="00DC2003"/>
    <w:rsid w:val="00DC21FC"/>
    <w:rsid w:val="00DC22A7"/>
    <w:rsid w:val="00DC22CF"/>
    <w:rsid w:val="00DC2492"/>
    <w:rsid w:val="00DC252C"/>
    <w:rsid w:val="00DC25B5"/>
    <w:rsid w:val="00DC26F6"/>
    <w:rsid w:val="00DC27BC"/>
    <w:rsid w:val="00DC2904"/>
    <w:rsid w:val="00DC2926"/>
    <w:rsid w:val="00DC2DC7"/>
    <w:rsid w:val="00DC2E42"/>
    <w:rsid w:val="00DC31C7"/>
    <w:rsid w:val="00DC3405"/>
    <w:rsid w:val="00DC35AC"/>
    <w:rsid w:val="00DC3803"/>
    <w:rsid w:val="00DC39F8"/>
    <w:rsid w:val="00DC3A72"/>
    <w:rsid w:val="00DC3C0D"/>
    <w:rsid w:val="00DC3C85"/>
    <w:rsid w:val="00DC3CEC"/>
    <w:rsid w:val="00DC3E91"/>
    <w:rsid w:val="00DC4063"/>
    <w:rsid w:val="00DC409B"/>
    <w:rsid w:val="00DC4401"/>
    <w:rsid w:val="00DC4502"/>
    <w:rsid w:val="00DC479B"/>
    <w:rsid w:val="00DC4BFC"/>
    <w:rsid w:val="00DC4C60"/>
    <w:rsid w:val="00DC508D"/>
    <w:rsid w:val="00DC511F"/>
    <w:rsid w:val="00DC52F1"/>
    <w:rsid w:val="00DC5457"/>
    <w:rsid w:val="00DC551C"/>
    <w:rsid w:val="00DC58BD"/>
    <w:rsid w:val="00DC5931"/>
    <w:rsid w:val="00DC5A0D"/>
    <w:rsid w:val="00DC5C6C"/>
    <w:rsid w:val="00DC5E12"/>
    <w:rsid w:val="00DC5F93"/>
    <w:rsid w:val="00DC6203"/>
    <w:rsid w:val="00DC6387"/>
    <w:rsid w:val="00DC6685"/>
    <w:rsid w:val="00DC6868"/>
    <w:rsid w:val="00DC6B52"/>
    <w:rsid w:val="00DC6DCC"/>
    <w:rsid w:val="00DC6F0E"/>
    <w:rsid w:val="00DC7000"/>
    <w:rsid w:val="00DC742E"/>
    <w:rsid w:val="00DC78B7"/>
    <w:rsid w:val="00DC7FD6"/>
    <w:rsid w:val="00DD0135"/>
    <w:rsid w:val="00DD0249"/>
    <w:rsid w:val="00DD042F"/>
    <w:rsid w:val="00DD05DC"/>
    <w:rsid w:val="00DD061A"/>
    <w:rsid w:val="00DD0948"/>
    <w:rsid w:val="00DD0A7A"/>
    <w:rsid w:val="00DD0B37"/>
    <w:rsid w:val="00DD1017"/>
    <w:rsid w:val="00DD1042"/>
    <w:rsid w:val="00DD1105"/>
    <w:rsid w:val="00DD1213"/>
    <w:rsid w:val="00DD12B1"/>
    <w:rsid w:val="00DD137D"/>
    <w:rsid w:val="00DD14EB"/>
    <w:rsid w:val="00DD1511"/>
    <w:rsid w:val="00DD168F"/>
    <w:rsid w:val="00DD16DB"/>
    <w:rsid w:val="00DD17AC"/>
    <w:rsid w:val="00DD1B07"/>
    <w:rsid w:val="00DD1CDB"/>
    <w:rsid w:val="00DD247B"/>
    <w:rsid w:val="00DD255F"/>
    <w:rsid w:val="00DD270C"/>
    <w:rsid w:val="00DD274B"/>
    <w:rsid w:val="00DD277A"/>
    <w:rsid w:val="00DD2A72"/>
    <w:rsid w:val="00DD2AAB"/>
    <w:rsid w:val="00DD2F61"/>
    <w:rsid w:val="00DD301B"/>
    <w:rsid w:val="00DD30B6"/>
    <w:rsid w:val="00DD3386"/>
    <w:rsid w:val="00DD3534"/>
    <w:rsid w:val="00DD3850"/>
    <w:rsid w:val="00DD38C7"/>
    <w:rsid w:val="00DD3AB4"/>
    <w:rsid w:val="00DD3AEB"/>
    <w:rsid w:val="00DD3C15"/>
    <w:rsid w:val="00DD3C23"/>
    <w:rsid w:val="00DD4022"/>
    <w:rsid w:val="00DD419B"/>
    <w:rsid w:val="00DD42BA"/>
    <w:rsid w:val="00DD453D"/>
    <w:rsid w:val="00DD4556"/>
    <w:rsid w:val="00DD4674"/>
    <w:rsid w:val="00DD473F"/>
    <w:rsid w:val="00DD478F"/>
    <w:rsid w:val="00DD4901"/>
    <w:rsid w:val="00DD49C0"/>
    <w:rsid w:val="00DD49E2"/>
    <w:rsid w:val="00DD4BE6"/>
    <w:rsid w:val="00DD513E"/>
    <w:rsid w:val="00DD5458"/>
    <w:rsid w:val="00DD55DE"/>
    <w:rsid w:val="00DD577E"/>
    <w:rsid w:val="00DD5812"/>
    <w:rsid w:val="00DD58DE"/>
    <w:rsid w:val="00DD59C0"/>
    <w:rsid w:val="00DD5ABC"/>
    <w:rsid w:val="00DD5FBC"/>
    <w:rsid w:val="00DD60CD"/>
    <w:rsid w:val="00DD64FD"/>
    <w:rsid w:val="00DD6C24"/>
    <w:rsid w:val="00DD70F4"/>
    <w:rsid w:val="00DD786C"/>
    <w:rsid w:val="00DE0556"/>
    <w:rsid w:val="00DE074F"/>
    <w:rsid w:val="00DE0B91"/>
    <w:rsid w:val="00DE0CD8"/>
    <w:rsid w:val="00DE0EA8"/>
    <w:rsid w:val="00DE110E"/>
    <w:rsid w:val="00DE12F3"/>
    <w:rsid w:val="00DE1911"/>
    <w:rsid w:val="00DE1B4F"/>
    <w:rsid w:val="00DE1D2D"/>
    <w:rsid w:val="00DE1D7C"/>
    <w:rsid w:val="00DE2066"/>
    <w:rsid w:val="00DE28F2"/>
    <w:rsid w:val="00DE291A"/>
    <w:rsid w:val="00DE2C38"/>
    <w:rsid w:val="00DE305A"/>
    <w:rsid w:val="00DE30C2"/>
    <w:rsid w:val="00DE33E1"/>
    <w:rsid w:val="00DE352E"/>
    <w:rsid w:val="00DE354E"/>
    <w:rsid w:val="00DE35B6"/>
    <w:rsid w:val="00DE3600"/>
    <w:rsid w:val="00DE3658"/>
    <w:rsid w:val="00DE3660"/>
    <w:rsid w:val="00DE3740"/>
    <w:rsid w:val="00DE3825"/>
    <w:rsid w:val="00DE4462"/>
    <w:rsid w:val="00DE4561"/>
    <w:rsid w:val="00DE4953"/>
    <w:rsid w:val="00DE4976"/>
    <w:rsid w:val="00DE4C64"/>
    <w:rsid w:val="00DE4ED8"/>
    <w:rsid w:val="00DE5337"/>
    <w:rsid w:val="00DE534B"/>
    <w:rsid w:val="00DE5DAE"/>
    <w:rsid w:val="00DE5F9A"/>
    <w:rsid w:val="00DE6364"/>
    <w:rsid w:val="00DE63B4"/>
    <w:rsid w:val="00DE6412"/>
    <w:rsid w:val="00DE6922"/>
    <w:rsid w:val="00DE6CE1"/>
    <w:rsid w:val="00DE72D8"/>
    <w:rsid w:val="00DE72E1"/>
    <w:rsid w:val="00DE740C"/>
    <w:rsid w:val="00DE7586"/>
    <w:rsid w:val="00DE75B9"/>
    <w:rsid w:val="00DE76BC"/>
    <w:rsid w:val="00DE7729"/>
    <w:rsid w:val="00DE7F68"/>
    <w:rsid w:val="00DF0007"/>
    <w:rsid w:val="00DF0008"/>
    <w:rsid w:val="00DF00A2"/>
    <w:rsid w:val="00DF0387"/>
    <w:rsid w:val="00DF06D1"/>
    <w:rsid w:val="00DF07CF"/>
    <w:rsid w:val="00DF08F5"/>
    <w:rsid w:val="00DF0AC7"/>
    <w:rsid w:val="00DF0BC6"/>
    <w:rsid w:val="00DF0D75"/>
    <w:rsid w:val="00DF1197"/>
    <w:rsid w:val="00DF1548"/>
    <w:rsid w:val="00DF16FA"/>
    <w:rsid w:val="00DF17C5"/>
    <w:rsid w:val="00DF1B32"/>
    <w:rsid w:val="00DF1D3D"/>
    <w:rsid w:val="00DF1F3B"/>
    <w:rsid w:val="00DF2199"/>
    <w:rsid w:val="00DF24D4"/>
    <w:rsid w:val="00DF24D5"/>
    <w:rsid w:val="00DF2741"/>
    <w:rsid w:val="00DF28C3"/>
    <w:rsid w:val="00DF28CB"/>
    <w:rsid w:val="00DF2983"/>
    <w:rsid w:val="00DF2E58"/>
    <w:rsid w:val="00DF3087"/>
    <w:rsid w:val="00DF35EF"/>
    <w:rsid w:val="00DF3705"/>
    <w:rsid w:val="00DF3D7C"/>
    <w:rsid w:val="00DF3FB0"/>
    <w:rsid w:val="00DF40BD"/>
    <w:rsid w:val="00DF4758"/>
    <w:rsid w:val="00DF48F5"/>
    <w:rsid w:val="00DF4927"/>
    <w:rsid w:val="00DF4F79"/>
    <w:rsid w:val="00DF507F"/>
    <w:rsid w:val="00DF554D"/>
    <w:rsid w:val="00DF576F"/>
    <w:rsid w:val="00DF58BC"/>
    <w:rsid w:val="00DF5BE3"/>
    <w:rsid w:val="00DF5D06"/>
    <w:rsid w:val="00DF5F70"/>
    <w:rsid w:val="00DF6122"/>
    <w:rsid w:val="00DF62DB"/>
    <w:rsid w:val="00DF6667"/>
    <w:rsid w:val="00DF66B7"/>
    <w:rsid w:val="00DF68C4"/>
    <w:rsid w:val="00DF6C35"/>
    <w:rsid w:val="00DF6DD9"/>
    <w:rsid w:val="00DF6E0D"/>
    <w:rsid w:val="00DF7124"/>
    <w:rsid w:val="00DF7320"/>
    <w:rsid w:val="00DF7433"/>
    <w:rsid w:val="00DF7465"/>
    <w:rsid w:val="00DF7560"/>
    <w:rsid w:val="00DF7682"/>
    <w:rsid w:val="00DF78DE"/>
    <w:rsid w:val="00DF7CA7"/>
    <w:rsid w:val="00DF7D59"/>
    <w:rsid w:val="00DF7F6D"/>
    <w:rsid w:val="00DF7F9B"/>
    <w:rsid w:val="00E003DE"/>
    <w:rsid w:val="00E00427"/>
    <w:rsid w:val="00E005AA"/>
    <w:rsid w:val="00E0095A"/>
    <w:rsid w:val="00E00A7F"/>
    <w:rsid w:val="00E00BAB"/>
    <w:rsid w:val="00E00CA8"/>
    <w:rsid w:val="00E01174"/>
    <w:rsid w:val="00E01204"/>
    <w:rsid w:val="00E01404"/>
    <w:rsid w:val="00E017F5"/>
    <w:rsid w:val="00E019FC"/>
    <w:rsid w:val="00E01A90"/>
    <w:rsid w:val="00E0209A"/>
    <w:rsid w:val="00E02147"/>
    <w:rsid w:val="00E02253"/>
    <w:rsid w:val="00E02795"/>
    <w:rsid w:val="00E02815"/>
    <w:rsid w:val="00E0316F"/>
    <w:rsid w:val="00E03549"/>
    <w:rsid w:val="00E03709"/>
    <w:rsid w:val="00E0370A"/>
    <w:rsid w:val="00E03898"/>
    <w:rsid w:val="00E038F6"/>
    <w:rsid w:val="00E03AC2"/>
    <w:rsid w:val="00E03CC0"/>
    <w:rsid w:val="00E04144"/>
    <w:rsid w:val="00E044A6"/>
    <w:rsid w:val="00E0470E"/>
    <w:rsid w:val="00E04B9E"/>
    <w:rsid w:val="00E04B9F"/>
    <w:rsid w:val="00E04E00"/>
    <w:rsid w:val="00E04FAA"/>
    <w:rsid w:val="00E05046"/>
    <w:rsid w:val="00E05097"/>
    <w:rsid w:val="00E05165"/>
    <w:rsid w:val="00E051C8"/>
    <w:rsid w:val="00E051EE"/>
    <w:rsid w:val="00E05317"/>
    <w:rsid w:val="00E0534C"/>
    <w:rsid w:val="00E05402"/>
    <w:rsid w:val="00E05443"/>
    <w:rsid w:val="00E05514"/>
    <w:rsid w:val="00E05751"/>
    <w:rsid w:val="00E057C1"/>
    <w:rsid w:val="00E05968"/>
    <w:rsid w:val="00E05B55"/>
    <w:rsid w:val="00E05B8F"/>
    <w:rsid w:val="00E05F66"/>
    <w:rsid w:val="00E063E2"/>
    <w:rsid w:val="00E06454"/>
    <w:rsid w:val="00E06E26"/>
    <w:rsid w:val="00E0712A"/>
    <w:rsid w:val="00E07179"/>
    <w:rsid w:val="00E07511"/>
    <w:rsid w:val="00E07955"/>
    <w:rsid w:val="00E07B62"/>
    <w:rsid w:val="00E07C2D"/>
    <w:rsid w:val="00E07DD8"/>
    <w:rsid w:val="00E07E9C"/>
    <w:rsid w:val="00E07EB8"/>
    <w:rsid w:val="00E07F78"/>
    <w:rsid w:val="00E1015B"/>
    <w:rsid w:val="00E10385"/>
    <w:rsid w:val="00E103F8"/>
    <w:rsid w:val="00E10DDF"/>
    <w:rsid w:val="00E10F22"/>
    <w:rsid w:val="00E114E8"/>
    <w:rsid w:val="00E11A5E"/>
    <w:rsid w:val="00E11A99"/>
    <w:rsid w:val="00E11B19"/>
    <w:rsid w:val="00E11BAF"/>
    <w:rsid w:val="00E11BE3"/>
    <w:rsid w:val="00E11E7E"/>
    <w:rsid w:val="00E12054"/>
    <w:rsid w:val="00E12088"/>
    <w:rsid w:val="00E120CF"/>
    <w:rsid w:val="00E121DE"/>
    <w:rsid w:val="00E122A5"/>
    <w:rsid w:val="00E1247E"/>
    <w:rsid w:val="00E125FB"/>
    <w:rsid w:val="00E129D0"/>
    <w:rsid w:val="00E12A19"/>
    <w:rsid w:val="00E12B44"/>
    <w:rsid w:val="00E12C97"/>
    <w:rsid w:val="00E12D6F"/>
    <w:rsid w:val="00E12FDB"/>
    <w:rsid w:val="00E13074"/>
    <w:rsid w:val="00E13076"/>
    <w:rsid w:val="00E130F9"/>
    <w:rsid w:val="00E13188"/>
    <w:rsid w:val="00E131C3"/>
    <w:rsid w:val="00E1320F"/>
    <w:rsid w:val="00E13319"/>
    <w:rsid w:val="00E133C5"/>
    <w:rsid w:val="00E13455"/>
    <w:rsid w:val="00E1360C"/>
    <w:rsid w:val="00E136BE"/>
    <w:rsid w:val="00E139C9"/>
    <w:rsid w:val="00E13D6C"/>
    <w:rsid w:val="00E13EF6"/>
    <w:rsid w:val="00E143B1"/>
    <w:rsid w:val="00E14731"/>
    <w:rsid w:val="00E14759"/>
    <w:rsid w:val="00E148D1"/>
    <w:rsid w:val="00E149FB"/>
    <w:rsid w:val="00E14A5F"/>
    <w:rsid w:val="00E14E2B"/>
    <w:rsid w:val="00E1524E"/>
    <w:rsid w:val="00E152EE"/>
    <w:rsid w:val="00E15474"/>
    <w:rsid w:val="00E15572"/>
    <w:rsid w:val="00E159CE"/>
    <w:rsid w:val="00E15A95"/>
    <w:rsid w:val="00E15B88"/>
    <w:rsid w:val="00E15E01"/>
    <w:rsid w:val="00E15FE0"/>
    <w:rsid w:val="00E163A6"/>
    <w:rsid w:val="00E16E02"/>
    <w:rsid w:val="00E16F85"/>
    <w:rsid w:val="00E172CA"/>
    <w:rsid w:val="00E1738E"/>
    <w:rsid w:val="00E174D6"/>
    <w:rsid w:val="00E17545"/>
    <w:rsid w:val="00E17A6E"/>
    <w:rsid w:val="00E20190"/>
    <w:rsid w:val="00E2034C"/>
    <w:rsid w:val="00E20392"/>
    <w:rsid w:val="00E204FE"/>
    <w:rsid w:val="00E206C3"/>
    <w:rsid w:val="00E20AA7"/>
    <w:rsid w:val="00E20B39"/>
    <w:rsid w:val="00E20DF1"/>
    <w:rsid w:val="00E20E9D"/>
    <w:rsid w:val="00E20FCC"/>
    <w:rsid w:val="00E211C5"/>
    <w:rsid w:val="00E21364"/>
    <w:rsid w:val="00E21697"/>
    <w:rsid w:val="00E21823"/>
    <w:rsid w:val="00E21A01"/>
    <w:rsid w:val="00E21BC2"/>
    <w:rsid w:val="00E21BC5"/>
    <w:rsid w:val="00E21E37"/>
    <w:rsid w:val="00E21E5E"/>
    <w:rsid w:val="00E22096"/>
    <w:rsid w:val="00E221B9"/>
    <w:rsid w:val="00E22335"/>
    <w:rsid w:val="00E2251F"/>
    <w:rsid w:val="00E228E5"/>
    <w:rsid w:val="00E22B6E"/>
    <w:rsid w:val="00E22C48"/>
    <w:rsid w:val="00E22C52"/>
    <w:rsid w:val="00E22D99"/>
    <w:rsid w:val="00E23159"/>
    <w:rsid w:val="00E23263"/>
    <w:rsid w:val="00E23366"/>
    <w:rsid w:val="00E236C6"/>
    <w:rsid w:val="00E23885"/>
    <w:rsid w:val="00E238B8"/>
    <w:rsid w:val="00E239C3"/>
    <w:rsid w:val="00E23ABC"/>
    <w:rsid w:val="00E23AE2"/>
    <w:rsid w:val="00E23B6E"/>
    <w:rsid w:val="00E23B9A"/>
    <w:rsid w:val="00E23E77"/>
    <w:rsid w:val="00E24102"/>
    <w:rsid w:val="00E24196"/>
    <w:rsid w:val="00E243FC"/>
    <w:rsid w:val="00E24559"/>
    <w:rsid w:val="00E24633"/>
    <w:rsid w:val="00E247A6"/>
    <w:rsid w:val="00E24BC9"/>
    <w:rsid w:val="00E24DE0"/>
    <w:rsid w:val="00E24ED2"/>
    <w:rsid w:val="00E25374"/>
    <w:rsid w:val="00E25A72"/>
    <w:rsid w:val="00E25B4C"/>
    <w:rsid w:val="00E25CCF"/>
    <w:rsid w:val="00E25D73"/>
    <w:rsid w:val="00E25F74"/>
    <w:rsid w:val="00E25FD4"/>
    <w:rsid w:val="00E26300"/>
    <w:rsid w:val="00E263D8"/>
    <w:rsid w:val="00E26692"/>
    <w:rsid w:val="00E26852"/>
    <w:rsid w:val="00E269D7"/>
    <w:rsid w:val="00E26D53"/>
    <w:rsid w:val="00E26E81"/>
    <w:rsid w:val="00E2716E"/>
    <w:rsid w:val="00E27435"/>
    <w:rsid w:val="00E2767F"/>
    <w:rsid w:val="00E276DE"/>
    <w:rsid w:val="00E27A53"/>
    <w:rsid w:val="00E27C79"/>
    <w:rsid w:val="00E27D41"/>
    <w:rsid w:val="00E27DE7"/>
    <w:rsid w:val="00E300BD"/>
    <w:rsid w:val="00E3083D"/>
    <w:rsid w:val="00E30897"/>
    <w:rsid w:val="00E309D2"/>
    <w:rsid w:val="00E30ACA"/>
    <w:rsid w:val="00E30DFF"/>
    <w:rsid w:val="00E30E94"/>
    <w:rsid w:val="00E31064"/>
    <w:rsid w:val="00E311E3"/>
    <w:rsid w:val="00E317EA"/>
    <w:rsid w:val="00E318E0"/>
    <w:rsid w:val="00E31E9C"/>
    <w:rsid w:val="00E31EC3"/>
    <w:rsid w:val="00E32127"/>
    <w:rsid w:val="00E322B5"/>
    <w:rsid w:val="00E3250E"/>
    <w:rsid w:val="00E326B6"/>
    <w:rsid w:val="00E3296B"/>
    <w:rsid w:val="00E32985"/>
    <w:rsid w:val="00E32CE4"/>
    <w:rsid w:val="00E32EF3"/>
    <w:rsid w:val="00E32F68"/>
    <w:rsid w:val="00E33491"/>
    <w:rsid w:val="00E335D5"/>
    <w:rsid w:val="00E3365E"/>
    <w:rsid w:val="00E33A4C"/>
    <w:rsid w:val="00E33A50"/>
    <w:rsid w:val="00E33BD0"/>
    <w:rsid w:val="00E33C5E"/>
    <w:rsid w:val="00E33CEC"/>
    <w:rsid w:val="00E33DE9"/>
    <w:rsid w:val="00E33E62"/>
    <w:rsid w:val="00E33F98"/>
    <w:rsid w:val="00E34156"/>
    <w:rsid w:val="00E341CC"/>
    <w:rsid w:val="00E3507E"/>
    <w:rsid w:val="00E350FC"/>
    <w:rsid w:val="00E351A5"/>
    <w:rsid w:val="00E351F9"/>
    <w:rsid w:val="00E35384"/>
    <w:rsid w:val="00E35390"/>
    <w:rsid w:val="00E3556F"/>
    <w:rsid w:val="00E3564F"/>
    <w:rsid w:val="00E35871"/>
    <w:rsid w:val="00E35AA6"/>
    <w:rsid w:val="00E35AC5"/>
    <w:rsid w:val="00E36196"/>
    <w:rsid w:val="00E36483"/>
    <w:rsid w:val="00E364E8"/>
    <w:rsid w:val="00E36D4D"/>
    <w:rsid w:val="00E36EE5"/>
    <w:rsid w:val="00E36FD9"/>
    <w:rsid w:val="00E3769A"/>
    <w:rsid w:val="00E378C4"/>
    <w:rsid w:val="00E378EC"/>
    <w:rsid w:val="00E379F2"/>
    <w:rsid w:val="00E37B9B"/>
    <w:rsid w:val="00E37BA8"/>
    <w:rsid w:val="00E37F75"/>
    <w:rsid w:val="00E37FD7"/>
    <w:rsid w:val="00E4019B"/>
    <w:rsid w:val="00E4081E"/>
    <w:rsid w:val="00E40AEB"/>
    <w:rsid w:val="00E40F6D"/>
    <w:rsid w:val="00E410A5"/>
    <w:rsid w:val="00E413E9"/>
    <w:rsid w:val="00E41728"/>
    <w:rsid w:val="00E418F5"/>
    <w:rsid w:val="00E4198A"/>
    <w:rsid w:val="00E42218"/>
    <w:rsid w:val="00E422FC"/>
    <w:rsid w:val="00E42357"/>
    <w:rsid w:val="00E424A4"/>
    <w:rsid w:val="00E42525"/>
    <w:rsid w:val="00E4269E"/>
    <w:rsid w:val="00E426F9"/>
    <w:rsid w:val="00E427CE"/>
    <w:rsid w:val="00E429DB"/>
    <w:rsid w:val="00E42D92"/>
    <w:rsid w:val="00E42D96"/>
    <w:rsid w:val="00E431E9"/>
    <w:rsid w:val="00E43322"/>
    <w:rsid w:val="00E43453"/>
    <w:rsid w:val="00E4361F"/>
    <w:rsid w:val="00E438F9"/>
    <w:rsid w:val="00E4391A"/>
    <w:rsid w:val="00E4420B"/>
    <w:rsid w:val="00E44235"/>
    <w:rsid w:val="00E44521"/>
    <w:rsid w:val="00E445A4"/>
    <w:rsid w:val="00E44813"/>
    <w:rsid w:val="00E44907"/>
    <w:rsid w:val="00E45159"/>
    <w:rsid w:val="00E4522F"/>
    <w:rsid w:val="00E4531F"/>
    <w:rsid w:val="00E455C8"/>
    <w:rsid w:val="00E456B8"/>
    <w:rsid w:val="00E456D5"/>
    <w:rsid w:val="00E45D0B"/>
    <w:rsid w:val="00E45DD3"/>
    <w:rsid w:val="00E45E50"/>
    <w:rsid w:val="00E460D5"/>
    <w:rsid w:val="00E46116"/>
    <w:rsid w:val="00E46235"/>
    <w:rsid w:val="00E4656D"/>
    <w:rsid w:val="00E46676"/>
    <w:rsid w:val="00E46989"/>
    <w:rsid w:val="00E46CB0"/>
    <w:rsid w:val="00E46D65"/>
    <w:rsid w:val="00E4702F"/>
    <w:rsid w:val="00E47530"/>
    <w:rsid w:val="00E47550"/>
    <w:rsid w:val="00E477B9"/>
    <w:rsid w:val="00E47A00"/>
    <w:rsid w:val="00E47B48"/>
    <w:rsid w:val="00E47F05"/>
    <w:rsid w:val="00E500A1"/>
    <w:rsid w:val="00E5019D"/>
    <w:rsid w:val="00E501CA"/>
    <w:rsid w:val="00E502F0"/>
    <w:rsid w:val="00E50475"/>
    <w:rsid w:val="00E508AD"/>
    <w:rsid w:val="00E509AB"/>
    <w:rsid w:val="00E509DF"/>
    <w:rsid w:val="00E50CEC"/>
    <w:rsid w:val="00E50EF3"/>
    <w:rsid w:val="00E5199E"/>
    <w:rsid w:val="00E51B67"/>
    <w:rsid w:val="00E51E55"/>
    <w:rsid w:val="00E52544"/>
    <w:rsid w:val="00E52569"/>
    <w:rsid w:val="00E53101"/>
    <w:rsid w:val="00E53182"/>
    <w:rsid w:val="00E533B0"/>
    <w:rsid w:val="00E53404"/>
    <w:rsid w:val="00E53541"/>
    <w:rsid w:val="00E53810"/>
    <w:rsid w:val="00E539B9"/>
    <w:rsid w:val="00E53C2E"/>
    <w:rsid w:val="00E53F1E"/>
    <w:rsid w:val="00E53F43"/>
    <w:rsid w:val="00E53F79"/>
    <w:rsid w:val="00E541D6"/>
    <w:rsid w:val="00E54255"/>
    <w:rsid w:val="00E542BD"/>
    <w:rsid w:val="00E5433A"/>
    <w:rsid w:val="00E54342"/>
    <w:rsid w:val="00E545E0"/>
    <w:rsid w:val="00E5465D"/>
    <w:rsid w:val="00E5483A"/>
    <w:rsid w:val="00E54B60"/>
    <w:rsid w:val="00E54D11"/>
    <w:rsid w:val="00E550BE"/>
    <w:rsid w:val="00E55275"/>
    <w:rsid w:val="00E552C2"/>
    <w:rsid w:val="00E553FE"/>
    <w:rsid w:val="00E555C5"/>
    <w:rsid w:val="00E55679"/>
    <w:rsid w:val="00E55F2E"/>
    <w:rsid w:val="00E55F5A"/>
    <w:rsid w:val="00E561B5"/>
    <w:rsid w:val="00E5640A"/>
    <w:rsid w:val="00E56599"/>
    <w:rsid w:val="00E568A7"/>
    <w:rsid w:val="00E56C87"/>
    <w:rsid w:val="00E56F06"/>
    <w:rsid w:val="00E57AE6"/>
    <w:rsid w:val="00E57B97"/>
    <w:rsid w:val="00E57CA4"/>
    <w:rsid w:val="00E57CB5"/>
    <w:rsid w:val="00E57EEF"/>
    <w:rsid w:val="00E603F9"/>
    <w:rsid w:val="00E60523"/>
    <w:rsid w:val="00E60648"/>
    <w:rsid w:val="00E607BD"/>
    <w:rsid w:val="00E607E3"/>
    <w:rsid w:val="00E608B4"/>
    <w:rsid w:val="00E608D3"/>
    <w:rsid w:val="00E60C56"/>
    <w:rsid w:val="00E60FA3"/>
    <w:rsid w:val="00E613AB"/>
    <w:rsid w:val="00E6148E"/>
    <w:rsid w:val="00E6178E"/>
    <w:rsid w:val="00E61919"/>
    <w:rsid w:val="00E61B0B"/>
    <w:rsid w:val="00E61C4A"/>
    <w:rsid w:val="00E61F89"/>
    <w:rsid w:val="00E61FA1"/>
    <w:rsid w:val="00E61FC7"/>
    <w:rsid w:val="00E61FE8"/>
    <w:rsid w:val="00E621FD"/>
    <w:rsid w:val="00E624A7"/>
    <w:rsid w:val="00E627F5"/>
    <w:rsid w:val="00E62827"/>
    <w:rsid w:val="00E628DA"/>
    <w:rsid w:val="00E62A3B"/>
    <w:rsid w:val="00E62F23"/>
    <w:rsid w:val="00E630DE"/>
    <w:rsid w:val="00E635A3"/>
    <w:rsid w:val="00E6372E"/>
    <w:rsid w:val="00E637E2"/>
    <w:rsid w:val="00E63EE0"/>
    <w:rsid w:val="00E63FEC"/>
    <w:rsid w:val="00E64107"/>
    <w:rsid w:val="00E6462F"/>
    <w:rsid w:val="00E64C05"/>
    <w:rsid w:val="00E64EF3"/>
    <w:rsid w:val="00E64F2A"/>
    <w:rsid w:val="00E65083"/>
    <w:rsid w:val="00E653A1"/>
    <w:rsid w:val="00E65564"/>
    <w:rsid w:val="00E6599E"/>
    <w:rsid w:val="00E65A14"/>
    <w:rsid w:val="00E65A52"/>
    <w:rsid w:val="00E65A67"/>
    <w:rsid w:val="00E65B1C"/>
    <w:rsid w:val="00E65B5E"/>
    <w:rsid w:val="00E65B73"/>
    <w:rsid w:val="00E65D02"/>
    <w:rsid w:val="00E65E44"/>
    <w:rsid w:val="00E65EE9"/>
    <w:rsid w:val="00E65F8A"/>
    <w:rsid w:val="00E65FFC"/>
    <w:rsid w:val="00E661E3"/>
    <w:rsid w:val="00E665A5"/>
    <w:rsid w:val="00E665F0"/>
    <w:rsid w:val="00E66621"/>
    <w:rsid w:val="00E666EC"/>
    <w:rsid w:val="00E66729"/>
    <w:rsid w:val="00E667C1"/>
    <w:rsid w:val="00E66824"/>
    <w:rsid w:val="00E66858"/>
    <w:rsid w:val="00E668BA"/>
    <w:rsid w:val="00E66F28"/>
    <w:rsid w:val="00E6721B"/>
    <w:rsid w:val="00E67357"/>
    <w:rsid w:val="00E674BF"/>
    <w:rsid w:val="00E6767E"/>
    <w:rsid w:val="00E678AD"/>
    <w:rsid w:val="00E67998"/>
    <w:rsid w:val="00E67BA0"/>
    <w:rsid w:val="00E67E01"/>
    <w:rsid w:val="00E70014"/>
    <w:rsid w:val="00E701EB"/>
    <w:rsid w:val="00E7034D"/>
    <w:rsid w:val="00E706C4"/>
    <w:rsid w:val="00E70797"/>
    <w:rsid w:val="00E70895"/>
    <w:rsid w:val="00E709A0"/>
    <w:rsid w:val="00E70A49"/>
    <w:rsid w:val="00E70CDE"/>
    <w:rsid w:val="00E70CEB"/>
    <w:rsid w:val="00E71027"/>
    <w:rsid w:val="00E711AB"/>
    <w:rsid w:val="00E7124E"/>
    <w:rsid w:val="00E713B3"/>
    <w:rsid w:val="00E71404"/>
    <w:rsid w:val="00E71504"/>
    <w:rsid w:val="00E71567"/>
    <w:rsid w:val="00E716F6"/>
    <w:rsid w:val="00E71914"/>
    <w:rsid w:val="00E71A2A"/>
    <w:rsid w:val="00E71A57"/>
    <w:rsid w:val="00E71ACB"/>
    <w:rsid w:val="00E71AFB"/>
    <w:rsid w:val="00E71CB7"/>
    <w:rsid w:val="00E71DA5"/>
    <w:rsid w:val="00E7206D"/>
    <w:rsid w:val="00E720FB"/>
    <w:rsid w:val="00E72697"/>
    <w:rsid w:val="00E72926"/>
    <w:rsid w:val="00E72C50"/>
    <w:rsid w:val="00E72E4C"/>
    <w:rsid w:val="00E72ECE"/>
    <w:rsid w:val="00E72F7C"/>
    <w:rsid w:val="00E73082"/>
    <w:rsid w:val="00E7337C"/>
    <w:rsid w:val="00E73745"/>
    <w:rsid w:val="00E73865"/>
    <w:rsid w:val="00E73A7D"/>
    <w:rsid w:val="00E73BF9"/>
    <w:rsid w:val="00E74064"/>
    <w:rsid w:val="00E740BA"/>
    <w:rsid w:val="00E74148"/>
    <w:rsid w:val="00E74228"/>
    <w:rsid w:val="00E74BA6"/>
    <w:rsid w:val="00E74ED0"/>
    <w:rsid w:val="00E750C5"/>
    <w:rsid w:val="00E75156"/>
    <w:rsid w:val="00E75422"/>
    <w:rsid w:val="00E75467"/>
    <w:rsid w:val="00E75947"/>
    <w:rsid w:val="00E7596A"/>
    <w:rsid w:val="00E759B2"/>
    <w:rsid w:val="00E75B45"/>
    <w:rsid w:val="00E75FC2"/>
    <w:rsid w:val="00E76202"/>
    <w:rsid w:val="00E762C5"/>
    <w:rsid w:val="00E763A2"/>
    <w:rsid w:val="00E7641C"/>
    <w:rsid w:val="00E7642C"/>
    <w:rsid w:val="00E764AC"/>
    <w:rsid w:val="00E765E8"/>
    <w:rsid w:val="00E77057"/>
    <w:rsid w:val="00E7732E"/>
    <w:rsid w:val="00E773E4"/>
    <w:rsid w:val="00E7740C"/>
    <w:rsid w:val="00E77432"/>
    <w:rsid w:val="00E776BB"/>
    <w:rsid w:val="00E777E4"/>
    <w:rsid w:val="00E77B4C"/>
    <w:rsid w:val="00E77CAD"/>
    <w:rsid w:val="00E77FA8"/>
    <w:rsid w:val="00E80015"/>
    <w:rsid w:val="00E8026D"/>
    <w:rsid w:val="00E8030A"/>
    <w:rsid w:val="00E80500"/>
    <w:rsid w:val="00E8094F"/>
    <w:rsid w:val="00E80A2B"/>
    <w:rsid w:val="00E80C42"/>
    <w:rsid w:val="00E813C0"/>
    <w:rsid w:val="00E81459"/>
    <w:rsid w:val="00E81477"/>
    <w:rsid w:val="00E819D8"/>
    <w:rsid w:val="00E82093"/>
    <w:rsid w:val="00E821F0"/>
    <w:rsid w:val="00E82324"/>
    <w:rsid w:val="00E82471"/>
    <w:rsid w:val="00E8265B"/>
    <w:rsid w:val="00E826FB"/>
    <w:rsid w:val="00E8271A"/>
    <w:rsid w:val="00E8286F"/>
    <w:rsid w:val="00E8293D"/>
    <w:rsid w:val="00E82AE3"/>
    <w:rsid w:val="00E82FD4"/>
    <w:rsid w:val="00E8303D"/>
    <w:rsid w:val="00E8324C"/>
    <w:rsid w:val="00E835C1"/>
    <w:rsid w:val="00E83F5F"/>
    <w:rsid w:val="00E83F95"/>
    <w:rsid w:val="00E840ED"/>
    <w:rsid w:val="00E840FB"/>
    <w:rsid w:val="00E84258"/>
    <w:rsid w:val="00E84526"/>
    <w:rsid w:val="00E846A9"/>
    <w:rsid w:val="00E84719"/>
    <w:rsid w:val="00E848C4"/>
    <w:rsid w:val="00E84A60"/>
    <w:rsid w:val="00E84F79"/>
    <w:rsid w:val="00E8511A"/>
    <w:rsid w:val="00E853C8"/>
    <w:rsid w:val="00E853F5"/>
    <w:rsid w:val="00E85449"/>
    <w:rsid w:val="00E859F1"/>
    <w:rsid w:val="00E85A91"/>
    <w:rsid w:val="00E85B5F"/>
    <w:rsid w:val="00E85BE3"/>
    <w:rsid w:val="00E85C82"/>
    <w:rsid w:val="00E85F3D"/>
    <w:rsid w:val="00E8639A"/>
    <w:rsid w:val="00E86577"/>
    <w:rsid w:val="00E86799"/>
    <w:rsid w:val="00E86D66"/>
    <w:rsid w:val="00E87307"/>
    <w:rsid w:val="00E87313"/>
    <w:rsid w:val="00E87333"/>
    <w:rsid w:val="00E87362"/>
    <w:rsid w:val="00E8748C"/>
    <w:rsid w:val="00E87722"/>
    <w:rsid w:val="00E87744"/>
    <w:rsid w:val="00E87A47"/>
    <w:rsid w:val="00E87D94"/>
    <w:rsid w:val="00E87F55"/>
    <w:rsid w:val="00E87FC4"/>
    <w:rsid w:val="00E90A1C"/>
    <w:rsid w:val="00E91109"/>
    <w:rsid w:val="00E9155C"/>
    <w:rsid w:val="00E9161A"/>
    <w:rsid w:val="00E918A6"/>
    <w:rsid w:val="00E91BB1"/>
    <w:rsid w:val="00E91BB4"/>
    <w:rsid w:val="00E91C63"/>
    <w:rsid w:val="00E91CD1"/>
    <w:rsid w:val="00E91E00"/>
    <w:rsid w:val="00E922BF"/>
    <w:rsid w:val="00E9259F"/>
    <w:rsid w:val="00E926C9"/>
    <w:rsid w:val="00E92755"/>
    <w:rsid w:val="00E92762"/>
    <w:rsid w:val="00E92AEE"/>
    <w:rsid w:val="00E93126"/>
    <w:rsid w:val="00E93279"/>
    <w:rsid w:val="00E93799"/>
    <w:rsid w:val="00E93D4E"/>
    <w:rsid w:val="00E93EFA"/>
    <w:rsid w:val="00E93FE0"/>
    <w:rsid w:val="00E940B2"/>
    <w:rsid w:val="00E946BB"/>
    <w:rsid w:val="00E9543D"/>
    <w:rsid w:val="00E95626"/>
    <w:rsid w:val="00E95723"/>
    <w:rsid w:val="00E95859"/>
    <w:rsid w:val="00E95AE1"/>
    <w:rsid w:val="00E95B16"/>
    <w:rsid w:val="00E95BFB"/>
    <w:rsid w:val="00E95C9A"/>
    <w:rsid w:val="00E95CBA"/>
    <w:rsid w:val="00E95D68"/>
    <w:rsid w:val="00E95E51"/>
    <w:rsid w:val="00E95EC2"/>
    <w:rsid w:val="00E95F2C"/>
    <w:rsid w:val="00E95FB8"/>
    <w:rsid w:val="00E96035"/>
    <w:rsid w:val="00E9629C"/>
    <w:rsid w:val="00E962BC"/>
    <w:rsid w:val="00E96DD1"/>
    <w:rsid w:val="00E96E58"/>
    <w:rsid w:val="00E96E77"/>
    <w:rsid w:val="00E96F2D"/>
    <w:rsid w:val="00E972C9"/>
    <w:rsid w:val="00E97485"/>
    <w:rsid w:val="00E97584"/>
    <w:rsid w:val="00E9772C"/>
    <w:rsid w:val="00E97795"/>
    <w:rsid w:val="00E977AA"/>
    <w:rsid w:val="00E977DB"/>
    <w:rsid w:val="00E97864"/>
    <w:rsid w:val="00E97D5E"/>
    <w:rsid w:val="00E97E68"/>
    <w:rsid w:val="00EA0241"/>
    <w:rsid w:val="00EA045F"/>
    <w:rsid w:val="00EA04DA"/>
    <w:rsid w:val="00EA0616"/>
    <w:rsid w:val="00EA0667"/>
    <w:rsid w:val="00EA0B1E"/>
    <w:rsid w:val="00EA0B68"/>
    <w:rsid w:val="00EA0D59"/>
    <w:rsid w:val="00EA0E76"/>
    <w:rsid w:val="00EA1307"/>
    <w:rsid w:val="00EA135B"/>
    <w:rsid w:val="00EA1460"/>
    <w:rsid w:val="00EA16CF"/>
    <w:rsid w:val="00EA196E"/>
    <w:rsid w:val="00EA1A07"/>
    <w:rsid w:val="00EA1A27"/>
    <w:rsid w:val="00EA1B8C"/>
    <w:rsid w:val="00EA2194"/>
    <w:rsid w:val="00EA2267"/>
    <w:rsid w:val="00EA2441"/>
    <w:rsid w:val="00EA2903"/>
    <w:rsid w:val="00EA298F"/>
    <w:rsid w:val="00EA2B7A"/>
    <w:rsid w:val="00EA2F75"/>
    <w:rsid w:val="00EA3018"/>
    <w:rsid w:val="00EA3324"/>
    <w:rsid w:val="00EA33A6"/>
    <w:rsid w:val="00EA3E2B"/>
    <w:rsid w:val="00EA4240"/>
    <w:rsid w:val="00EA42F1"/>
    <w:rsid w:val="00EA4682"/>
    <w:rsid w:val="00EA4794"/>
    <w:rsid w:val="00EA487F"/>
    <w:rsid w:val="00EA49CD"/>
    <w:rsid w:val="00EA4A6D"/>
    <w:rsid w:val="00EA4EA4"/>
    <w:rsid w:val="00EA4EA8"/>
    <w:rsid w:val="00EA50D8"/>
    <w:rsid w:val="00EA522B"/>
    <w:rsid w:val="00EA568B"/>
    <w:rsid w:val="00EA5A22"/>
    <w:rsid w:val="00EA5A4F"/>
    <w:rsid w:val="00EA5AFA"/>
    <w:rsid w:val="00EA5B6F"/>
    <w:rsid w:val="00EA6602"/>
    <w:rsid w:val="00EA6ECA"/>
    <w:rsid w:val="00EA7007"/>
    <w:rsid w:val="00EA72C6"/>
    <w:rsid w:val="00EA73A2"/>
    <w:rsid w:val="00EA75DC"/>
    <w:rsid w:val="00EA7828"/>
    <w:rsid w:val="00EA7A72"/>
    <w:rsid w:val="00EA7C4C"/>
    <w:rsid w:val="00EB0340"/>
    <w:rsid w:val="00EB077B"/>
    <w:rsid w:val="00EB0B6C"/>
    <w:rsid w:val="00EB0EB9"/>
    <w:rsid w:val="00EB0EEC"/>
    <w:rsid w:val="00EB15EB"/>
    <w:rsid w:val="00EB190B"/>
    <w:rsid w:val="00EB1CD5"/>
    <w:rsid w:val="00EB1CE6"/>
    <w:rsid w:val="00EB1DAC"/>
    <w:rsid w:val="00EB1E29"/>
    <w:rsid w:val="00EB1EC3"/>
    <w:rsid w:val="00EB2769"/>
    <w:rsid w:val="00EB2874"/>
    <w:rsid w:val="00EB28DB"/>
    <w:rsid w:val="00EB29DD"/>
    <w:rsid w:val="00EB2A0D"/>
    <w:rsid w:val="00EB2F87"/>
    <w:rsid w:val="00EB2FD2"/>
    <w:rsid w:val="00EB2FDD"/>
    <w:rsid w:val="00EB3011"/>
    <w:rsid w:val="00EB303B"/>
    <w:rsid w:val="00EB3664"/>
    <w:rsid w:val="00EB36ED"/>
    <w:rsid w:val="00EB3945"/>
    <w:rsid w:val="00EB3AE1"/>
    <w:rsid w:val="00EB3DA5"/>
    <w:rsid w:val="00EB3F1C"/>
    <w:rsid w:val="00EB416E"/>
    <w:rsid w:val="00EB4A71"/>
    <w:rsid w:val="00EB4AC1"/>
    <w:rsid w:val="00EB4D0F"/>
    <w:rsid w:val="00EB534E"/>
    <w:rsid w:val="00EB5353"/>
    <w:rsid w:val="00EB59CA"/>
    <w:rsid w:val="00EB5B9D"/>
    <w:rsid w:val="00EB5E27"/>
    <w:rsid w:val="00EB68EF"/>
    <w:rsid w:val="00EB6B54"/>
    <w:rsid w:val="00EB6BB7"/>
    <w:rsid w:val="00EB6BF9"/>
    <w:rsid w:val="00EB7333"/>
    <w:rsid w:val="00EB749E"/>
    <w:rsid w:val="00EB74A6"/>
    <w:rsid w:val="00EB76E7"/>
    <w:rsid w:val="00EB7788"/>
    <w:rsid w:val="00EB797E"/>
    <w:rsid w:val="00EB7AE0"/>
    <w:rsid w:val="00EB7EDD"/>
    <w:rsid w:val="00EB7EF5"/>
    <w:rsid w:val="00EB7F52"/>
    <w:rsid w:val="00EB7FF5"/>
    <w:rsid w:val="00EC01B0"/>
    <w:rsid w:val="00EC02E9"/>
    <w:rsid w:val="00EC0667"/>
    <w:rsid w:val="00EC0743"/>
    <w:rsid w:val="00EC094E"/>
    <w:rsid w:val="00EC0A27"/>
    <w:rsid w:val="00EC0B35"/>
    <w:rsid w:val="00EC0EB6"/>
    <w:rsid w:val="00EC0ED6"/>
    <w:rsid w:val="00EC13C2"/>
    <w:rsid w:val="00EC16BB"/>
    <w:rsid w:val="00EC1834"/>
    <w:rsid w:val="00EC1861"/>
    <w:rsid w:val="00EC19EA"/>
    <w:rsid w:val="00EC19F4"/>
    <w:rsid w:val="00EC1A4F"/>
    <w:rsid w:val="00EC1B80"/>
    <w:rsid w:val="00EC1DEF"/>
    <w:rsid w:val="00EC269B"/>
    <w:rsid w:val="00EC26D3"/>
    <w:rsid w:val="00EC2C0C"/>
    <w:rsid w:val="00EC2CA9"/>
    <w:rsid w:val="00EC3557"/>
    <w:rsid w:val="00EC37A8"/>
    <w:rsid w:val="00EC38B5"/>
    <w:rsid w:val="00EC39C6"/>
    <w:rsid w:val="00EC3A6B"/>
    <w:rsid w:val="00EC3D09"/>
    <w:rsid w:val="00EC3F3C"/>
    <w:rsid w:val="00EC4B5E"/>
    <w:rsid w:val="00EC4F5E"/>
    <w:rsid w:val="00EC4F76"/>
    <w:rsid w:val="00EC4F80"/>
    <w:rsid w:val="00EC4FF8"/>
    <w:rsid w:val="00EC52EE"/>
    <w:rsid w:val="00EC58D5"/>
    <w:rsid w:val="00EC58D8"/>
    <w:rsid w:val="00EC6183"/>
    <w:rsid w:val="00EC65D4"/>
    <w:rsid w:val="00EC67F6"/>
    <w:rsid w:val="00EC682B"/>
    <w:rsid w:val="00EC6FDA"/>
    <w:rsid w:val="00EC72C7"/>
    <w:rsid w:val="00EC7372"/>
    <w:rsid w:val="00EC73F8"/>
    <w:rsid w:val="00EC7590"/>
    <w:rsid w:val="00EC75A7"/>
    <w:rsid w:val="00EC76AA"/>
    <w:rsid w:val="00EC7851"/>
    <w:rsid w:val="00EC788C"/>
    <w:rsid w:val="00EC7F71"/>
    <w:rsid w:val="00ED0155"/>
    <w:rsid w:val="00ED01A6"/>
    <w:rsid w:val="00ED04F3"/>
    <w:rsid w:val="00ED0550"/>
    <w:rsid w:val="00ED067C"/>
    <w:rsid w:val="00ED0CB4"/>
    <w:rsid w:val="00ED1353"/>
    <w:rsid w:val="00ED1686"/>
    <w:rsid w:val="00ED1CD0"/>
    <w:rsid w:val="00ED20C8"/>
    <w:rsid w:val="00ED21AB"/>
    <w:rsid w:val="00ED2824"/>
    <w:rsid w:val="00ED2C72"/>
    <w:rsid w:val="00ED3995"/>
    <w:rsid w:val="00ED3B96"/>
    <w:rsid w:val="00ED3C68"/>
    <w:rsid w:val="00ED4495"/>
    <w:rsid w:val="00ED44D6"/>
    <w:rsid w:val="00ED464F"/>
    <w:rsid w:val="00ED465C"/>
    <w:rsid w:val="00ED4867"/>
    <w:rsid w:val="00ED4B50"/>
    <w:rsid w:val="00ED4E07"/>
    <w:rsid w:val="00ED542F"/>
    <w:rsid w:val="00ED5905"/>
    <w:rsid w:val="00ED59D0"/>
    <w:rsid w:val="00ED5C0F"/>
    <w:rsid w:val="00ED602B"/>
    <w:rsid w:val="00ED6042"/>
    <w:rsid w:val="00ED61AC"/>
    <w:rsid w:val="00ED63A3"/>
    <w:rsid w:val="00ED6AD4"/>
    <w:rsid w:val="00ED6B96"/>
    <w:rsid w:val="00ED6D5D"/>
    <w:rsid w:val="00ED71E1"/>
    <w:rsid w:val="00ED71EE"/>
    <w:rsid w:val="00ED7309"/>
    <w:rsid w:val="00ED78C3"/>
    <w:rsid w:val="00ED7A53"/>
    <w:rsid w:val="00ED7AE2"/>
    <w:rsid w:val="00ED7B5E"/>
    <w:rsid w:val="00ED7F43"/>
    <w:rsid w:val="00EE035C"/>
    <w:rsid w:val="00EE05F4"/>
    <w:rsid w:val="00EE0926"/>
    <w:rsid w:val="00EE0932"/>
    <w:rsid w:val="00EE0A27"/>
    <w:rsid w:val="00EE0D82"/>
    <w:rsid w:val="00EE0DA7"/>
    <w:rsid w:val="00EE0ED5"/>
    <w:rsid w:val="00EE1019"/>
    <w:rsid w:val="00EE10D5"/>
    <w:rsid w:val="00EE161B"/>
    <w:rsid w:val="00EE1622"/>
    <w:rsid w:val="00EE1951"/>
    <w:rsid w:val="00EE1B3E"/>
    <w:rsid w:val="00EE1BB6"/>
    <w:rsid w:val="00EE1E5C"/>
    <w:rsid w:val="00EE204E"/>
    <w:rsid w:val="00EE21AE"/>
    <w:rsid w:val="00EE272B"/>
    <w:rsid w:val="00EE27E9"/>
    <w:rsid w:val="00EE281B"/>
    <w:rsid w:val="00EE29B5"/>
    <w:rsid w:val="00EE2AAE"/>
    <w:rsid w:val="00EE2D67"/>
    <w:rsid w:val="00EE2DB3"/>
    <w:rsid w:val="00EE3073"/>
    <w:rsid w:val="00EE3153"/>
    <w:rsid w:val="00EE3257"/>
    <w:rsid w:val="00EE3294"/>
    <w:rsid w:val="00EE3916"/>
    <w:rsid w:val="00EE3964"/>
    <w:rsid w:val="00EE3B00"/>
    <w:rsid w:val="00EE442F"/>
    <w:rsid w:val="00EE4465"/>
    <w:rsid w:val="00EE45B8"/>
    <w:rsid w:val="00EE4A2C"/>
    <w:rsid w:val="00EE4AA2"/>
    <w:rsid w:val="00EE4BBF"/>
    <w:rsid w:val="00EE4EC1"/>
    <w:rsid w:val="00EE5154"/>
    <w:rsid w:val="00EE556F"/>
    <w:rsid w:val="00EE56C9"/>
    <w:rsid w:val="00EE5ADD"/>
    <w:rsid w:val="00EE5D24"/>
    <w:rsid w:val="00EE5F0D"/>
    <w:rsid w:val="00EE623A"/>
    <w:rsid w:val="00EE664D"/>
    <w:rsid w:val="00EE67DD"/>
    <w:rsid w:val="00EE6C68"/>
    <w:rsid w:val="00EE6F30"/>
    <w:rsid w:val="00EE72D1"/>
    <w:rsid w:val="00EE72E4"/>
    <w:rsid w:val="00EE7551"/>
    <w:rsid w:val="00EE7572"/>
    <w:rsid w:val="00EE75D7"/>
    <w:rsid w:val="00EE77A2"/>
    <w:rsid w:val="00EF004A"/>
    <w:rsid w:val="00EF03FF"/>
    <w:rsid w:val="00EF04B5"/>
    <w:rsid w:val="00EF0973"/>
    <w:rsid w:val="00EF0F78"/>
    <w:rsid w:val="00EF1002"/>
    <w:rsid w:val="00EF1305"/>
    <w:rsid w:val="00EF14EB"/>
    <w:rsid w:val="00EF1613"/>
    <w:rsid w:val="00EF1786"/>
    <w:rsid w:val="00EF18CA"/>
    <w:rsid w:val="00EF199A"/>
    <w:rsid w:val="00EF1CA6"/>
    <w:rsid w:val="00EF22CA"/>
    <w:rsid w:val="00EF24BE"/>
    <w:rsid w:val="00EF25F1"/>
    <w:rsid w:val="00EF2697"/>
    <w:rsid w:val="00EF273C"/>
    <w:rsid w:val="00EF2AC5"/>
    <w:rsid w:val="00EF2AFF"/>
    <w:rsid w:val="00EF2E62"/>
    <w:rsid w:val="00EF3023"/>
    <w:rsid w:val="00EF3111"/>
    <w:rsid w:val="00EF3252"/>
    <w:rsid w:val="00EF34C5"/>
    <w:rsid w:val="00EF353B"/>
    <w:rsid w:val="00EF3593"/>
    <w:rsid w:val="00EF365C"/>
    <w:rsid w:val="00EF398C"/>
    <w:rsid w:val="00EF3BA0"/>
    <w:rsid w:val="00EF3D6D"/>
    <w:rsid w:val="00EF3DFF"/>
    <w:rsid w:val="00EF42D1"/>
    <w:rsid w:val="00EF4699"/>
    <w:rsid w:val="00EF46A9"/>
    <w:rsid w:val="00EF46CC"/>
    <w:rsid w:val="00EF4C3A"/>
    <w:rsid w:val="00EF4C8D"/>
    <w:rsid w:val="00EF4DCA"/>
    <w:rsid w:val="00EF526B"/>
    <w:rsid w:val="00EF5C68"/>
    <w:rsid w:val="00EF60FE"/>
    <w:rsid w:val="00EF6281"/>
    <w:rsid w:val="00EF6321"/>
    <w:rsid w:val="00EF6489"/>
    <w:rsid w:val="00EF661D"/>
    <w:rsid w:val="00EF66FF"/>
    <w:rsid w:val="00EF695C"/>
    <w:rsid w:val="00EF6DD2"/>
    <w:rsid w:val="00EF6EF5"/>
    <w:rsid w:val="00EF7072"/>
    <w:rsid w:val="00EF7523"/>
    <w:rsid w:val="00EF7658"/>
    <w:rsid w:val="00EF76ED"/>
    <w:rsid w:val="00EF7798"/>
    <w:rsid w:val="00EF784C"/>
    <w:rsid w:val="00EF7989"/>
    <w:rsid w:val="00EF79D3"/>
    <w:rsid w:val="00EF7A3F"/>
    <w:rsid w:val="00EF7E61"/>
    <w:rsid w:val="00F009AF"/>
    <w:rsid w:val="00F00A8E"/>
    <w:rsid w:val="00F00ABB"/>
    <w:rsid w:val="00F00AD5"/>
    <w:rsid w:val="00F00B17"/>
    <w:rsid w:val="00F00E15"/>
    <w:rsid w:val="00F012B2"/>
    <w:rsid w:val="00F0135A"/>
    <w:rsid w:val="00F01A65"/>
    <w:rsid w:val="00F02197"/>
    <w:rsid w:val="00F0219B"/>
    <w:rsid w:val="00F023D8"/>
    <w:rsid w:val="00F02440"/>
    <w:rsid w:val="00F02465"/>
    <w:rsid w:val="00F02500"/>
    <w:rsid w:val="00F027C0"/>
    <w:rsid w:val="00F02862"/>
    <w:rsid w:val="00F02901"/>
    <w:rsid w:val="00F037F9"/>
    <w:rsid w:val="00F03837"/>
    <w:rsid w:val="00F03934"/>
    <w:rsid w:val="00F03A90"/>
    <w:rsid w:val="00F03B2B"/>
    <w:rsid w:val="00F03B5F"/>
    <w:rsid w:val="00F03DB0"/>
    <w:rsid w:val="00F045F1"/>
    <w:rsid w:val="00F0480B"/>
    <w:rsid w:val="00F0481A"/>
    <w:rsid w:val="00F049E6"/>
    <w:rsid w:val="00F049E8"/>
    <w:rsid w:val="00F04B31"/>
    <w:rsid w:val="00F04F72"/>
    <w:rsid w:val="00F050D8"/>
    <w:rsid w:val="00F0544C"/>
    <w:rsid w:val="00F054F5"/>
    <w:rsid w:val="00F05602"/>
    <w:rsid w:val="00F059C8"/>
    <w:rsid w:val="00F05A7F"/>
    <w:rsid w:val="00F05A8D"/>
    <w:rsid w:val="00F05C9A"/>
    <w:rsid w:val="00F05D80"/>
    <w:rsid w:val="00F06830"/>
    <w:rsid w:val="00F06A6B"/>
    <w:rsid w:val="00F06D2A"/>
    <w:rsid w:val="00F06E36"/>
    <w:rsid w:val="00F07501"/>
    <w:rsid w:val="00F07789"/>
    <w:rsid w:val="00F102C5"/>
    <w:rsid w:val="00F104E1"/>
    <w:rsid w:val="00F10541"/>
    <w:rsid w:val="00F109AA"/>
    <w:rsid w:val="00F109F3"/>
    <w:rsid w:val="00F10DA5"/>
    <w:rsid w:val="00F110EE"/>
    <w:rsid w:val="00F11159"/>
    <w:rsid w:val="00F11195"/>
    <w:rsid w:val="00F11230"/>
    <w:rsid w:val="00F11A18"/>
    <w:rsid w:val="00F11C38"/>
    <w:rsid w:val="00F11F62"/>
    <w:rsid w:val="00F12095"/>
    <w:rsid w:val="00F12941"/>
    <w:rsid w:val="00F12BFC"/>
    <w:rsid w:val="00F13051"/>
    <w:rsid w:val="00F13119"/>
    <w:rsid w:val="00F133E9"/>
    <w:rsid w:val="00F133F2"/>
    <w:rsid w:val="00F1362E"/>
    <w:rsid w:val="00F13AF6"/>
    <w:rsid w:val="00F13B38"/>
    <w:rsid w:val="00F13EA3"/>
    <w:rsid w:val="00F13ECB"/>
    <w:rsid w:val="00F13F15"/>
    <w:rsid w:val="00F142C4"/>
    <w:rsid w:val="00F142CF"/>
    <w:rsid w:val="00F145D6"/>
    <w:rsid w:val="00F14823"/>
    <w:rsid w:val="00F14A4D"/>
    <w:rsid w:val="00F14E67"/>
    <w:rsid w:val="00F14FC2"/>
    <w:rsid w:val="00F150F8"/>
    <w:rsid w:val="00F152BC"/>
    <w:rsid w:val="00F15614"/>
    <w:rsid w:val="00F15A67"/>
    <w:rsid w:val="00F15A89"/>
    <w:rsid w:val="00F15D1D"/>
    <w:rsid w:val="00F15ED3"/>
    <w:rsid w:val="00F16074"/>
    <w:rsid w:val="00F1680A"/>
    <w:rsid w:val="00F16886"/>
    <w:rsid w:val="00F16C62"/>
    <w:rsid w:val="00F173E4"/>
    <w:rsid w:val="00F17590"/>
    <w:rsid w:val="00F17716"/>
    <w:rsid w:val="00F177F5"/>
    <w:rsid w:val="00F17953"/>
    <w:rsid w:val="00F17C03"/>
    <w:rsid w:val="00F17F15"/>
    <w:rsid w:val="00F17F43"/>
    <w:rsid w:val="00F1C194"/>
    <w:rsid w:val="00F2014C"/>
    <w:rsid w:val="00F203AB"/>
    <w:rsid w:val="00F2063F"/>
    <w:rsid w:val="00F20857"/>
    <w:rsid w:val="00F208E2"/>
    <w:rsid w:val="00F20A76"/>
    <w:rsid w:val="00F20C58"/>
    <w:rsid w:val="00F20F07"/>
    <w:rsid w:val="00F20F16"/>
    <w:rsid w:val="00F20F96"/>
    <w:rsid w:val="00F21120"/>
    <w:rsid w:val="00F213C7"/>
    <w:rsid w:val="00F213C8"/>
    <w:rsid w:val="00F21550"/>
    <w:rsid w:val="00F21D0B"/>
    <w:rsid w:val="00F21DA8"/>
    <w:rsid w:val="00F229BD"/>
    <w:rsid w:val="00F22B34"/>
    <w:rsid w:val="00F22B5D"/>
    <w:rsid w:val="00F22B63"/>
    <w:rsid w:val="00F22C32"/>
    <w:rsid w:val="00F22C8C"/>
    <w:rsid w:val="00F22D71"/>
    <w:rsid w:val="00F2357D"/>
    <w:rsid w:val="00F23605"/>
    <w:rsid w:val="00F23DB4"/>
    <w:rsid w:val="00F23DC8"/>
    <w:rsid w:val="00F23F9F"/>
    <w:rsid w:val="00F2424F"/>
    <w:rsid w:val="00F2443F"/>
    <w:rsid w:val="00F24580"/>
    <w:rsid w:val="00F24607"/>
    <w:rsid w:val="00F247D4"/>
    <w:rsid w:val="00F24A48"/>
    <w:rsid w:val="00F24A59"/>
    <w:rsid w:val="00F25012"/>
    <w:rsid w:val="00F25485"/>
    <w:rsid w:val="00F25E1A"/>
    <w:rsid w:val="00F26131"/>
    <w:rsid w:val="00F262FC"/>
    <w:rsid w:val="00F26331"/>
    <w:rsid w:val="00F2658D"/>
    <w:rsid w:val="00F26666"/>
    <w:rsid w:val="00F26E9E"/>
    <w:rsid w:val="00F26F51"/>
    <w:rsid w:val="00F26F8E"/>
    <w:rsid w:val="00F2708E"/>
    <w:rsid w:val="00F270A8"/>
    <w:rsid w:val="00F271CD"/>
    <w:rsid w:val="00F276C5"/>
    <w:rsid w:val="00F277CB"/>
    <w:rsid w:val="00F279D3"/>
    <w:rsid w:val="00F27AAF"/>
    <w:rsid w:val="00F27AC7"/>
    <w:rsid w:val="00F27B03"/>
    <w:rsid w:val="00F27F89"/>
    <w:rsid w:val="00F30122"/>
    <w:rsid w:val="00F30976"/>
    <w:rsid w:val="00F30A24"/>
    <w:rsid w:val="00F30A9C"/>
    <w:rsid w:val="00F30EF5"/>
    <w:rsid w:val="00F31569"/>
    <w:rsid w:val="00F3162D"/>
    <w:rsid w:val="00F31911"/>
    <w:rsid w:val="00F31B14"/>
    <w:rsid w:val="00F320E2"/>
    <w:rsid w:val="00F322A0"/>
    <w:rsid w:val="00F32681"/>
    <w:rsid w:val="00F3269A"/>
    <w:rsid w:val="00F3281E"/>
    <w:rsid w:val="00F3296B"/>
    <w:rsid w:val="00F32E03"/>
    <w:rsid w:val="00F32E28"/>
    <w:rsid w:val="00F32F0D"/>
    <w:rsid w:val="00F32FA0"/>
    <w:rsid w:val="00F32FBD"/>
    <w:rsid w:val="00F33122"/>
    <w:rsid w:val="00F331EE"/>
    <w:rsid w:val="00F3329B"/>
    <w:rsid w:val="00F3336A"/>
    <w:rsid w:val="00F3348C"/>
    <w:rsid w:val="00F3363B"/>
    <w:rsid w:val="00F33789"/>
    <w:rsid w:val="00F33841"/>
    <w:rsid w:val="00F338BB"/>
    <w:rsid w:val="00F33B7B"/>
    <w:rsid w:val="00F33BD4"/>
    <w:rsid w:val="00F34561"/>
    <w:rsid w:val="00F34AA8"/>
    <w:rsid w:val="00F34ADB"/>
    <w:rsid w:val="00F35160"/>
    <w:rsid w:val="00F351CA"/>
    <w:rsid w:val="00F35587"/>
    <w:rsid w:val="00F35A7F"/>
    <w:rsid w:val="00F35FE0"/>
    <w:rsid w:val="00F36149"/>
    <w:rsid w:val="00F3623A"/>
    <w:rsid w:val="00F36354"/>
    <w:rsid w:val="00F36674"/>
    <w:rsid w:val="00F3716D"/>
    <w:rsid w:val="00F37280"/>
    <w:rsid w:val="00F372EA"/>
    <w:rsid w:val="00F37762"/>
    <w:rsid w:val="00F377AF"/>
    <w:rsid w:val="00F37864"/>
    <w:rsid w:val="00F37875"/>
    <w:rsid w:val="00F3793F"/>
    <w:rsid w:val="00F37CD4"/>
    <w:rsid w:val="00F37EB0"/>
    <w:rsid w:val="00F4010B"/>
    <w:rsid w:val="00F40286"/>
    <w:rsid w:val="00F4074C"/>
    <w:rsid w:val="00F4089B"/>
    <w:rsid w:val="00F40ABB"/>
    <w:rsid w:val="00F40ADA"/>
    <w:rsid w:val="00F40AED"/>
    <w:rsid w:val="00F40B8A"/>
    <w:rsid w:val="00F40F7E"/>
    <w:rsid w:val="00F4126D"/>
    <w:rsid w:val="00F412CE"/>
    <w:rsid w:val="00F41608"/>
    <w:rsid w:val="00F41658"/>
    <w:rsid w:val="00F416BA"/>
    <w:rsid w:val="00F41724"/>
    <w:rsid w:val="00F41895"/>
    <w:rsid w:val="00F418EC"/>
    <w:rsid w:val="00F41971"/>
    <w:rsid w:val="00F419A1"/>
    <w:rsid w:val="00F419BB"/>
    <w:rsid w:val="00F41A96"/>
    <w:rsid w:val="00F41C8E"/>
    <w:rsid w:val="00F42490"/>
    <w:rsid w:val="00F426B7"/>
    <w:rsid w:val="00F42C82"/>
    <w:rsid w:val="00F43066"/>
    <w:rsid w:val="00F4309B"/>
    <w:rsid w:val="00F430BF"/>
    <w:rsid w:val="00F4339C"/>
    <w:rsid w:val="00F436A4"/>
    <w:rsid w:val="00F43ABF"/>
    <w:rsid w:val="00F43C91"/>
    <w:rsid w:val="00F43E2F"/>
    <w:rsid w:val="00F43EB1"/>
    <w:rsid w:val="00F43FD6"/>
    <w:rsid w:val="00F44238"/>
    <w:rsid w:val="00F44506"/>
    <w:rsid w:val="00F445B7"/>
    <w:rsid w:val="00F44ABA"/>
    <w:rsid w:val="00F44E7A"/>
    <w:rsid w:val="00F45818"/>
    <w:rsid w:val="00F4587C"/>
    <w:rsid w:val="00F45B75"/>
    <w:rsid w:val="00F45C13"/>
    <w:rsid w:val="00F45EAC"/>
    <w:rsid w:val="00F4621E"/>
    <w:rsid w:val="00F46254"/>
    <w:rsid w:val="00F4657D"/>
    <w:rsid w:val="00F465AF"/>
    <w:rsid w:val="00F46677"/>
    <w:rsid w:val="00F4670F"/>
    <w:rsid w:val="00F46842"/>
    <w:rsid w:val="00F468C6"/>
    <w:rsid w:val="00F46B73"/>
    <w:rsid w:val="00F46C10"/>
    <w:rsid w:val="00F46D24"/>
    <w:rsid w:val="00F46D29"/>
    <w:rsid w:val="00F46DE9"/>
    <w:rsid w:val="00F46F1D"/>
    <w:rsid w:val="00F46FCC"/>
    <w:rsid w:val="00F47291"/>
    <w:rsid w:val="00F47518"/>
    <w:rsid w:val="00F47762"/>
    <w:rsid w:val="00F47793"/>
    <w:rsid w:val="00F479B4"/>
    <w:rsid w:val="00F47A07"/>
    <w:rsid w:val="00F47B73"/>
    <w:rsid w:val="00F47DD1"/>
    <w:rsid w:val="00F47DF7"/>
    <w:rsid w:val="00F47F9F"/>
    <w:rsid w:val="00F50051"/>
    <w:rsid w:val="00F506CE"/>
    <w:rsid w:val="00F50DDB"/>
    <w:rsid w:val="00F50E6C"/>
    <w:rsid w:val="00F512B8"/>
    <w:rsid w:val="00F51513"/>
    <w:rsid w:val="00F516B8"/>
    <w:rsid w:val="00F517FF"/>
    <w:rsid w:val="00F51838"/>
    <w:rsid w:val="00F51AA0"/>
    <w:rsid w:val="00F51AC4"/>
    <w:rsid w:val="00F51B82"/>
    <w:rsid w:val="00F51D19"/>
    <w:rsid w:val="00F51F71"/>
    <w:rsid w:val="00F520FD"/>
    <w:rsid w:val="00F52641"/>
    <w:rsid w:val="00F526B3"/>
    <w:rsid w:val="00F526F2"/>
    <w:rsid w:val="00F52808"/>
    <w:rsid w:val="00F5297C"/>
    <w:rsid w:val="00F52AFE"/>
    <w:rsid w:val="00F52D02"/>
    <w:rsid w:val="00F52D1C"/>
    <w:rsid w:val="00F52D5B"/>
    <w:rsid w:val="00F52FE7"/>
    <w:rsid w:val="00F53502"/>
    <w:rsid w:val="00F535E0"/>
    <w:rsid w:val="00F535EC"/>
    <w:rsid w:val="00F536E1"/>
    <w:rsid w:val="00F5375B"/>
    <w:rsid w:val="00F53979"/>
    <w:rsid w:val="00F53D3A"/>
    <w:rsid w:val="00F53DC6"/>
    <w:rsid w:val="00F5413B"/>
    <w:rsid w:val="00F541BF"/>
    <w:rsid w:val="00F542DE"/>
    <w:rsid w:val="00F54301"/>
    <w:rsid w:val="00F54368"/>
    <w:rsid w:val="00F543A3"/>
    <w:rsid w:val="00F5467C"/>
    <w:rsid w:val="00F54A3F"/>
    <w:rsid w:val="00F54B3B"/>
    <w:rsid w:val="00F54DAD"/>
    <w:rsid w:val="00F54DDD"/>
    <w:rsid w:val="00F54E47"/>
    <w:rsid w:val="00F5510A"/>
    <w:rsid w:val="00F551C8"/>
    <w:rsid w:val="00F551F5"/>
    <w:rsid w:val="00F5538A"/>
    <w:rsid w:val="00F55630"/>
    <w:rsid w:val="00F556A9"/>
    <w:rsid w:val="00F556DF"/>
    <w:rsid w:val="00F55737"/>
    <w:rsid w:val="00F55773"/>
    <w:rsid w:val="00F55D7B"/>
    <w:rsid w:val="00F560EB"/>
    <w:rsid w:val="00F56159"/>
    <w:rsid w:val="00F562DA"/>
    <w:rsid w:val="00F564A3"/>
    <w:rsid w:val="00F564A4"/>
    <w:rsid w:val="00F56655"/>
    <w:rsid w:val="00F566D5"/>
    <w:rsid w:val="00F56B2A"/>
    <w:rsid w:val="00F56CFC"/>
    <w:rsid w:val="00F56E21"/>
    <w:rsid w:val="00F57198"/>
    <w:rsid w:val="00F571FA"/>
    <w:rsid w:val="00F5741C"/>
    <w:rsid w:val="00F575D2"/>
    <w:rsid w:val="00F575E0"/>
    <w:rsid w:val="00F578FC"/>
    <w:rsid w:val="00F57AA8"/>
    <w:rsid w:val="00F57ADE"/>
    <w:rsid w:val="00F57C34"/>
    <w:rsid w:val="00F57D70"/>
    <w:rsid w:val="00F60108"/>
    <w:rsid w:val="00F60127"/>
    <w:rsid w:val="00F603BA"/>
    <w:rsid w:val="00F6046A"/>
    <w:rsid w:val="00F61502"/>
    <w:rsid w:val="00F61505"/>
    <w:rsid w:val="00F619A9"/>
    <w:rsid w:val="00F61CC0"/>
    <w:rsid w:val="00F61DDA"/>
    <w:rsid w:val="00F62114"/>
    <w:rsid w:val="00F623A6"/>
    <w:rsid w:val="00F623D5"/>
    <w:rsid w:val="00F624BA"/>
    <w:rsid w:val="00F62577"/>
    <w:rsid w:val="00F62583"/>
    <w:rsid w:val="00F62986"/>
    <w:rsid w:val="00F62A20"/>
    <w:rsid w:val="00F62CC8"/>
    <w:rsid w:val="00F62FC8"/>
    <w:rsid w:val="00F63311"/>
    <w:rsid w:val="00F63851"/>
    <w:rsid w:val="00F63A58"/>
    <w:rsid w:val="00F63E86"/>
    <w:rsid w:val="00F64115"/>
    <w:rsid w:val="00F6434A"/>
    <w:rsid w:val="00F646F5"/>
    <w:rsid w:val="00F64751"/>
    <w:rsid w:val="00F65515"/>
    <w:rsid w:val="00F6564C"/>
    <w:rsid w:val="00F65CC6"/>
    <w:rsid w:val="00F65D6B"/>
    <w:rsid w:val="00F65FCB"/>
    <w:rsid w:val="00F66039"/>
    <w:rsid w:val="00F66117"/>
    <w:rsid w:val="00F661DC"/>
    <w:rsid w:val="00F664DE"/>
    <w:rsid w:val="00F66AFB"/>
    <w:rsid w:val="00F670CE"/>
    <w:rsid w:val="00F673B6"/>
    <w:rsid w:val="00F67603"/>
    <w:rsid w:val="00F6765F"/>
    <w:rsid w:val="00F6796C"/>
    <w:rsid w:val="00F67AA3"/>
    <w:rsid w:val="00F67BC2"/>
    <w:rsid w:val="00F67E5B"/>
    <w:rsid w:val="00F67F9C"/>
    <w:rsid w:val="00F70381"/>
    <w:rsid w:val="00F709B2"/>
    <w:rsid w:val="00F70B5F"/>
    <w:rsid w:val="00F7118F"/>
    <w:rsid w:val="00F712A5"/>
    <w:rsid w:val="00F713F0"/>
    <w:rsid w:val="00F715FB"/>
    <w:rsid w:val="00F7161A"/>
    <w:rsid w:val="00F717EA"/>
    <w:rsid w:val="00F71882"/>
    <w:rsid w:val="00F71943"/>
    <w:rsid w:val="00F719C9"/>
    <w:rsid w:val="00F71BB1"/>
    <w:rsid w:val="00F71C38"/>
    <w:rsid w:val="00F71D32"/>
    <w:rsid w:val="00F71E64"/>
    <w:rsid w:val="00F71E7E"/>
    <w:rsid w:val="00F71F2D"/>
    <w:rsid w:val="00F71FC2"/>
    <w:rsid w:val="00F726C0"/>
    <w:rsid w:val="00F72B89"/>
    <w:rsid w:val="00F72C22"/>
    <w:rsid w:val="00F72DC8"/>
    <w:rsid w:val="00F72F1D"/>
    <w:rsid w:val="00F73277"/>
    <w:rsid w:val="00F73330"/>
    <w:rsid w:val="00F7381F"/>
    <w:rsid w:val="00F742FE"/>
    <w:rsid w:val="00F74427"/>
    <w:rsid w:val="00F7480D"/>
    <w:rsid w:val="00F74B21"/>
    <w:rsid w:val="00F74BC8"/>
    <w:rsid w:val="00F7520F"/>
    <w:rsid w:val="00F756D4"/>
    <w:rsid w:val="00F75ADA"/>
    <w:rsid w:val="00F75F2B"/>
    <w:rsid w:val="00F7605A"/>
    <w:rsid w:val="00F7615F"/>
    <w:rsid w:val="00F762ED"/>
    <w:rsid w:val="00F76562"/>
    <w:rsid w:val="00F765D2"/>
    <w:rsid w:val="00F76BDA"/>
    <w:rsid w:val="00F76D01"/>
    <w:rsid w:val="00F770BE"/>
    <w:rsid w:val="00F773E1"/>
    <w:rsid w:val="00F776DF"/>
    <w:rsid w:val="00F77A69"/>
    <w:rsid w:val="00F77EAA"/>
    <w:rsid w:val="00F77EBF"/>
    <w:rsid w:val="00F80113"/>
    <w:rsid w:val="00F806AC"/>
    <w:rsid w:val="00F807CA"/>
    <w:rsid w:val="00F808E9"/>
    <w:rsid w:val="00F80935"/>
    <w:rsid w:val="00F80D68"/>
    <w:rsid w:val="00F80D79"/>
    <w:rsid w:val="00F8102E"/>
    <w:rsid w:val="00F81434"/>
    <w:rsid w:val="00F81509"/>
    <w:rsid w:val="00F815A4"/>
    <w:rsid w:val="00F81671"/>
    <w:rsid w:val="00F81765"/>
    <w:rsid w:val="00F81814"/>
    <w:rsid w:val="00F81A9C"/>
    <w:rsid w:val="00F81B84"/>
    <w:rsid w:val="00F81BCC"/>
    <w:rsid w:val="00F81CB7"/>
    <w:rsid w:val="00F81DCD"/>
    <w:rsid w:val="00F81E23"/>
    <w:rsid w:val="00F81F8D"/>
    <w:rsid w:val="00F81FC0"/>
    <w:rsid w:val="00F82192"/>
    <w:rsid w:val="00F821B5"/>
    <w:rsid w:val="00F821B7"/>
    <w:rsid w:val="00F822A0"/>
    <w:rsid w:val="00F825BB"/>
    <w:rsid w:val="00F82643"/>
    <w:rsid w:val="00F8269D"/>
    <w:rsid w:val="00F826E7"/>
    <w:rsid w:val="00F82BA1"/>
    <w:rsid w:val="00F82F93"/>
    <w:rsid w:val="00F834DC"/>
    <w:rsid w:val="00F835CA"/>
    <w:rsid w:val="00F83BAB"/>
    <w:rsid w:val="00F840B5"/>
    <w:rsid w:val="00F8419D"/>
    <w:rsid w:val="00F842E1"/>
    <w:rsid w:val="00F84779"/>
    <w:rsid w:val="00F84D8D"/>
    <w:rsid w:val="00F84E62"/>
    <w:rsid w:val="00F84EA8"/>
    <w:rsid w:val="00F84EF1"/>
    <w:rsid w:val="00F8553A"/>
    <w:rsid w:val="00F858E4"/>
    <w:rsid w:val="00F859E6"/>
    <w:rsid w:val="00F85D02"/>
    <w:rsid w:val="00F861B8"/>
    <w:rsid w:val="00F8625C"/>
    <w:rsid w:val="00F864F0"/>
    <w:rsid w:val="00F86B80"/>
    <w:rsid w:val="00F86EDE"/>
    <w:rsid w:val="00F86F57"/>
    <w:rsid w:val="00F875D2"/>
    <w:rsid w:val="00F8769A"/>
    <w:rsid w:val="00F8769C"/>
    <w:rsid w:val="00F876CC"/>
    <w:rsid w:val="00F876E5"/>
    <w:rsid w:val="00F87AA6"/>
    <w:rsid w:val="00F87B81"/>
    <w:rsid w:val="00F87F8A"/>
    <w:rsid w:val="00F90144"/>
    <w:rsid w:val="00F90229"/>
    <w:rsid w:val="00F90345"/>
    <w:rsid w:val="00F9051C"/>
    <w:rsid w:val="00F90788"/>
    <w:rsid w:val="00F909DD"/>
    <w:rsid w:val="00F90C44"/>
    <w:rsid w:val="00F90C5C"/>
    <w:rsid w:val="00F90D7F"/>
    <w:rsid w:val="00F90DA1"/>
    <w:rsid w:val="00F91322"/>
    <w:rsid w:val="00F91A11"/>
    <w:rsid w:val="00F91A18"/>
    <w:rsid w:val="00F91F66"/>
    <w:rsid w:val="00F92955"/>
    <w:rsid w:val="00F92987"/>
    <w:rsid w:val="00F92996"/>
    <w:rsid w:val="00F92BE5"/>
    <w:rsid w:val="00F92E01"/>
    <w:rsid w:val="00F93288"/>
    <w:rsid w:val="00F93304"/>
    <w:rsid w:val="00F934D3"/>
    <w:rsid w:val="00F93733"/>
    <w:rsid w:val="00F937B7"/>
    <w:rsid w:val="00F939CB"/>
    <w:rsid w:val="00F93C60"/>
    <w:rsid w:val="00F93F40"/>
    <w:rsid w:val="00F94395"/>
    <w:rsid w:val="00F945E0"/>
    <w:rsid w:val="00F94837"/>
    <w:rsid w:val="00F9484E"/>
    <w:rsid w:val="00F94BDC"/>
    <w:rsid w:val="00F950B8"/>
    <w:rsid w:val="00F954AB"/>
    <w:rsid w:val="00F95689"/>
    <w:rsid w:val="00F956F3"/>
    <w:rsid w:val="00F95A4D"/>
    <w:rsid w:val="00F95C96"/>
    <w:rsid w:val="00F95D78"/>
    <w:rsid w:val="00F96289"/>
    <w:rsid w:val="00F9651A"/>
    <w:rsid w:val="00F96752"/>
    <w:rsid w:val="00F968F9"/>
    <w:rsid w:val="00F96AD5"/>
    <w:rsid w:val="00F96C3F"/>
    <w:rsid w:val="00F96E2C"/>
    <w:rsid w:val="00F97088"/>
    <w:rsid w:val="00F976C0"/>
    <w:rsid w:val="00F97836"/>
    <w:rsid w:val="00F9788B"/>
    <w:rsid w:val="00FA04D6"/>
    <w:rsid w:val="00FA04EF"/>
    <w:rsid w:val="00FA0795"/>
    <w:rsid w:val="00FA08C2"/>
    <w:rsid w:val="00FA0986"/>
    <w:rsid w:val="00FA0DA2"/>
    <w:rsid w:val="00FA0E2B"/>
    <w:rsid w:val="00FA104D"/>
    <w:rsid w:val="00FA113C"/>
    <w:rsid w:val="00FA120B"/>
    <w:rsid w:val="00FA162C"/>
    <w:rsid w:val="00FA17F0"/>
    <w:rsid w:val="00FA1933"/>
    <w:rsid w:val="00FA1B8D"/>
    <w:rsid w:val="00FA1E72"/>
    <w:rsid w:val="00FA2708"/>
    <w:rsid w:val="00FA2727"/>
    <w:rsid w:val="00FA2771"/>
    <w:rsid w:val="00FA28AA"/>
    <w:rsid w:val="00FA2A3D"/>
    <w:rsid w:val="00FA2B96"/>
    <w:rsid w:val="00FA2E23"/>
    <w:rsid w:val="00FA31E3"/>
    <w:rsid w:val="00FA35E8"/>
    <w:rsid w:val="00FA3A0A"/>
    <w:rsid w:val="00FA4329"/>
    <w:rsid w:val="00FA47DA"/>
    <w:rsid w:val="00FA4906"/>
    <w:rsid w:val="00FA4C39"/>
    <w:rsid w:val="00FA4F7A"/>
    <w:rsid w:val="00FA5078"/>
    <w:rsid w:val="00FA5244"/>
    <w:rsid w:val="00FA55DB"/>
    <w:rsid w:val="00FA583B"/>
    <w:rsid w:val="00FA624C"/>
    <w:rsid w:val="00FA6446"/>
    <w:rsid w:val="00FA6547"/>
    <w:rsid w:val="00FA657E"/>
    <w:rsid w:val="00FA67D1"/>
    <w:rsid w:val="00FA68D3"/>
    <w:rsid w:val="00FA6D4F"/>
    <w:rsid w:val="00FA6E35"/>
    <w:rsid w:val="00FA7474"/>
    <w:rsid w:val="00FA74C2"/>
    <w:rsid w:val="00FA78A6"/>
    <w:rsid w:val="00FA7961"/>
    <w:rsid w:val="00FA7A45"/>
    <w:rsid w:val="00FA7C15"/>
    <w:rsid w:val="00FA7E3D"/>
    <w:rsid w:val="00FA7E56"/>
    <w:rsid w:val="00FA7EDE"/>
    <w:rsid w:val="00FB0085"/>
    <w:rsid w:val="00FB0447"/>
    <w:rsid w:val="00FB052C"/>
    <w:rsid w:val="00FB06D8"/>
    <w:rsid w:val="00FB07E8"/>
    <w:rsid w:val="00FB0C9E"/>
    <w:rsid w:val="00FB0F08"/>
    <w:rsid w:val="00FB0F10"/>
    <w:rsid w:val="00FB140B"/>
    <w:rsid w:val="00FB1859"/>
    <w:rsid w:val="00FB1935"/>
    <w:rsid w:val="00FB1A41"/>
    <w:rsid w:val="00FB1AE4"/>
    <w:rsid w:val="00FB1C06"/>
    <w:rsid w:val="00FB1C1E"/>
    <w:rsid w:val="00FB1D13"/>
    <w:rsid w:val="00FB1DEC"/>
    <w:rsid w:val="00FB22EF"/>
    <w:rsid w:val="00FB242F"/>
    <w:rsid w:val="00FB2508"/>
    <w:rsid w:val="00FB27B9"/>
    <w:rsid w:val="00FB27C1"/>
    <w:rsid w:val="00FB2BAD"/>
    <w:rsid w:val="00FB3151"/>
    <w:rsid w:val="00FB3ED3"/>
    <w:rsid w:val="00FB4279"/>
    <w:rsid w:val="00FB42AB"/>
    <w:rsid w:val="00FB45B7"/>
    <w:rsid w:val="00FB4942"/>
    <w:rsid w:val="00FB4967"/>
    <w:rsid w:val="00FB49AF"/>
    <w:rsid w:val="00FB4D53"/>
    <w:rsid w:val="00FB5182"/>
    <w:rsid w:val="00FB53E3"/>
    <w:rsid w:val="00FB566D"/>
    <w:rsid w:val="00FB587D"/>
    <w:rsid w:val="00FB5B40"/>
    <w:rsid w:val="00FB5D16"/>
    <w:rsid w:val="00FB5E9C"/>
    <w:rsid w:val="00FB5F51"/>
    <w:rsid w:val="00FB60DF"/>
    <w:rsid w:val="00FB6449"/>
    <w:rsid w:val="00FB6504"/>
    <w:rsid w:val="00FB6773"/>
    <w:rsid w:val="00FB69CF"/>
    <w:rsid w:val="00FB6B07"/>
    <w:rsid w:val="00FB6BA1"/>
    <w:rsid w:val="00FB6C90"/>
    <w:rsid w:val="00FB6CB2"/>
    <w:rsid w:val="00FB6D4D"/>
    <w:rsid w:val="00FB7222"/>
    <w:rsid w:val="00FB7396"/>
    <w:rsid w:val="00FB76B8"/>
    <w:rsid w:val="00FB7934"/>
    <w:rsid w:val="00FB7B97"/>
    <w:rsid w:val="00FB7EF3"/>
    <w:rsid w:val="00FB7F6F"/>
    <w:rsid w:val="00FC0004"/>
    <w:rsid w:val="00FC0013"/>
    <w:rsid w:val="00FC00FE"/>
    <w:rsid w:val="00FC0193"/>
    <w:rsid w:val="00FC0DD5"/>
    <w:rsid w:val="00FC0E23"/>
    <w:rsid w:val="00FC13FD"/>
    <w:rsid w:val="00FC143F"/>
    <w:rsid w:val="00FC162E"/>
    <w:rsid w:val="00FC1D70"/>
    <w:rsid w:val="00FC1E5C"/>
    <w:rsid w:val="00FC1E9F"/>
    <w:rsid w:val="00FC1EE3"/>
    <w:rsid w:val="00FC20E6"/>
    <w:rsid w:val="00FC242A"/>
    <w:rsid w:val="00FC2434"/>
    <w:rsid w:val="00FC2537"/>
    <w:rsid w:val="00FC2867"/>
    <w:rsid w:val="00FC2886"/>
    <w:rsid w:val="00FC29ED"/>
    <w:rsid w:val="00FC32CE"/>
    <w:rsid w:val="00FC32D5"/>
    <w:rsid w:val="00FC33E2"/>
    <w:rsid w:val="00FC3413"/>
    <w:rsid w:val="00FC34E1"/>
    <w:rsid w:val="00FC3608"/>
    <w:rsid w:val="00FC3E5D"/>
    <w:rsid w:val="00FC4020"/>
    <w:rsid w:val="00FC4058"/>
    <w:rsid w:val="00FC4181"/>
    <w:rsid w:val="00FC42E9"/>
    <w:rsid w:val="00FC4528"/>
    <w:rsid w:val="00FC48FE"/>
    <w:rsid w:val="00FC495D"/>
    <w:rsid w:val="00FC4D41"/>
    <w:rsid w:val="00FC4FC9"/>
    <w:rsid w:val="00FC52FB"/>
    <w:rsid w:val="00FC592E"/>
    <w:rsid w:val="00FC5937"/>
    <w:rsid w:val="00FC5FD2"/>
    <w:rsid w:val="00FC608D"/>
    <w:rsid w:val="00FC60A5"/>
    <w:rsid w:val="00FC617F"/>
    <w:rsid w:val="00FC61BE"/>
    <w:rsid w:val="00FC6372"/>
    <w:rsid w:val="00FC63C2"/>
    <w:rsid w:val="00FC64F6"/>
    <w:rsid w:val="00FC656F"/>
    <w:rsid w:val="00FC672F"/>
    <w:rsid w:val="00FC6C6D"/>
    <w:rsid w:val="00FC6C8E"/>
    <w:rsid w:val="00FC6CCF"/>
    <w:rsid w:val="00FC720C"/>
    <w:rsid w:val="00FC73EB"/>
    <w:rsid w:val="00FC7514"/>
    <w:rsid w:val="00FD06E8"/>
    <w:rsid w:val="00FD0BB7"/>
    <w:rsid w:val="00FD0CD2"/>
    <w:rsid w:val="00FD0E43"/>
    <w:rsid w:val="00FD0F39"/>
    <w:rsid w:val="00FD1555"/>
    <w:rsid w:val="00FD15B5"/>
    <w:rsid w:val="00FD1856"/>
    <w:rsid w:val="00FD1BD1"/>
    <w:rsid w:val="00FD1EA3"/>
    <w:rsid w:val="00FD1FBF"/>
    <w:rsid w:val="00FD2054"/>
    <w:rsid w:val="00FD20F4"/>
    <w:rsid w:val="00FD21B0"/>
    <w:rsid w:val="00FD2236"/>
    <w:rsid w:val="00FD22F7"/>
    <w:rsid w:val="00FD24E4"/>
    <w:rsid w:val="00FD2504"/>
    <w:rsid w:val="00FD2617"/>
    <w:rsid w:val="00FD275C"/>
    <w:rsid w:val="00FD2778"/>
    <w:rsid w:val="00FD2B0D"/>
    <w:rsid w:val="00FD2ED7"/>
    <w:rsid w:val="00FD3303"/>
    <w:rsid w:val="00FD34F9"/>
    <w:rsid w:val="00FD35E7"/>
    <w:rsid w:val="00FD3605"/>
    <w:rsid w:val="00FD38DE"/>
    <w:rsid w:val="00FD38F8"/>
    <w:rsid w:val="00FD39E2"/>
    <w:rsid w:val="00FD3AF5"/>
    <w:rsid w:val="00FD3B83"/>
    <w:rsid w:val="00FD3D49"/>
    <w:rsid w:val="00FD3ECC"/>
    <w:rsid w:val="00FD4063"/>
    <w:rsid w:val="00FD4291"/>
    <w:rsid w:val="00FD4954"/>
    <w:rsid w:val="00FD4E68"/>
    <w:rsid w:val="00FD4EB0"/>
    <w:rsid w:val="00FD4F58"/>
    <w:rsid w:val="00FD4FAA"/>
    <w:rsid w:val="00FD5054"/>
    <w:rsid w:val="00FD5093"/>
    <w:rsid w:val="00FD55BE"/>
    <w:rsid w:val="00FD5709"/>
    <w:rsid w:val="00FD5732"/>
    <w:rsid w:val="00FD591D"/>
    <w:rsid w:val="00FD5E6B"/>
    <w:rsid w:val="00FD5FB0"/>
    <w:rsid w:val="00FD604E"/>
    <w:rsid w:val="00FD60B3"/>
    <w:rsid w:val="00FD61DA"/>
    <w:rsid w:val="00FD6381"/>
    <w:rsid w:val="00FD6503"/>
    <w:rsid w:val="00FD6584"/>
    <w:rsid w:val="00FD65A8"/>
    <w:rsid w:val="00FD6833"/>
    <w:rsid w:val="00FD6915"/>
    <w:rsid w:val="00FD6CE6"/>
    <w:rsid w:val="00FD6EEB"/>
    <w:rsid w:val="00FD6F5F"/>
    <w:rsid w:val="00FD6F78"/>
    <w:rsid w:val="00FD71B9"/>
    <w:rsid w:val="00FD7445"/>
    <w:rsid w:val="00FD772A"/>
    <w:rsid w:val="00FD7AF4"/>
    <w:rsid w:val="00FD7B19"/>
    <w:rsid w:val="00FD7FD1"/>
    <w:rsid w:val="00FE00A5"/>
    <w:rsid w:val="00FE00B6"/>
    <w:rsid w:val="00FE00BC"/>
    <w:rsid w:val="00FE04B8"/>
    <w:rsid w:val="00FE0523"/>
    <w:rsid w:val="00FE1077"/>
    <w:rsid w:val="00FE1136"/>
    <w:rsid w:val="00FE12BF"/>
    <w:rsid w:val="00FE1773"/>
    <w:rsid w:val="00FE1813"/>
    <w:rsid w:val="00FE1920"/>
    <w:rsid w:val="00FE1AEA"/>
    <w:rsid w:val="00FE1F1C"/>
    <w:rsid w:val="00FE21BD"/>
    <w:rsid w:val="00FE2839"/>
    <w:rsid w:val="00FE2AD3"/>
    <w:rsid w:val="00FE2BDA"/>
    <w:rsid w:val="00FE313D"/>
    <w:rsid w:val="00FE315A"/>
    <w:rsid w:val="00FE32E0"/>
    <w:rsid w:val="00FE35A4"/>
    <w:rsid w:val="00FE39B7"/>
    <w:rsid w:val="00FE3A18"/>
    <w:rsid w:val="00FE3E10"/>
    <w:rsid w:val="00FE4123"/>
    <w:rsid w:val="00FE413C"/>
    <w:rsid w:val="00FE4734"/>
    <w:rsid w:val="00FE486D"/>
    <w:rsid w:val="00FE4A75"/>
    <w:rsid w:val="00FE4DE0"/>
    <w:rsid w:val="00FE4DF5"/>
    <w:rsid w:val="00FE4E3A"/>
    <w:rsid w:val="00FE5281"/>
    <w:rsid w:val="00FE52BA"/>
    <w:rsid w:val="00FE52E1"/>
    <w:rsid w:val="00FE549E"/>
    <w:rsid w:val="00FE5668"/>
    <w:rsid w:val="00FE5A05"/>
    <w:rsid w:val="00FE5B78"/>
    <w:rsid w:val="00FE5D14"/>
    <w:rsid w:val="00FE5F4A"/>
    <w:rsid w:val="00FE6003"/>
    <w:rsid w:val="00FE6183"/>
    <w:rsid w:val="00FE619E"/>
    <w:rsid w:val="00FE6462"/>
    <w:rsid w:val="00FE6A92"/>
    <w:rsid w:val="00FE6B9A"/>
    <w:rsid w:val="00FE6FB2"/>
    <w:rsid w:val="00FE7026"/>
    <w:rsid w:val="00FE738E"/>
    <w:rsid w:val="00FE7614"/>
    <w:rsid w:val="00FE76B0"/>
    <w:rsid w:val="00FE7B92"/>
    <w:rsid w:val="00FF0004"/>
    <w:rsid w:val="00FF0264"/>
    <w:rsid w:val="00FF037E"/>
    <w:rsid w:val="00FF04A0"/>
    <w:rsid w:val="00FF082C"/>
    <w:rsid w:val="00FF0A08"/>
    <w:rsid w:val="00FF0BD3"/>
    <w:rsid w:val="00FF0FD8"/>
    <w:rsid w:val="00FF100D"/>
    <w:rsid w:val="00FF1015"/>
    <w:rsid w:val="00FF1171"/>
    <w:rsid w:val="00FF1807"/>
    <w:rsid w:val="00FF184D"/>
    <w:rsid w:val="00FF1E82"/>
    <w:rsid w:val="00FF1ECE"/>
    <w:rsid w:val="00FF1F20"/>
    <w:rsid w:val="00FF20A2"/>
    <w:rsid w:val="00FF20BC"/>
    <w:rsid w:val="00FF2247"/>
    <w:rsid w:val="00FF2284"/>
    <w:rsid w:val="00FF231A"/>
    <w:rsid w:val="00FF24A7"/>
    <w:rsid w:val="00FF26E3"/>
    <w:rsid w:val="00FF28C7"/>
    <w:rsid w:val="00FF2953"/>
    <w:rsid w:val="00FF30F1"/>
    <w:rsid w:val="00FF3130"/>
    <w:rsid w:val="00FF313B"/>
    <w:rsid w:val="00FF3150"/>
    <w:rsid w:val="00FF31F7"/>
    <w:rsid w:val="00FF359D"/>
    <w:rsid w:val="00FF3C3C"/>
    <w:rsid w:val="00FF3DF5"/>
    <w:rsid w:val="00FF3F55"/>
    <w:rsid w:val="00FF4044"/>
    <w:rsid w:val="00FF43F0"/>
    <w:rsid w:val="00FF4B3F"/>
    <w:rsid w:val="00FF4CED"/>
    <w:rsid w:val="00FF4D84"/>
    <w:rsid w:val="00FF524E"/>
    <w:rsid w:val="00FF52B6"/>
    <w:rsid w:val="00FF562A"/>
    <w:rsid w:val="00FF57D9"/>
    <w:rsid w:val="00FF585E"/>
    <w:rsid w:val="00FF5975"/>
    <w:rsid w:val="00FF5B6B"/>
    <w:rsid w:val="00FF5C2A"/>
    <w:rsid w:val="00FF5EEB"/>
    <w:rsid w:val="00FF6037"/>
    <w:rsid w:val="00FF6664"/>
    <w:rsid w:val="00FF6832"/>
    <w:rsid w:val="00FF6A9D"/>
    <w:rsid w:val="00FF6B86"/>
    <w:rsid w:val="00FF6BB9"/>
    <w:rsid w:val="00FF6F78"/>
    <w:rsid w:val="00FF6FBA"/>
    <w:rsid w:val="00FF7211"/>
    <w:rsid w:val="00FF7E98"/>
    <w:rsid w:val="01290981"/>
    <w:rsid w:val="015E299D"/>
    <w:rsid w:val="020A89EB"/>
    <w:rsid w:val="021BC4C2"/>
    <w:rsid w:val="022425A7"/>
    <w:rsid w:val="023FF810"/>
    <w:rsid w:val="02C4D9E2"/>
    <w:rsid w:val="036CF608"/>
    <w:rsid w:val="03AE8AAF"/>
    <w:rsid w:val="03B674EB"/>
    <w:rsid w:val="05247D9A"/>
    <w:rsid w:val="0581D29D"/>
    <w:rsid w:val="0587461A"/>
    <w:rsid w:val="058A9CCA"/>
    <w:rsid w:val="05D44738"/>
    <w:rsid w:val="0697241B"/>
    <w:rsid w:val="07097FE1"/>
    <w:rsid w:val="071C949D"/>
    <w:rsid w:val="071EB20A"/>
    <w:rsid w:val="07736269"/>
    <w:rsid w:val="087BE47C"/>
    <w:rsid w:val="097DDAF0"/>
    <w:rsid w:val="09869672"/>
    <w:rsid w:val="0A6BA996"/>
    <w:rsid w:val="0AB7A24A"/>
    <w:rsid w:val="0B5AB5E8"/>
    <w:rsid w:val="0B86EA7B"/>
    <w:rsid w:val="0B99FFA4"/>
    <w:rsid w:val="0C056850"/>
    <w:rsid w:val="0C1B81D4"/>
    <w:rsid w:val="0C774340"/>
    <w:rsid w:val="0D221F17"/>
    <w:rsid w:val="0D842E90"/>
    <w:rsid w:val="0D8CB16D"/>
    <w:rsid w:val="0DFEF06F"/>
    <w:rsid w:val="0E60C7DB"/>
    <w:rsid w:val="0E74B00A"/>
    <w:rsid w:val="0E82B2A0"/>
    <w:rsid w:val="0F510840"/>
    <w:rsid w:val="0F7AC35C"/>
    <w:rsid w:val="0FD38034"/>
    <w:rsid w:val="107DF780"/>
    <w:rsid w:val="10F0C63E"/>
    <w:rsid w:val="1125A385"/>
    <w:rsid w:val="129BFF2A"/>
    <w:rsid w:val="135FE7C9"/>
    <w:rsid w:val="140A7E21"/>
    <w:rsid w:val="145D0F33"/>
    <w:rsid w:val="147946CB"/>
    <w:rsid w:val="159C1676"/>
    <w:rsid w:val="165508E5"/>
    <w:rsid w:val="1719705D"/>
    <w:rsid w:val="1851C178"/>
    <w:rsid w:val="185BFD66"/>
    <w:rsid w:val="1867B89D"/>
    <w:rsid w:val="19931FF2"/>
    <w:rsid w:val="19BB2DB5"/>
    <w:rsid w:val="19CC25A7"/>
    <w:rsid w:val="1A8FC125"/>
    <w:rsid w:val="1B3DB0D5"/>
    <w:rsid w:val="1C70A51B"/>
    <w:rsid w:val="1C825B44"/>
    <w:rsid w:val="1D38C0BA"/>
    <w:rsid w:val="1D98A3EA"/>
    <w:rsid w:val="1EBE45DE"/>
    <w:rsid w:val="1EF84AE9"/>
    <w:rsid w:val="1FD9CB53"/>
    <w:rsid w:val="20C73A07"/>
    <w:rsid w:val="2213430C"/>
    <w:rsid w:val="2262A13F"/>
    <w:rsid w:val="22A1B2D9"/>
    <w:rsid w:val="2356D663"/>
    <w:rsid w:val="23C1101F"/>
    <w:rsid w:val="23F62500"/>
    <w:rsid w:val="23F6D52E"/>
    <w:rsid w:val="24136A19"/>
    <w:rsid w:val="24829CD4"/>
    <w:rsid w:val="251FCBE5"/>
    <w:rsid w:val="25408758"/>
    <w:rsid w:val="255EF132"/>
    <w:rsid w:val="270C5C9E"/>
    <w:rsid w:val="280A8BA6"/>
    <w:rsid w:val="28A60DF7"/>
    <w:rsid w:val="28D58F28"/>
    <w:rsid w:val="29639CD4"/>
    <w:rsid w:val="29B02A5C"/>
    <w:rsid w:val="2A30A88D"/>
    <w:rsid w:val="2BA5B047"/>
    <w:rsid w:val="2C8C42B2"/>
    <w:rsid w:val="2D1C7E40"/>
    <w:rsid w:val="2DBB9475"/>
    <w:rsid w:val="2E68340C"/>
    <w:rsid w:val="2F802171"/>
    <w:rsid w:val="2FAFAE32"/>
    <w:rsid w:val="2FC402D2"/>
    <w:rsid w:val="300138C5"/>
    <w:rsid w:val="3025B22B"/>
    <w:rsid w:val="30C81F82"/>
    <w:rsid w:val="315CE70D"/>
    <w:rsid w:val="32FCF03D"/>
    <w:rsid w:val="333B8D64"/>
    <w:rsid w:val="3443BDC8"/>
    <w:rsid w:val="35296550"/>
    <w:rsid w:val="352F9335"/>
    <w:rsid w:val="353C85C4"/>
    <w:rsid w:val="357B8948"/>
    <w:rsid w:val="358C8391"/>
    <w:rsid w:val="35925499"/>
    <w:rsid w:val="37C37D71"/>
    <w:rsid w:val="394CC9C0"/>
    <w:rsid w:val="3A68C8AD"/>
    <w:rsid w:val="3AC0EEDC"/>
    <w:rsid w:val="3B239FD2"/>
    <w:rsid w:val="3BF32492"/>
    <w:rsid w:val="3C553759"/>
    <w:rsid w:val="3CBD374E"/>
    <w:rsid w:val="3CE11558"/>
    <w:rsid w:val="3CE16A9C"/>
    <w:rsid w:val="3CFDEBB2"/>
    <w:rsid w:val="3DE12DA9"/>
    <w:rsid w:val="3F04DA05"/>
    <w:rsid w:val="3F320416"/>
    <w:rsid w:val="3F677AE5"/>
    <w:rsid w:val="3FE0AC1A"/>
    <w:rsid w:val="40601CA3"/>
    <w:rsid w:val="410A880A"/>
    <w:rsid w:val="41486469"/>
    <w:rsid w:val="41A0DC91"/>
    <w:rsid w:val="41AB1381"/>
    <w:rsid w:val="41C638AE"/>
    <w:rsid w:val="41F9B518"/>
    <w:rsid w:val="428C2E80"/>
    <w:rsid w:val="42C1C70F"/>
    <w:rsid w:val="42E04FF4"/>
    <w:rsid w:val="445F2577"/>
    <w:rsid w:val="4491EDE7"/>
    <w:rsid w:val="44BADBBA"/>
    <w:rsid w:val="44F55875"/>
    <w:rsid w:val="45191526"/>
    <w:rsid w:val="45F2D920"/>
    <w:rsid w:val="465D01EA"/>
    <w:rsid w:val="465D050F"/>
    <w:rsid w:val="46B815B3"/>
    <w:rsid w:val="46F4ED46"/>
    <w:rsid w:val="47BBD7EB"/>
    <w:rsid w:val="48F2C6F4"/>
    <w:rsid w:val="49293AB6"/>
    <w:rsid w:val="49940E59"/>
    <w:rsid w:val="4AD03445"/>
    <w:rsid w:val="4B30A4E3"/>
    <w:rsid w:val="4C68FD43"/>
    <w:rsid w:val="4CACF731"/>
    <w:rsid w:val="4CE20549"/>
    <w:rsid w:val="4CEC8375"/>
    <w:rsid w:val="4D3F4402"/>
    <w:rsid w:val="4DCFB0C6"/>
    <w:rsid w:val="4E240E67"/>
    <w:rsid w:val="4E296428"/>
    <w:rsid w:val="4E448BD7"/>
    <w:rsid w:val="4F62EE6C"/>
    <w:rsid w:val="5057E1DB"/>
    <w:rsid w:val="5095F16A"/>
    <w:rsid w:val="519FE667"/>
    <w:rsid w:val="51A33DCB"/>
    <w:rsid w:val="52B56052"/>
    <w:rsid w:val="52DE572D"/>
    <w:rsid w:val="535BC4F9"/>
    <w:rsid w:val="5411AB54"/>
    <w:rsid w:val="54537B65"/>
    <w:rsid w:val="548350AB"/>
    <w:rsid w:val="551BC8A8"/>
    <w:rsid w:val="557D3AD7"/>
    <w:rsid w:val="564290B7"/>
    <w:rsid w:val="5673578A"/>
    <w:rsid w:val="569365BB"/>
    <w:rsid w:val="56B79909"/>
    <w:rsid w:val="5776DFAE"/>
    <w:rsid w:val="57958EF0"/>
    <w:rsid w:val="581C756B"/>
    <w:rsid w:val="58B63D5A"/>
    <w:rsid w:val="59C3DB60"/>
    <w:rsid w:val="59FA82A2"/>
    <w:rsid w:val="5AE5D0F4"/>
    <w:rsid w:val="5C0C6811"/>
    <w:rsid w:val="5C690013"/>
    <w:rsid w:val="5CB57FED"/>
    <w:rsid w:val="5CD0114F"/>
    <w:rsid w:val="5D1CE410"/>
    <w:rsid w:val="5D8D58F0"/>
    <w:rsid w:val="5FAA0218"/>
    <w:rsid w:val="600805FF"/>
    <w:rsid w:val="6090C2D7"/>
    <w:rsid w:val="60F4A5B5"/>
    <w:rsid w:val="61998206"/>
    <w:rsid w:val="61BDF7B7"/>
    <w:rsid w:val="61E402FD"/>
    <w:rsid w:val="624C7891"/>
    <w:rsid w:val="62D1C74F"/>
    <w:rsid w:val="63C6A7B5"/>
    <w:rsid w:val="63D1E6CC"/>
    <w:rsid w:val="63D8D738"/>
    <w:rsid w:val="6403FE05"/>
    <w:rsid w:val="64177533"/>
    <w:rsid w:val="64F2A00C"/>
    <w:rsid w:val="64F59879"/>
    <w:rsid w:val="654B513D"/>
    <w:rsid w:val="655C8C14"/>
    <w:rsid w:val="6688D170"/>
    <w:rsid w:val="694F70A1"/>
    <w:rsid w:val="6987DF10"/>
    <w:rsid w:val="69E080C1"/>
    <w:rsid w:val="6A55034F"/>
    <w:rsid w:val="6AAC98D7"/>
    <w:rsid w:val="6ABBC4DD"/>
    <w:rsid w:val="6AD5424B"/>
    <w:rsid w:val="6ADE97B7"/>
    <w:rsid w:val="6B7A87A0"/>
    <w:rsid w:val="6B9FBC77"/>
    <w:rsid w:val="6CD84388"/>
    <w:rsid w:val="6CDD5283"/>
    <w:rsid w:val="6D20A264"/>
    <w:rsid w:val="6D4314BC"/>
    <w:rsid w:val="6D96C30E"/>
    <w:rsid w:val="6DAF9DA0"/>
    <w:rsid w:val="6DC5152D"/>
    <w:rsid w:val="6E03BE0D"/>
    <w:rsid w:val="6E7413E9"/>
    <w:rsid w:val="6ECE7394"/>
    <w:rsid w:val="6FC8CE30"/>
    <w:rsid w:val="71476E5A"/>
    <w:rsid w:val="714F39AF"/>
    <w:rsid w:val="719757B4"/>
    <w:rsid w:val="729B8D9A"/>
    <w:rsid w:val="7427422E"/>
    <w:rsid w:val="744A8678"/>
    <w:rsid w:val="746C0EBF"/>
    <w:rsid w:val="756E30B2"/>
    <w:rsid w:val="75E656D9"/>
    <w:rsid w:val="75E94247"/>
    <w:rsid w:val="761707A6"/>
    <w:rsid w:val="762DF3A9"/>
    <w:rsid w:val="76F1DC8B"/>
    <w:rsid w:val="771F46B1"/>
    <w:rsid w:val="779FB372"/>
    <w:rsid w:val="784A42D9"/>
    <w:rsid w:val="7969B045"/>
    <w:rsid w:val="79D88D56"/>
    <w:rsid w:val="7A028D72"/>
    <w:rsid w:val="7A0646F5"/>
    <w:rsid w:val="7B70A8C4"/>
    <w:rsid w:val="7BF7F414"/>
    <w:rsid w:val="7C27A1FA"/>
    <w:rsid w:val="7C573FFA"/>
    <w:rsid w:val="7CF3D632"/>
    <w:rsid w:val="7D208ED8"/>
    <w:rsid w:val="7D3632D3"/>
    <w:rsid w:val="7DE25C34"/>
    <w:rsid w:val="7E592E22"/>
    <w:rsid w:val="7EAF47C8"/>
    <w:rsid w:val="7EE39B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78C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1BEF"/>
    <w:pPr>
      <w:spacing w:after="240"/>
      <w:jc w:val="both"/>
    </w:pPr>
    <w:rPr>
      <w:rFonts w:ascii="Courier New" w:hAnsi="Courier New"/>
      <w:sz w:val="24"/>
      <w:lang w:eastAsia="en-GB"/>
    </w:rPr>
  </w:style>
  <w:style w:type="paragraph" w:styleId="Heading1">
    <w:name w:val="heading 1"/>
    <w:aliases w:val="Heading 1 Char Char Char Char Char Char Char Char Char Char Char Char Char Char"/>
    <w:basedOn w:val="Normal"/>
    <w:next w:val="Text1"/>
    <w:link w:val="Heading1Char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link w:val="ZnakZnak"/>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1"/>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rPr>
      <w:rFonts w:ascii="Times New Roman" w:hAnsi="Times New Roman"/>
    </w:rPr>
  </w:style>
  <w:style w:type="paragraph" w:styleId="EnvelopeReturn">
    <w:name w:val="envelope return"/>
    <w:basedOn w:val="Normal"/>
    <w:pPr>
      <w:spacing w:after="0"/>
    </w:pPr>
    <w:rPr>
      <w:rFonts w:ascii="Times New Roman" w:hAnsi="Times New Roman"/>
      <w:sz w:val="20"/>
    </w:rPr>
  </w:style>
  <w:style w:type="paragraph" w:styleId="Footer">
    <w:name w:val="footer"/>
    <w:basedOn w:val="Normal"/>
    <w:link w:val="FooterChar"/>
    <w:pPr>
      <w:spacing w:after="0"/>
      <w:ind w:right="-567"/>
      <w:jc w:val="left"/>
    </w:pPr>
    <w:rPr>
      <w:rFonts w:ascii="Arial" w:hAnsi="Arial"/>
      <w:sz w:val="16"/>
    </w:rPr>
  </w:style>
  <w:style w:type="paragraph" w:styleId="FootnoteText">
    <w:name w:val="footnote text"/>
    <w:aliases w:val="Footnote Text Char,Footnote Text Char1 Char,Footnote Text Char Char Char,Fußnotentext Char Char1 Char Char,Fußnotentext Char1 Char1 Char Char Char,Fußnotentext Char Char Char Char Char Char Char1,Footnote Text Char1,Footnote Text Char Char"/>
    <w:basedOn w:val="Normal"/>
    <w:link w:val="FootnoteTextChar2"/>
    <w:uiPriority w:val="99"/>
    <w:qFormat/>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link w:val="ListChar"/>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link w:val="ListBulletChar1"/>
    <w:pPr>
      <w:numPr>
        <w:numId w:val="2"/>
      </w:numPr>
    </w:pPr>
  </w:style>
  <w:style w:type="paragraph" w:styleId="ListBullet2">
    <w:name w:val="List Bullet 2"/>
    <w:basedOn w:val="Text2"/>
    <w:uiPriority w:val="99"/>
    <w:pPr>
      <w:numPr>
        <w:numId w:val="4"/>
      </w:numPr>
      <w:tabs>
        <w:tab w:val="clear" w:pos="2160"/>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pPr>
  </w:style>
  <w:style w:type="paragraph" w:styleId="ListBullet5">
    <w:name w:val="List Bullet 5"/>
    <w:basedOn w:val="Normal"/>
    <w:autoRedefine/>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0A64E1"/>
    <w:pPr>
      <w:numPr>
        <w:numId w:val="11"/>
      </w:numPr>
    </w:pPr>
    <w:rPr>
      <w:rFonts w:ascii="Times New Roman" w:hAnsi="Times New Roman"/>
    </w:rPr>
  </w:style>
  <w:style w:type="paragraph" w:styleId="ListNumber2">
    <w:name w:val="List Number 2"/>
    <w:basedOn w:val="Text2"/>
    <w:pPr>
      <w:numPr>
        <w:numId w:val="13"/>
      </w:numPr>
      <w:tabs>
        <w:tab w:val="clear" w:pos="2160"/>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pPr>
  </w:style>
  <w:style w:type="paragraph" w:styleId="ListNumber5">
    <w:name w:val="List Number 5"/>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link w:val="NumPar1Char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ListBullet1">
    <w:name w:val="List Bullet 1"/>
    <w:basedOn w:val="Text1"/>
    <w:pPr>
      <w:numPr>
        <w:numId w:val="3"/>
      </w:numPr>
    </w:pPr>
  </w:style>
  <w:style w:type="paragraph" w:customStyle="1" w:styleId="ListDash">
    <w:name w:val="List Dash"/>
    <w:basedOn w:val="Normal"/>
    <w:link w:val="ListDashChar"/>
    <w:pPr>
      <w:numPr>
        <w:numId w:val="18"/>
      </w:numPr>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160"/>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numPr>
        <w:ilvl w:val="2"/>
        <w:numId w:val="11"/>
      </w:numPr>
    </w:pPr>
  </w:style>
  <w:style w:type="paragraph" w:customStyle="1" w:styleId="ListNumberLevel4">
    <w:name w:val="List Number (Level 4)"/>
    <w:basedOn w:val="Normal"/>
    <w:pPr>
      <w:numPr>
        <w:ilvl w:val="3"/>
        <w:numId w:val="11"/>
      </w:numPr>
    </w:pPr>
  </w:style>
  <w:style w:type="paragraph" w:customStyle="1" w:styleId="ListNumber1">
    <w:name w:val="List Number 1"/>
    <w:basedOn w:val="Text1"/>
    <w:pPr>
      <w:numPr>
        <w:numId w:val="12"/>
      </w:numPr>
    </w:pPr>
  </w:style>
  <w:style w:type="paragraph" w:customStyle="1" w:styleId="ListNumber1Level2">
    <w:name w:val="List Number 1 (Level 2)"/>
    <w:basedOn w:val="Text1"/>
    <w:pPr>
      <w:numPr>
        <w:ilvl w:val="1"/>
        <w:numId w:val="12"/>
      </w:numPr>
    </w:pPr>
  </w:style>
  <w:style w:type="paragraph" w:customStyle="1" w:styleId="ListNumber1Level3">
    <w:name w:val="List Number 1 (Level 3)"/>
    <w:basedOn w:val="Text1"/>
    <w:pPr>
      <w:numPr>
        <w:ilvl w:val="2"/>
        <w:numId w:val="12"/>
      </w:numPr>
    </w:pPr>
  </w:style>
  <w:style w:type="paragraph" w:customStyle="1" w:styleId="ListNumber1Level4">
    <w:name w:val="List Number 1 (Level 4)"/>
    <w:basedOn w:val="Text1"/>
    <w:pPr>
      <w:numPr>
        <w:ilvl w:val="3"/>
        <w:numId w:val="12"/>
      </w:numPr>
    </w:pPr>
  </w:style>
  <w:style w:type="paragraph" w:customStyle="1" w:styleId="ListNumber2Level2">
    <w:name w:val="List Number 2 (Level 2)"/>
    <w:basedOn w:val="Text2"/>
    <w:pPr>
      <w:numPr>
        <w:ilvl w:val="1"/>
        <w:numId w:val="13"/>
      </w:numPr>
      <w:tabs>
        <w:tab w:val="clear" w:pos="2160"/>
      </w:tabs>
    </w:pPr>
  </w:style>
  <w:style w:type="paragraph" w:customStyle="1" w:styleId="ListNumber2Level3">
    <w:name w:val="List Number 2 (Level 3)"/>
    <w:basedOn w:val="Text2"/>
    <w:pPr>
      <w:numPr>
        <w:ilvl w:val="2"/>
        <w:numId w:val="13"/>
      </w:numPr>
      <w:tabs>
        <w:tab w:val="clear" w:pos="2160"/>
      </w:tabs>
    </w:pPr>
  </w:style>
  <w:style w:type="paragraph" w:customStyle="1" w:styleId="ListNumber2Level4">
    <w:name w:val="List Number 2 (Level 4)"/>
    <w:basedOn w:val="Text2"/>
    <w:pPr>
      <w:numPr>
        <w:ilvl w:val="3"/>
        <w:numId w:val="13"/>
      </w:numPr>
      <w:tabs>
        <w:tab w:val="clear" w:pos="2160"/>
      </w:tabs>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numPr>
        <w:ilvl w:val="2"/>
        <w:numId w:val="14"/>
      </w:numPr>
      <w:tabs>
        <w:tab w:val="clear" w:pos="2302"/>
      </w:tabs>
    </w:pPr>
  </w:style>
  <w:style w:type="paragraph" w:customStyle="1" w:styleId="ListNumber3Level4">
    <w:name w:val="List Number 3 (Level 4)"/>
    <w:basedOn w:val="Text3"/>
    <w:pPr>
      <w:numPr>
        <w:ilvl w:val="3"/>
        <w:numId w:val="14"/>
      </w:numPr>
      <w:tabs>
        <w:tab w:val="clear" w:pos="2302"/>
      </w:tabs>
    </w:pPr>
  </w:style>
  <w:style w:type="paragraph" w:customStyle="1" w:styleId="ListNumber4Level2">
    <w:name w:val="List Number 4 (Level 2)"/>
    <w:basedOn w:val="Text4"/>
    <w:pPr>
      <w:numPr>
        <w:ilvl w:val="1"/>
        <w:numId w:val="15"/>
      </w:numPr>
    </w:pPr>
  </w:style>
  <w:style w:type="paragraph" w:customStyle="1" w:styleId="ListNumber4Level3">
    <w:name w:val="List Number 4 (Level 3)"/>
    <w:basedOn w:val="Text4"/>
    <w:pPr>
      <w:numPr>
        <w:ilvl w:val="2"/>
        <w:numId w:val="15"/>
      </w:numPr>
    </w:pPr>
  </w:style>
  <w:style w:type="paragraph" w:customStyle="1" w:styleId="ListNumber4Level4">
    <w:name w:val="List Number 4 (Level 4)"/>
    <w:basedOn w:val="Text4"/>
    <w:pPr>
      <w:numPr>
        <w:ilvl w:val="3"/>
        <w:numId w:val="15"/>
      </w:numPr>
    </w:pPr>
  </w:style>
  <w:style w:type="paragraph" w:styleId="TOCHeading">
    <w:name w:val="TOC Heading"/>
    <w:basedOn w:val="Normal"/>
    <w:next w:val="Normal"/>
    <w:qFormat/>
    <w:pPr>
      <w:keepNext/>
      <w:spacing w:before="240"/>
      <w:jc w:val="center"/>
    </w:pPr>
    <w:rPr>
      <w:b/>
    </w:rPr>
  </w:style>
  <w:style w:type="paragraph" w:customStyle="1" w:styleId="ATHeading1">
    <w:name w:val="AT Heading 1"/>
    <w:basedOn w:val="Normal"/>
    <w:next w:val="Normal"/>
    <w:pPr>
      <w:keepNext/>
      <w:keepLines/>
      <w:numPr>
        <w:numId w:val="16"/>
      </w:numPr>
      <w:spacing w:after="140"/>
      <w:jc w:val="left"/>
      <w:outlineLvl w:val="0"/>
    </w:pPr>
    <w:rPr>
      <w:rFonts w:ascii="Times New Roman" w:hAnsi="Times New Roman"/>
      <w:b/>
      <w:noProof/>
      <w:sz w:val="28"/>
    </w:rPr>
  </w:style>
  <w:style w:type="paragraph" w:customStyle="1" w:styleId="ZCom">
    <w:name w:val="Z_Com"/>
    <w:basedOn w:val="Normal"/>
    <w:next w:val="ZDGName"/>
    <w:uiPriority w:val="99"/>
    <w:pPr>
      <w:spacing w:after="0"/>
      <w:ind w:right="85"/>
    </w:pPr>
    <w:rPr>
      <w:rFonts w:ascii="Arial" w:hAnsi="Arial"/>
    </w:rPr>
  </w:style>
  <w:style w:type="paragraph" w:customStyle="1" w:styleId="ZDGName">
    <w:name w:val="Z_DGName"/>
    <w:basedOn w:val="Normal"/>
    <w:pPr>
      <w:spacing w:after="0"/>
      <w:ind w:right="85"/>
    </w:pPr>
    <w:rPr>
      <w:rFonts w:ascii="Arial" w:hAnsi="Arial"/>
      <w:sz w:val="16"/>
    </w:rPr>
  </w:style>
  <w:style w:type="paragraph" w:customStyle="1" w:styleId="H4">
    <w:name w:val="H4"/>
    <w:basedOn w:val="Normal"/>
    <w:next w:val="Normal"/>
    <w:pPr>
      <w:keepNext/>
      <w:widowControl w:val="0"/>
      <w:spacing w:before="100" w:after="100"/>
      <w:jc w:val="left"/>
      <w:outlineLvl w:val="4"/>
    </w:pPr>
    <w:rPr>
      <w:rFonts w:ascii="Times New Roman" w:hAnsi="Times New Roman"/>
      <w:b/>
      <w:snapToGrid w:val="0"/>
      <w:lang w:eastAsia="en-US"/>
    </w:rPr>
  </w:style>
  <w:style w:type="character" w:customStyle="1" w:styleId="HideTWBExt">
    <w:name w:val="HideTWBExt"/>
    <w:rPr>
      <w:noProof/>
      <w:vanish/>
      <w:color w:val="808080"/>
    </w:rPr>
  </w:style>
  <w:style w:type="paragraph" w:customStyle="1" w:styleId="Action">
    <w:name w:val="Action"/>
    <w:basedOn w:val="Normal"/>
    <w:pPr>
      <w:widowControl w:val="0"/>
      <w:tabs>
        <w:tab w:val="left" w:pos="357"/>
      </w:tabs>
      <w:ind w:left="357" w:hanging="357"/>
      <w:jc w:val="left"/>
    </w:pPr>
    <w:rPr>
      <w:rFonts w:ascii="Times New Roman" w:hAnsi="Times New Roman"/>
    </w:rPr>
  </w:style>
  <w:style w:type="paragraph" w:customStyle="1" w:styleId="ATHeading3">
    <w:name w:val="AT Heading 3"/>
    <w:basedOn w:val="Normal"/>
    <w:next w:val="Normal"/>
    <w:pPr>
      <w:keepNext/>
      <w:keepLines/>
      <w:spacing w:before="120" w:after="120"/>
      <w:jc w:val="left"/>
      <w:outlineLvl w:val="2"/>
    </w:pPr>
    <w:rPr>
      <w:rFonts w:ascii="Times New Roman" w:hAnsi="Times New Roman"/>
      <w:b/>
      <w:noProof/>
    </w:rPr>
  </w:style>
  <w:style w:type="character" w:customStyle="1" w:styleId="DefaultMargins">
    <w:name w:val="DefaultMargins"/>
    <w:rPr>
      <w:rFonts w:ascii="Courier New" w:hAnsi="Courier New"/>
      <w:noProof w:val="0"/>
      <w:sz w:val="20"/>
      <w:lang w:val="fr-FR"/>
    </w:rPr>
  </w:style>
  <w:style w:type="paragraph" w:customStyle="1" w:styleId="Initial">
    <w:name w:val="Initial"/>
    <w:link w:val="InitialChar"/>
    <w:pPr>
      <w:tabs>
        <w:tab w:val="left" w:pos="-720"/>
      </w:tabs>
      <w:suppressAutoHyphens/>
      <w:jc w:val="both"/>
    </w:pPr>
    <w:rPr>
      <w:spacing w:val="-3"/>
      <w:sz w:val="24"/>
      <w:lang w:eastAsia="en-GB"/>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Pr>
      <w:vertAlign w:val="superscript"/>
    </w:rPr>
  </w:style>
  <w:style w:type="paragraph" w:customStyle="1" w:styleId="H3">
    <w:name w:val="H3"/>
    <w:basedOn w:val="Normal"/>
    <w:next w:val="Normal"/>
    <w:pPr>
      <w:keepNext/>
      <w:spacing w:before="100" w:after="100"/>
      <w:jc w:val="left"/>
      <w:outlineLvl w:val="3"/>
    </w:pPr>
    <w:rPr>
      <w:rFonts w:ascii="Times New Roman" w:hAnsi="Times New Roman"/>
      <w:b/>
      <w:snapToGrid w:val="0"/>
      <w:sz w:val="28"/>
      <w:lang w:eastAsia="en-US"/>
    </w:rPr>
  </w:style>
  <w:style w:type="paragraph" w:customStyle="1" w:styleId="Rfrencesproposition">
    <w:name w:val="Références proposition"/>
    <w:basedOn w:val="Titreobjet"/>
    <w:next w:val="Normal"/>
    <w:pPr>
      <w:spacing w:after="480"/>
    </w:pPr>
  </w:style>
  <w:style w:type="paragraph" w:customStyle="1" w:styleId="Titreobjet">
    <w:name w:val="Titre objet"/>
    <w:basedOn w:val="Normal"/>
    <w:next w:val="Normal"/>
    <w:pPr>
      <w:widowControl w:val="0"/>
      <w:spacing w:after="0"/>
      <w:ind w:left="1418"/>
      <w:jc w:val="left"/>
    </w:pPr>
    <w:rPr>
      <w:rFonts w:ascii="Times New Roman" w:hAnsi="Times New Roman"/>
      <w:snapToGrid w:val="0"/>
      <w:lang w:eastAsia="en-US"/>
    </w:rPr>
  </w:style>
  <w:style w:type="character" w:styleId="Hyperlink">
    <w:name w:val="Hyperlink"/>
    <w:aliases w:val="Char1"/>
    <w:uiPriority w:val="99"/>
    <w:qFormat/>
    <w:rPr>
      <w:color w:val="0000FF"/>
      <w:u w:val="single"/>
    </w:rPr>
  </w:style>
  <w:style w:type="character" w:styleId="Emphasis">
    <w:name w:val="Emphasis"/>
    <w:uiPriority w:val="20"/>
    <w:qFormat/>
    <w:rPr>
      <w:i/>
    </w:rPr>
  </w:style>
  <w:style w:type="character" w:customStyle="1" w:styleId="Added">
    <w:name w:val="Added"/>
    <w:rPr>
      <w:b/>
      <w:i/>
    </w:rPr>
  </w:style>
  <w:style w:type="paragraph" w:customStyle="1" w:styleId="Normal12">
    <w:name w:val="Normal 12"/>
    <w:basedOn w:val="Normal"/>
    <w:link w:val="Normal12Char"/>
    <w:rsid w:val="0027701F"/>
    <w:pPr>
      <w:tabs>
        <w:tab w:val="left" w:pos="-720"/>
      </w:tabs>
    </w:pPr>
    <w:rPr>
      <w:rFonts w:ascii="Times New Roman" w:hAnsi="Times New Roman"/>
      <w:noProof/>
    </w:rPr>
  </w:style>
  <w:style w:type="paragraph" w:customStyle="1" w:styleId="5Normal">
    <w:name w:val="5 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eastAsia="en-GB"/>
    </w:rPr>
  </w:style>
  <w:style w:type="paragraph" w:customStyle="1" w:styleId="Dput">
    <w:name w:val="Député"/>
    <w:basedOn w:val="Titreobjet"/>
    <w:pPr>
      <w:spacing w:after="240"/>
    </w:pPr>
  </w:style>
  <w:style w:type="paragraph" w:customStyle="1" w:styleId="Commissionparlementaire">
    <w:name w:val="Commission parlementaire"/>
    <w:basedOn w:val="Titreobjet"/>
    <w:next w:val="Normal"/>
    <w:pPr>
      <w:spacing w:after="480"/>
    </w:pPr>
  </w:style>
  <w:style w:type="character" w:styleId="FollowedHyperlink">
    <w:name w:val="FollowedHyperlink"/>
    <w:rPr>
      <w:color w:val="800080"/>
      <w:u w:val="single"/>
    </w:rPr>
  </w:style>
  <w:style w:type="paragraph" w:customStyle="1" w:styleId="DefinitionList">
    <w:name w:val="Definition List"/>
    <w:basedOn w:val="Normal"/>
    <w:next w:val="Normal"/>
    <w:pPr>
      <w:spacing w:after="0"/>
      <w:ind w:left="360"/>
      <w:jc w:val="left"/>
    </w:pPr>
    <w:rPr>
      <w:rFonts w:ascii="Times New Roman" w:hAnsi="Times New Roman"/>
      <w:snapToGrid w:val="0"/>
      <w:lang w:eastAsia="en-US"/>
    </w:rPr>
  </w:style>
  <w:style w:type="paragraph" w:customStyle="1" w:styleId="Visa">
    <w:name w:val="Visa"/>
    <w:basedOn w:val="Normal"/>
    <w:pPr>
      <w:widowControl w:val="0"/>
      <w:tabs>
        <w:tab w:val="left" w:pos="357"/>
      </w:tabs>
      <w:ind w:left="357" w:hanging="357"/>
      <w:jc w:val="left"/>
    </w:pPr>
    <w:rPr>
      <w:rFonts w:ascii="Times New Roman" w:hAnsi="Times New Roman"/>
      <w:snapToGrid w:val="0"/>
    </w:rPr>
  </w:style>
  <w:style w:type="paragraph" w:customStyle="1" w:styleId="PagereglementairetextePR">
    <w:name w:val="Page reglementaire texte PR"/>
    <w:basedOn w:val="Normal"/>
    <w:pPr>
      <w:widowControl w:val="0"/>
      <w:jc w:val="left"/>
    </w:pPr>
    <w:rPr>
      <w:rFonts w:ascii="Times New Roman" w:hAnsi="Times New Roman"/>
      <w:snapToGrid w:val="0"/>
      <w:lang w:eastAsia="en-US"/>
    </w:rPr>
  </w:style>
  <w:style w:type="paragraph" w:customStyle="1" w:styleId="H2">
    <w:name w:val="H2"/>
    <w:basedOn w:val="Normal"/>
    <w:next w:val="Normal"/>
    <w:pPr>
      <w:keepNext/>
      <w:spacing w:before="100" w:after="100"/>
      <w:jc w:val="left"/>
      <w:outlineLvl w:val="2"/>
    </w:pPr>
    <w:rPr>
      <w:rFonts w:ascii="Times New Roman" w:hAnsi="Times New Roman"/>
      <w:b/>
      <w:snapToGrid w:val="0"/>
      <w:sz w:val="36"/>
      <w:lang w:eastAsia="en-US"/>
    </w:rPr>
  </w:style>
  <w:style w:type="paragraph" w:customStyle="1" w:styleId="Rfrenceinstitutionelle">
    <w:name w:val="Référence institutionelle"/>
    <w:basedOn w:val="Normal"/>
    <w:next w:val="Normal"/>
    <w:pPr>
      <w:ind w:left="5103"/>
      <w:jc w:val="left"/>
    </w:pPr>
    <w:rPr>
      <w:rFonts w:ascii="Times New Roman" w:hAnsi="Times New Roman"/>
    </w:rPr>
  </w:style>
  <w:style w:type="character" w:styleId="CommentReference">
    <w:name w:val="annotation reference"/>
    <w:semiHidden/>
    <w:rPr>
      <w:sz w:val="16"/>
    </w:rPr>
  </w:style>
  <w:style w:type="paragraph" w:customStyle="1" w:styleId="Tiret1">
    <w:name w:val="Tiret 1"/>
    <w:basedOn w:val="Normal"/>
    <w:pPr>
      <w:spacing w:before="120" w:after="120"/>
      <w:ind w:left="1418" w:hanging="567"/>
    </w:pPr>
    <w:rPr>
      <w:rFonts w:ascii="Times New Roman" w:hAnsi="Times New Roman"/>
    </w:rPr>
  </w:style>
  <w:style w:type="character" w:styleId="Strong">
    <w:name w:val="Strong"/>
    <w:uiPriority w:val="22"/>
    <w:qFormat/>
    <w:rPr>
      <w:b/>
    </w:rPr>
  </w:style>
  <w:style w:type="character" w:customStyle="1" w:styleId="Deleted">
    <w:name w:val="Deleted"/>
    <w:rPr>
      <w:b/>
      <w:i/>
    </w:rPr>
  </w:style>
  <w:style w:type="character" w:customStyle="1" w:styleId="HideTWBInt">
    <w:name w:val="HideTWBInt"/>
    <w:rsid w:val="00671028"/>
    <w:rPr>
      <w:vanish/>
      <w:color w:val="808080"/>
    </w:rPr>
  </w:style>
  <w:style w:type="paragraph" w:styleId="NormalWeb">
    <w:name w:val="Normal (Web)"/>
    <w:aliases w:val=" webb,webb"/>
    <w:basedOn w:val="Normal"/>
    <w:link w:val="NormalWebChar1"/>
    <w:uiPriority w:val="99"/>
    <w:rsid w:val="00863DF7"/>
    <w:pPr>
      <w:spacing w:before="100" w:beforeAutospacing="1" w:after="100" w:afterAutospacing="1"/>
      <w:jc w:val="left"/>
    </w:pPr>
    <w:rPr>
      <w:rFonts w:ascii="Times New Roman" w:hAnsi="Times New Roman"/>
      <w:szCs w:val="24"/>
    </w:rPr>
  </w:style>
  <w:style w:type="character" w:customStyle="1" w:styleId="ListDashChar">
    <w:name w:val="List Dash Char"/>
    <w:link w:val="ListDash"/>
    <w:rsid w:val="0008216A"/>
    <w:rPr>
      <w:rFonts w:ascii="Courier New" w:hAnsi="Courier New"/>
      <w:sz w:val="24"/>
    </w:rPr>
  </w:style>
  <w:style w:type="character" w:customStyle="1" w:styleId="exergue">
    <w:name w:val="exergue"/>
    <w:basedOn w:val="DefaultParagraphFont"/>
    <w:rsid w:val="005E526A"/>
  </w:style>
  <w:style w:type="paragraph" w:customStyle="1" w:styleId="textmain">
    <w:name w:val="textmain"/>
    <w:basedOn w:val="Normal"/>
    <w:rsid w:val="005E2CA4"/>
    <w:pPr>
      <w:spacing w:before="100" w:beforeAutospacing="1" w:after="100" w:afterAutospacing="1"/>
      <w:jc w:val="left"/>
    </w:pPr>
    <w:rPr>
      <w:rFonts w:ascii="Times New Roman" w:hAnsi="Times New Roman"/>
      <w:szCs w:val="24"/>
      <w:lang w:eastAsia="ko-KR"/>
    </w:rPr>
  </w:style>
  <w:style w:type="paragraph" w:customStyle="1" w:styleId="Normal12Tab">
    <w:name w:val="Normal12Tab"/>
    <w:basedOn w:val="Normal"/>
    <w:rsid w:val="00AA6DD4"/>
    <w:pPr>
      <w:widowControl w:val="0"/>
      <w:tabs>
        <w:tab w:val="left" w:pos="357"/>
      </w:tabs>
      <w:jc w:val="left"/>
    </w:pPr>
    <w:rPr>
      <w:rFonts w:ascii="Times New Roman" w:hAnsi="Times New Roman"/>
      <w:lang w:eastAsia="en-US"/>
    </w:rPr>
  </w:style>
  <w:style w:type="paragraph" w:customStyle="1" w:styleId="PageHeading">
    <w:name w:val="PageHeading"/>
    <w:basedOn w:val="Normal"/>
    <w:rsid w:val="00A52A26"/>
    <w:pPr>
      <w:keepNext/>
      <w:widowControl w:val="0"/>
      <w:spacing w:before="240"/>
      <w:jc w:val="center"/>
    </w:pPr>
    <w:rPr>
      <w:rFonts w:ascii="Arial" w:hAnsi="Arial"/>
      <w:b/>
    </w:rPr>
  </w:style>
  <w:style w:type="paragraph" w:customStyle="1" w:styleId="Normal12Bold">
    <w:name w:val="Normal12Bold"/>
    <w:basedOn w:val="Normal"/>
    <w:rsid w:val="00A52A26"/>
    <w:pPr>
      <w:widowControl w:val="0"/>
      <w:jc w:val="left"/>
    </w:pPr>
    <w:rPr>
      <w:rFonts w:ascii="Times New Roman" w:hAnsi="Times New Roman"/>
      <w:b/>
    </w:rPr>
  </w:style>
  <w:style w:type="paragraph" w:customStyle="1" w:styleId="Normal1">
    <w:name w:val="Normal1"/>
    <w:link w:val="NORMALChar"/>
    <w:rsid w:val="00A52A26"/>
    <w:rPr>
      <w:lang w:eastAsia="en-US"/>
    </w:rPr>
  </w:style>
  <w:style w:type="character" w:customStyle="1" w:styleId="titretable">
    <w:name w:val="titretable"/>
    <w:basedOn w:val="DefaultParagraphFont"/>
    <w:rsid w:val="00776DA5"/>
  </w:style>
  <w:style w:type="paragraph" w:customStyle="1" w:styleId="Normal12Hanging">
    <w:name w:val="Normal12Hanging"/>
    <w:basedOn w:val="Normal"/>
    <w:link w:val="Normal12HangingChar"/>
    <w:rsid w:val="00776DA5"/>
    <w:pPr>
      <w:widowControl w:val="0"/>
      <w:ind w:left="357" w:hanging="357"/>
      <w:jc w:val="left"/>
    </w:pPr>
    <w:rPr>
      <w:rFonts w:ascii="Times New Roman" w:hAnsi="Times New Roman"/>
    </w:rPr>
  </w:style>
  <w:style w:type="paragraph" w:customStyle="1" w:styleId="Normal120">
    <w:name w:val="Normal12"/>
    <w:basedOn w:val="Normal"/>
    <w:link w:val="Normal12Char0"/>
    <w:rsid w:val="0087007B"/>
    <w:pPr>
      <w:widowControl w:val="0"/>
      <w:jc w:val="left"/>
    </w:pPr>
    <w:rPr>
      <w:rFonts w:ascii="Times New Roman" w:hAnsi="Times New Roman"/>
      <w:szCs w:val="24"/>
    </w:rPr>
  </w:style>
  <w:style w:type="table" w:styleId="TableGrid">
    <w:name w:val="Table Grid"/>
    <w:basedOn w:val="TableNormal"/>
    <w:rsid w:val="0087007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B39D1"/>
  </w:style>
  <w:style w:type="paragraph" w:customStyle="1" w:styleId="Typedudocument">
    <w:name w:val="Type du document"/>
    <w:basedOn w:val="Normal"/>
    <w:next w:val="Normal"/>
    <w:rsid w:val="00ED3B96"/>
    <w:pPr>
      <w:spacing w:before="360" w:after="0"/>
      <w:jc w:val="center"/>
    </w:pPr>
    <w:rPr>
      <w:rFonts w:ascii="Times New Roman" w:hAnsi="Times New Roman"/>
      <w:b/>
      <w:snapToGrid w:val="0"/>
      <w:lang w:eastAsia="en-US"/>
    </w:rPr>
  </w:style>
  <w:style w:type="character" w:customStyle="1" w:styleId="Normal12Char">
    <w:name w:val="Normal 12 Char"/>
    <w:link w:val="Normal12"/>
    <w:rsid w:val="0027701F"/>
    <w:rPr>
      <w:noProof/>
      <w:sz w:val="24"/>
      <w:lang w:val="fr-FR" w:eastAsia="en-GB" w:bidi="ar-SA"/>
    </w:rPr>
  </w:style>
  <w:style w:type="character" w:customStyle="1" w:styleId="msoins0">
    <w:name w:val="msoins"/>
    <w:rsid w:val="005513E0"/>
    <w:rPr>
      <w:color w:val="008080"/>
      <w:u w:val="single"/>
    </w:rPr>
  </w:style>
  <w:style w:type="paragraph" w:customStyle="1" w:styleId="NumPar1Char">
    <w:name w:val="NumPar 1 Char"/>
    <w:basedOn w:val="Normal"/>
    <w:next w:val="Normal"/>
    <w:link w:val="NumPar1CharChar"/>
    <w:rsid w:val="003F62ED"/>
    <w:pPr>
      <w:numPr>
        <w:numId w:val="17"/>
      </w:numPr>
      <w:tabs>
        <w:tab w:val="num" w:pos="1134"/>
      </w:tabs>
      <w:spacing w:before="120" w:after="120"/>
      <w:ind w:left="1134"/>
    </w:pPr>
    <w:rPr>
      <w:szCs w:val="24"/>
    </w:rPr>
  </w:style>
  <w:style w:type="character" w:customStyle="1" w:styleId="NumPar1CharChar">
    <w:name w:val="NumPar 1 Char Char"/>
    <w:link w:val="NumPar1Char"/>
    <w:rsid w:val="003F62ED"/>
    <w:rPr>
      <w:rFonts w:ascii="Courier New" w:hAnsi="Courier New"/>
      <w:sz w:val="24"/>
      <w:szCs w:val="24"/>
    </w:rPr>
  </w:style>
  <w:style w:type="paragraph" w:customStyle="1" w:styleId="Contact">
    <w:name w:val="Contact"/>
    <w:basedOn w:val="Normal"/>
    <w:next w:val="Enclosures"/>
    <w:rsid w:val="00FA6446"/>
    <w:pPr>
      <w:spacing w:before="480" w:after="0"/>
      <w:ind w:left="567" w:hanging="567"/>
      <w:jc w:val="left"/>
    </w:pPr>
    <w:rPr>
      <w:rFonts w:ascii="Times New Roman" w:hAnsi="Times New Roman"/>
      <w:lang w:eastAsia="en-US"/>
    </w:rPr>
  </w:style>
  <w:style w:type="paragraph" w:customStyle="1" w:styleId="NormalBold">
    <w:name w:val="NormalBold"/>
    <w:basedOn w:val="Normal"/>
    <w:link w:val="NormalBoldChar"/>
    <w:rsid w:val="00960559"/>
    <w:pPr>
      <w:widowControl w:val="0"/>
      <w:spacing w:after="0"/>
      <w:jc w:val="left"/>
    </w:pPr>
    <w:rPr>
      <w:rFonts w:ascii="Times New Roman" w:hAnsi="Times New Roman"/>
      <w:b/>
    </w:rPr>
  </w:style>
  <w:style w:type="character" w:customStyle="1" w:styleId="NormalBoldChar">
    <w:name w:val="NormalBold Char"/>
    <w:link w:val="NormalBold"/>
    <w:rsid w:val="001D670F"/>
    <w:rPr>
      <w:b/>
      <w:sz w:val="24"/>
      <w:lang w:val="fr-FR" w:eastAsia="en-GB" w:bidi="ar-SA"/>
    </w:rPr>
  </w:style>
  <w:style w:type="character" w:customStyle="1" w:styleId="subtitletable">
    <w:name w:val="subtitletable"/>
    <w:basedOn w:val="DefaultParagraphFont"/>
    <w:rsid w:val="00A66005"/>
  </w:style>
  <w:style w:type="character" w:customStyle="1" w:styleId="midtitletable">
    <w:name w:val="midtitletable"/>
    <w:basedOn w:val="DefaultParagraphFont"/>
    <w:rsid w:val="00031CA2"/>
  </w:style>
  <w:style w:type="paragraph" w:styleId="BalloonText">
    <w:name w:val="Balloon Text"/>
    <w:basedOn w:val="Normal"/>
    <w:semiHidden/>
    <w:rsid w:val="004D3FDF"/>
    <w:rPr>
      <w:rFonts w:ascii="Tahoma" w:hAnsi="Tahoma" w:cs="Tahoma"/>
      <w:sz w:val="16"/>
      <w:szCs w:val="16"/>
    </w:rPr>
  </w:style>
  <w:style w:type="character" w:customStyle="1" w:styleId="NORMALChar">
    <w:name w:val="NORMAL Char"/>
    <w:link w:val="Normal1"/>
    <w:rsid w:val="001F57FF"/>
    <w:rPr>
      <w:lang w:val="fr-FR" w:eastAsia="en-US" w:bidi="ar-SA"/>
    </w:rPr>
  </w:style>
  <w:style w:type="paragraph" w:customStyle="1" w:styleId="Olang">
    <w:name w:val="Olang"/>
    <w:basedOn w:val="Normal"/>
    <w:rsid w:val="00CD3544"/>
    <w:pPr>
      <w:widowControl w:val="0"/>
      <w:spacing w:before="240"/>
      <w:jc w:val="right"/>
    </w:pPr>
    <w:rPr>
      <w:rFonts w:ascii="Times New Roman" w:hAnsi="Times New Roman"/>
    </w:rPr>
  </w:style>
  <w:style w:type="character" w:customStyle="1" w:styleId="NormalWebChar1">
    <w:name w:val="Normal (Web) Char1"/>
    <w:aliases w:val=" webb Char,webb Char1"/>
    <w:link w:val="NormalWeb"/>
    <w:rsid w:val="00CD3544"/>
    <w:rPr>
      <w:sz w:val="24"/>
      <w:szCs w:val="24"/>
      <w:lang w:val="fr-FR" w:eastAsia="en-GB" w:bidi="ar-SA"/>
    </w:rPr>
  </w:style>
  <w:style w:type="character" w:customStyle="1" w:styleId="italic">
    <w:name w:val="italic"/>
    <w:basedOn w:val="DefaultParagraphFont"/>
    <w:rsid w:val="006334FA"/>
  </w:style>
  <w:style w:type="character" w:customStyle="1" w:styleId="italic1">
    <w:name w:val="italic1"/>
    <w:rsid w:val="006334FA"/>
    <w:rPr>
      <w:i/>
      <w:iCs/>
    </w:rPr>
  </w:style>
  <w:style w:type="paragraph" w:customStyle="1" w:styleId="text">
    <w:name w:val="text"/>
    <w:basedOn w:val="Normal"/>
    <w:rsid w:val="006334FA"/>
    <w:pPr>
      <w:spacing w:before="100" w:beforeAutospacing="1" w:after="100" w:afterAutospacing="1"/>
      <w:jc w:val="left"/>
    </w:pPr>
    <w:rPr>
      <w:rFonts w:ascii="Arial" w:hAnsi="Arial" w:cs="Arial"/>
      <w:color w:val="000080"/>
      <w:szCs w:val="24"/>
    </w:rPr>
  </w:style>
  <w:style w:type="paragraph" w:customStyle="1" w:styleId="ManualNumPar1">
    <w:name w:val="Manual NumPar 1"/>
    <w:basedOn w:val="Normal"/>
    <w:next w:val="Normal"/>
    <w:rsid w:val="00C629C6"/>
    <w:pPr>
      <w:spacing w:before="120" w:after="120"/>
      <w:ind w:left="850" w:hanging="850"/>
    </w:pPr>
    <w:rPr>
      <w:rFonts w:ascii="Times New Roman" w:hAnsi="Times New Roman"/>
    </w:rPr>
  </w:style>
  <w:style w:type="character" w:customStyle="1" w:styleId="contents">
    <w:name w:val="contents"/>
    <w:basedOn w:val="DefaultParagraphFont"/>
    <w:rsid w:val="004F3B17"/>
  </w:style>
  <w:style w:type="paragraph" w:customStyle="1" w:styleId="CharChar2CharCharCharCharCharCharCharCharCharChar">
    <w:name w:val="Char Char2 Char Char Char Char Char Char Char Char Char Char"/>
    <w:basedOn w:val="Normal"/>
    <w:rsid w:val="00887CAB"/>
    <w:pPr>
      <w:spacing w:after="160" w:line="240" w:lineRule="exact"/>
      <w:jc w:val="left"/>
    </w:pPr>
    <w:rPr>
      <w:rFonts w:ascii="Tahoma" w:hAnsi="Tahoma"/>
      <w:sz w:val="20"/>
      <w:lang w:eastAsia="en-US"/>
    </w:rPr>
  </w:style>
  <w:style w:type="character" w:customStyle="1" w:styleId="defaultmargins0">
    <w:name w:val="defaultmargins"/>
    <w:rsid w:val="00ED1686"/>
    <w:rPr>
      <w:rFonts w:ascii="Courier New" w:hAnsi="Courier New" w:cs="Courier New" w:hint="default"/>
    </w:rPr>
  </w:style>
  <w:style w:type="paragraph" w:customStyle="1" w:styleId="Cover12">
    <w:name w:val="Cover12"/>
    <w:basedOn w:val="Normal"/>
    <w:rsid w:val="00B72965"/>
    <w:pPr>
      <w:widowControl w:val="0"/>
      <w:ind w:left="1418"/>
      <w:jc w:val="left"/>
    </w:pPr>
    <w:rPr>
      <w:rFonts w:ascii="Times New Roman" w:hAnsi="Times New Roman"/>
    </w:rPr>
  </w:style>
  <w:style w:type="paragraph" w:customStyle="1" w:styleId="CharChar1">
    <w:name w:val="Char Char1"/>
    <w:basedOn w:val="Normal"/>
    <w:rsid w:val="009E2FF2"/>
    <w:pPr>
      <w:spacing w:after="160" w:line="240" w:lineRule="exact"/>
      <w:jc w:val="left"/>
    </w:pPr>
    <w:rPr>
      <w:rFonts w:ascii="Tahoma" w:hAnsi="Tahoma"/>
      <w:sz w:val="20"/>
      <w:lang w:eastAsia="en-US"/>
    </w:rPr>
  </w:style>
  <w:style w:type="paragraph" w:customStyle="1" w:styleId="normal12hanging0">
    <w:name w:val="normal12hanging"/>
    <w:basedOn w:val="Normal"/>
    <w:rsid w:val="00E709A0"/>
    <w:pPr>
      <w:ind w:left="357" w:hanging="357"/>
      <w:jc w:val="left"/>
    </w:pPr>
    <w:rPr>
      <w:rFonts w:ascii="Times New Roman" w:hAnsi="Times New Roman"/>
      <w:szCs w:val="24"/>
      <w:lang w:eastAsia="en-US"/>
    </w:rPr>
  </w:style>
  <w:style w:type="paragraph" w:customStyle="1" w:styleId="CharCharChar">
    <w:name w:val="Char Char Char"/>
    <w:basedOn w:val="Normal"/>
    <w:next w:val="Normal"/>
    <w:rsid w:val="00E709A0"/>
    <w:pPr>
      <w:spacing w:after="160" w:line="240" w:lineRule="exact"/>
      <w:jc w:val="left"/>
    </w:pPr>
    <w:rPr>
      <w:rFonts w:ascii="Tahoma" w:hAnsi="Tahoma"/>
      <w:lang w:eastAsia="en-US"/>
    </w:rPr>
  </w:style>
  <w:style w:type="paragraph" w:customStyle="1" w:styleId="CharCharChar0">
    <w:name w:val="Char Char Char0"/>
    <w:basedOn w:val="Normal"/>
    <w:uiPriority w:val="99"/>
    <w:rsid w:val="0092510C"/>
    <w:pPr>
      <w:spacing w:after="160" w:line="240" w:lineRule="exact"/>
      <w:jc w:val="left"/>
    </w:pPr>
    <w:rPr>
      <w:rFonts w:ascii="Tahoma" w:hAnsi="Tahoma"/>
      <w:sz w:val="20"/>
      <w:lang w:eastAsia="en-US"/>
    </w:rPr>
  </w:style>
  <w:style w:type="character" w:customStyle="1" w:styleId="Normal12Char0">
    <w:name w:val="Normal12 Char"/>
    <w:link w:val="Normal120"/>
    <w:rsid w:val="008D0782"/>
    <w:rPr>
      <w:sz w:val="24"/>
      <w:szCs w:val="24"/>
      <w:lang w:val="fr-FR" w:eastAsia="en-GB" w:bidi="ar-SA"/>
    </w:rPr>
  </w:style>
  <w:style w:type="paragraph" w:customStyle="1" w:styleId="CoverNormalRC">
    <w:name w:val="CoverNormalRC"/>
    <w:basedOn w:val="Normal"/>
    <w:rsid w:val="00502387"/>
    <w:pPr>
      <w:widowControl w:val="0"/>
      <w:tabs>
        <w:tab w:val="left" w:pos="1701"/>
      </w:tabs>
      <w:spacing w:after="0"/>
      <w:ind w:left="1418"/>
      <w:jc w:val="left"/>
    </w:pPr>
    <w:rPr>
      <w:rFonts w:ascii="Times New Roman" w:hAnsi="Times New Roman"/>
    </w:rPr>
  </w:style>
  <w:style w:type="paragraph" w:customStyle="1" w:styleId="CharCarCarChar">
    <w:name w:val="Char Car Car Char"/>
    <w:basedOn w:val="Normal"/>
    <w:next w:val="Normal"/>
    <w:rsid w:val="0028727C"/>
    <w:pPr>
      <w:spacing w:after="160" w:line="240" w:lineRule="exact"/>
      <w:jc w:val="left"/>
    </w:pPr>
    <w:rPr>
      <w:rFonts w:ascii="Tahoma" w:hAnsi="Tahoma" w:cs="Tahoma"/>
      <w:szCs w:val="24"/>
      <w:lang w:eastAsia="en-US"/>
    </w:rPr>
  </w:style>
  <w:style w:type="paragraph" w:customStyle="1" w:styleId="Char1">
    <w:name w:val="Char1"/>
    <w:basedOn w:val="Normal"/>
    <w:rsid w:val="00F47B73"/>
    <w:pPr>
      <w:spacing w:after="160" w:line="240" w:lineRule="exact"/>
      <w:jc w:val="left"/>
    </w:pPr>
    <w:rPr>
      <w:rFonts w:ascii="Tahoma" w:hAnsi="Tahoma"/>
      <w:sz w:val="20"/>
      <w:lang w:eastAsia="en-US"/>
    </w:rPr>
  </w:style>
  <w:style w:type="paragraph" w:customStyle="1" w:styleId="Char">
    <w:name w:val="Char"/>
    <w:basedOn w:val="Normal"/>
    <w:rsid w:val="00124A7A"/>
    <w:pPr>
      <w:spacing w:after="160" w:line="240" w:lineRule="exact"/>
      <w:jc w:val="left"/>
    </w:pPr>
    <w:rPr>
      <w:rFonts w:ascii="Tahoma" w:hAnsi="Tahoma"/>
      <w:sz w:val="20"/>
      <w:lang w:eastAsia="en-US"/>
    </w:rPr>
  </w:style>
  <w:style w:type="character" w:customStyle="1" w:styleId="bold">
    <w:name w:val="bold"/>
    <w:basedOn w:val="DefaultParagraphFont"/>
    <w:rsid w:val="005B5CB2"/>
  </w:style>
  <w:style w:type="paragraph" w:customStyle="1" w:styleId="CoverNormal">
    <w:name w:val="CoverNormal"/>
    <w:basedOn w:val="Normal"/>
    <w:rsid w:val="00EA16CF"/>
    <w:pPr>
      <w:widowControl w:val="0"/>
      <w:spacing w:after="0"/>
      <w:ind w:left="1418"/>
      <w:jc w:val="left"/>
    </w:pPr>
    <w:rPr>
      <w:rFonts w:ascii="Times New Roman" w:hAnsi="Times New Roman"/>
    </w:rPr>
  </w:style>
  <w:style w:type="paragraph" w:styleId="CommentSubject">
    <w:name w:val="annotation subject"/>
    <w:aliases w:val=" Char Char Char Char Char"/>
    <w:basedOn w:val="CommentText"/>
    <w:next w:val="CommentText"/>
    <w:semiHidden/>
    <w:rsid w:val="00EA16CF"/>
    <w:pPr>
      <w:spacing w:before="120" w:after="120"/>
    </w:pPr>
    <w:rPr>
      <w:rFonts w:ascii="Times New Roman" w:hAnsi="Times New Roman"/>
      <w:b/>
      <w:bCs/>
      <w:snapToGrid w:val="0"/>
    </w:rPr>
  </w:style>
  <w:style w:type="character" w:customStyle="1" w:styleId="ListBulletChar1">
    <w:name w:val="List Bullet Char1"/>
    <w:link w:val="ListBullet"/>
    <w:rsid w:val="00EA16CF"/>
    <w:rPr>
      <w:rFonts w:ascii="Courier New" w:hAnsi="Courier New"/>
      <w:sz w:val="24"/>
    </w:rPr>
  </w:style>
  <w:style w:type="character" w:customStyle="1" w:styleId="contents1">
    <w:name w:val="contents1"/>
    <w:rsid w:val="00EA16CF"/>
    <w:rPr>
      <w:rFonts w:ascii="Arial" w:hAnsi="Arial" w:cs="Arial" w:hint="default"/>
      <w:b w:val="0"/>
      <w:bCs w:val="0"/>
      <w:color w:val="666666"/>
      <w:sz w:val="18"/>
      <w:szCs w:val="18"/>
    </w:rPr>
  </w:style>
  <w:style w:type="paragraph" w:customStyle="1" w:styleId="CharChar1Char">
    <w:name w:val="Char Char1 Char"/>
    <w:basedOn w:val="Normal"/>
    <w:rsid w:val="00476BB5"/>
    <w:pPr>
      <w:spacing w:after="160" w:line="240" w:lineRule="exact"/>
      <w:jc w:val="left"/>
    </w:pPr>
    <w:rPr>
      <w:rFonts w:ascii="Tahoma" w:hAnsi="Tahoma"/>
      <w:sz w:val="20"/>
      <w:lang w:eastAsia="en-US"/>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qFormat/>
    <w:rsid w:val="00103DE9"/>
    <w:rPr>
      <w:rFonts w:ascii="Courier New" w:hAnsi="Courier New"/>
      <w:lang w:val="fr-FR" w:eastAsia="en-GB" w:bidi="ar-SA"/>
    </w:rPr>
  </w:style>
  <w:style w:type="paragraph" w:customStyle="1" w:styleId="CharChar2CharCharCharCharCharCharChar">
    <w:name w:val="Char Char2 Char Char Char Char Char Char Char"/>
    <w:basedOn w:val="Normal"/>
    <w:rsid w:val="00FE32E0"/>
    <w:pPr>
      <w:spacing w:after="160" w:line="240" w:lineRule="exact"/>
      <w:jc w:val="left"/>
    </w:pPr>
    <w:rPr>
      <w:rFonts w:ascii="Tahoma" w:hAnsi="Tahoma"/>
      <w:sz w:val="20"/>
      <w:lang w:eastAsia="en-US"/>
    </w:rPr>
  </w:style>
  <w:style w:type="character" w:customStyle="1" w:styleId="Text1Char">
    <w:name w:val="Text 1 Char"/>
    <w:link w:val="Text1"/>
    <w:rsid w:val="001B76B5"/>
    <w:rPr>
      <w:rFonts w:ascii="Courier New" w:hAnsi="Courier New"/>
      <w:sz w:val="24"/>
      <w:lang w:val="fr-FR" w:eastAsia="en-GB" w:bidi="ar-SA"/>
    </w:rPr>
  </w:style>
  <w:style w:type="character" w:customStyle="1" w:styleId="bold1">
    <w:name w:val="bold1"/>
    <w:rsid w:val="00236008"/>
    <w:rPr>
      <w:b/>
      <w:bCs/>
    </w:rPr>
  </w:style>
  <w:style w:type="character" w:customStyle="1" w:styleId="ListChar">
    <w:name w:val="List Char"/>
    <w:link w:val="List"/>
    <w:rsid w:val="009E216E"/>
    <w:rPr>
      <w:rFonts w:ascii="Courier New" w:hAnsi="Courier New"/>
      <w:sz w:val="24"/>
      <w:lang w:val="fr-FR" w:eastAsia="en-GB" w:bidi="ar-SA"/>
    </w:rPr>
  </w:style>
  <w:style w:type="character" w:customStyle="1" w:styleId="sup1">
    <w:name w:val="sup1"/>
    <w:rsid w:val="009E216E"/>
    <w:rPr>
      <w:sz w:val="19"/>
      <w:szCs w:val="19"/>
      <w:vertAlign w:val="superscript"/>
    </w:rPr>
  </w:style>
  <w:style w:type="character" w:customStyle="1" w:styleId="Heading1Char1">
    <w:name w:val="Heading 1 Char1"/>
    <w:aliases w:val="Heading 1 Char Char Char Char Char Char Char Char Char Char Char Char Char Char Char"/>
    <w:link w:val="Heading1"/>
    <w:rsid w:val="009E216E"/>
    <w:rPr>
      <w:rFonts w:ascii="Courier New" w:hAnsi="Courier New"/>
      <w:b/>
      <w:smallCaps/>
      <w:sz w:val="24"/>
    </w:rPr>
  </w:style>
  <w:style w:type="paragraph" w:customStyle="1" w:styleId="Statut">
    <w:name w:val="Statut"/>
    <w:basedOn w:val="Normal"/>
    <w:next w:val="Normal"/>
    <w:rsid w:val="00FE35A4"/>
    <w:pPr>
      <w:spacing w:before="360" w:after="0"/>
      <w:jc w:val="center"/>
    </w:pPr>
    <w:rPr>
      <w:rFonts w:ascii="Times New Roman" w:hAnsi="Times New Roman"/>
      <w:lang w:eastAsia="en-US"/>
    </w:rPr>
  </w:style>
  <w:style w:type="paragraph" w:customStyle="1" w:styleId="CharCharCharCharCharCharCharCharChar">
    <w:name w:val="Char Char Char Char Char Char Char Char Char"/>
    <w:aliases w:val=" Char Char Char Char Char Char Char Char Char Char Char Char"/>
    <w:basedOn w:val="Normal"/>
    <w:next w:val="Normal"/>
    <w:rsid w:val="00FE35A4"/>
    <w:pPr>
      <w:spacing w:after="160" w:line="240" w:lineRule="exact"/>
      <w:jc w:val="left"/>
    </w:pPr>
    <w:rPr>
      <w:rFonts w:ascii="Tahoma" w:hAnsi="Tahoma"/>
      <w:lang w:eastAsia="en-US"/>
    </w:rPr>
  </w:style>
  <w:style w:type="character" w:customStyle="1" w:styleId="Marker">
    <w:name w:val="Marker"/>
    <w:rsid w:val="00FE35A4"/>
    <w:rPr>
      <w:color w:val="0000FF"/>
      <w:lang w:val="fr-FR"/>
    </w:rPr>
  </w:style>
  <w:style w:type="paragraph" w:customStyle="1" w:styleId="CarChar">
    <w:name w:val="Car Char"/>
    <w:basedOn w:val="Normal"/>
    <w:rsid w:val="00573DC5"/>
    <w:pPr>
      <w:spacing w:after="160" w:line="240" w:lineRule="exact"/>
      <w:jc w:val="left"/>
    </w:pPr>
    <w:rPr>
      <w:rFonts w:ascii="Tahoma" w:hAnsi="Tahoma"/>
      <w:sz w:val="20"/>
      <w:lang w:eastAsia="en-US"/>
    </w:rPr>
  </w:style>
  <w:style w:type="paragraph" w:customStyle="1" w:styleId="Car">
    <w:name w:val="Car"/>
    <w:basedOn w:val="Normal"/>
    <w:rsid w:val="00F02465"/>
    <w:pPr>
      <w:spacing w:after="160" w:line="240" w:lineRule="exact"/>
      <w:jc w:val="left"/>
    </w:pPr>
    <w:rPr>
      <w:rFonts w:ascii="Arial" w:hAnsi="Arial" w:cs="Arial"/>
      <w:sz w:val="28"/>
      <w:szCs w:val="28"/>
      <w:lang w:eastAsia="en-US"/>
    </w:rPr>
  </w:style>
  <w:style w:type="character" w:customStyle="1" w:styleId="ringrefselectedheader">
    <w:name w:val="ring_ref_selected_header"/>
    <w:basedOn w:val="DefaultParagraphFont"/>
    <w:rsid w:val="006D74E0"/>
  </w:style>
  <w:style w:type="character" w:customStyle="1" w:styleId="Normal12HangingChar">
    <w:name w:val="Normal12Hanging Char"/>
    <w:link w:val="Normal12Hanging"/>
    <w:rsid w:val="00990461"/>
    <w:rPr>
      <w:sz w:val="24"/>
      <w:lang w:val="fr-FR" w:eastAsia="en-GB" w:bidi="ar-SA"/>
    </w:rPr>
  </w:style>
  <w:style w:type="character" w:customStyle="1" w:styleId="fnChar">
    <w:name w:val="fn Char"/>
    <w:aliases w:val="Footnote Char,Voetnoottekst Char Char,Voetnoottekst Char1 Char,Voetnoottekst Char2 Char Char Char,Voetnoottekst Char Char1 Char Char Char,Podrozdział Char,Podrozdzia3 Char,Footnote text Char,Schriftart: 9 pt Char,Schriftart: 10 pt Char,Char Char"/>
    <w:uiPriority w:val="99"/>
    <w:rsid w:val="00990461"/>
    <w:rPr>
      <w:lang w:val="fr-FR" w:eastAsia="fr-FR" w:bidi="ar-SA"/>
    </w:rPr>
  </w:style>
  <w:style w:type="paragraph" w:customStyle="1" w:styleId="Default">
    <w:name w:val="Default"/>
    <w:rsid w:val="00990461"/>
    <w:pPr>
      <w:autoSpaceDE w:val="0"/>
      <w:autoSpaceDN w:val="0"/>
      <w:adjustRightInd w:val="0"/>
    </w:pPr>
    <w:rPr>
      <w:color w:val="000000"/>
      <w:sz w:val="24"/>
      <w:szCs w:val="24"/>
      <w:lang w:eastAsia="fr-FR"/>
    </w:rPr>
  </w:style>
  <w:style w:type="paragraph" w:customStyle="1" w:styleId="Hanging12">
    <w:name w:val="Hanging12"/>
    <w:basedOn w:val="Normal"/>
    <w:link w:val="Hanging12Char"/>
    <w:rsid w:val="00253F7D"/>
    <w:pPr>
      <w:widowControl w:val="0"/>
      <w:tabs>
        <w:tab w:val="left" w:pos="357"/>
      </w:tabs>
      <w:ind w:left="357" w:hanging="357"/>
      <w:jc w:val="left"/>
    </w:pPr>
    <w:rPr>
      <w:rFonts w:ascii="Times New Roman" w:hAnsi="Times New Roman"/>
    </w:rPr>
  </w:style>
  <w:style w:type="paragraph" w:customStyle="1" w:styleId="ringsteptitle">
    <w:name w:val="ring_step_title"/>
    <w:basedOn w:val="Normal"/>
    <w:rsid w:val="00FF43F0"/>
    <w:pPr>
      <w:spacing w:after="0"/>
      <w:jc w:val="left"/>
    </w:pPr>
    <w:rPr>
      <w:rFonts w:ascii="Arial" w:hAnsi="Arial" w:cs="Arial"/>
      <w:b/>
      <w:bCs/>
      <w:color w:val="666666"/>
      <w:sz w:val="17"/>
      <w:szCs w:val="17"/>
    </w:rPr>
  </w:style>
  <w:style w:type="character" w:customStyle="1" w:styleId="Normal12HangingCarattere">
    <w:name w:val="Normal12Hanging Carattere"/>
    <w:rsid w:val="00577812"/>
    <w:rPr>
      <w:sz w:val="24"/>
      <w:lang w:val="fr-FR" w:eastAsia="en-GB" w:bidi="ar-SA"/>
    </w:rPr>
  </w:style>
  <w:style w:type="character" w:customStyle="1" w:styleId="underline">
    <w:name w:val="underline"/>
    <w:basedOn w:val="DefaultParagraphFont"/>
    <w:rsid w:val="00DA48EF"/>
  </w:style>
  <w:style w:type="character" w:customStyle="1" w:styleId="ctteelong1">
    <w:name w:val="cttee_long1"/>
    <w:rsid w:val="00DA48EF"/>
    <w:rPr>
      <w:b/>
      <w:bCs/>
      <w:color w:val="000000"/>
      <w:sz w:val="25"/>
      <w:szCs w:val="25"/>
    </w:rPr>
  </w:style>
  <w:style w:type="paragraph" w:customStyle="1" w:styleId="CharChar2CharCharCharChar">
    <w:name w:val="Char Char2 Char Char Char Char"/>
    <w:basedOn w:val="Normal"/>
    <w:rsid w:val="00D35B03"/>
    <w:pPr>
      <w:spacing w:after="160" w:line="240" w:lineRule="exact"/>
      <w:jc w:val="left"/>
    </w:pPr>
    <w:rPr>
      <w:rFonts w:ascii="Tahoma" w:hAnsi="Tahoma"/>
      <w:sz w:val="20"/>
      <w:lang w:eastAsia="en-US"/>
    </w:rPr>
  </w:style>
  <w:style w:type="paragraph" w:customStyle="1" w:styleId="CharChar7CharCharCharCharCharCharChar">
    <w:name w:val="Char Char7 Char Char Char Char Char Char Char"/>
    <w:basedOn w:val="Normal"/>
    <w:rsid w:val="00CD730B"/>
    <w:pPr>
      <w:spacing w:after="160" w:line="240" w:lineRule="exact"/>
      <w:jc w:val="left"/>
    </w:pPr>
    <w:rPr>
      <w:rFonts w:ascii="Tahoma" w:hAnsi="Tahoma"/>
      <w:sz w:val="20"/>
      <w:lang w:eastAsia="en-US"/>
    </w:rPr>
  </w:style>
  <w:style w:type="paragraph" w:customStyle="1" w:styleId="Znak">
    <w:name w:val="Znak"/>
    <w:basedOn w:val="Normal"/>
    <w:rsid w:val="00A76EE9"/>
    <w:pPr>
      <w:spacing w:after="160" w:line="240" w:lineRule="exact"/>
      <w:jc w:val="left"/>
    </w:pPr>
    <w:rPr>
      <w:rFonts w:ascii="Tahoma" w:hAnsi="Tahoma"/>
      <w:sz w:val="20"/>
      <w:lang w:eastAsia="en-US"/>
    </w:rPr>
  </w:style>
  <w:style w:type="character" w:customStyle="1" w:styleId="Forte1">
    <w:name w:val="Forte1"/>
    <w:rsid w:val="00386FED"/>
    <w:rPr>
      <w:b/>
      <w:bCs/>
      <w:color w:val="000066"/>
      <w:sz w:val="20"/>
      <w:szCs w:val="20"/>
    </w:rPr>
  </w:style>
  <w:style w:type="character" w:customStyle="1" w:styleId="Hiperligao6">
    <w:name w:val="Hiperligação6"/>
    <w:rsid w:val="00386FED"/>
    <w:rPr>
      <w:color w:val="000066"/>
      <w:sz w:val="20"/>
      <w:szCs w:val="20"/>
      <w:u w:val="single"/>
    </w:rPr>
  </w:style>
  <w:style w:type="character" w:customStyle="1" w:styleId="Text1Car">
    <w:name w:val="Text 1 Car"/>
    <w:rsid w:val="00BD1BAB"/>
    <w:rPr>
      <w:smallCaps/>
      <w:sz w:val="24"/>
      <w:szCs w:val="24"/>
      <w:lang w:val="fr-FR" w:eastAsia="en-GB" w:bidi="ar-SA"/>
    </w:rPr>
  </w:style>
  <w:style w:type="character" w:customStyle="1" w:styleId="bodytext1">
    <w:name w:val="bodytext1"/>
    <w:rsid w:val="00B35BF4"/>
    <w:rPr>
      <w:rFonts w:ascii="Verdana" w:hAnsi="Verdana" w:hint="default"/>
      <w:b w:val="0"/>
      <w:bCs w:val="0"/>
      <w:i w:val="0"/>
      <w:iCs w:val="0"/>
      <w:sz w:val="17"/>
      <w:szCs w:val="17"/>
    </w:rPr>
  </w:style>
  <w:style w:type="paragraph" w:customStyle="1" w:styleId="listdash10">
    <w:name w:val="listdash1"/>
    <w:basedOn w:val="Normal"/>
    <w:rsid w:val="00FD3ECC"/>
    <w:pPr>
      <w:tabs>
        <w:tab w:val="num" w:pos="283"/>
      </w:tabs>
      <w:ind w:left="765" w:hanging="283"/>
    </w:pPr>
    <w:rPr>
      <w:rFonts w:ascii="Times New Roman" w:hAnsi="Times New Roman"/>
      <w:szCs w:val="24"/>
    </w:rPr>
  </w:style>
  <w:style w:type="character" w:customStyle="1" w:styleId="FooterChar">
    <w:name w:val="Footer Char"/>
    <w:link w:val="Footer"/>
    <w:rsid w:val="00634CB5"/>
    <w:rPr>
      <w:rFonts w:ascii="Arial" w:hAnsi="Arial"/>
      <w:sz w:val="16"/>
      <w:lang w:val="fr-FR" w:eastAsia="en-GB" w:bidi="ar-SA"/>
    </w:rPr>
  </w:style>
  <w:style w:type="paragraph" w:customStyle="1" w:styleId="Cover60">
    <w:name w:val="Cover60"/>
    <w:basedOn w:val="Normal"/>
    <w:rsid w:val="009A6382"/>
    <w:pPr>
      <w:widowControl w:val="0"/>
      <w:spacing w:after="1200"/>
      <w:ind w:left="1418"/>
      <w:jc w:val="left"/>
    </w:pPr>
    <w:rPr>
      <w:rFonts w:ascii="Times New Roman" w:hAnsi="Times New Roman"/>
    </w:rPr>
  </w:style>
  <w:style w:type="paragraph" w:customStyle="1" w:styleId="copy">
    <w:name w:val="copy"/>
    <w:basedOn w:val="Normal"/>
    <w:rsid w:val="009A6382"/>
    <w:pPr>
      <w:spacing w:before="100" w:beforeAutospacing="1" w:after="100" w:afterAutospacing="1" w:line="178" w:lineRule="atLeast"/>
      <w:jc w:val="left"/>
    </w:pPr>
    <w:rPr>
      <w:rFonts w:ascii="Verdana" w:hAnsi="Verdana"/>
      <w:color w:val="000000"/>
      <w:sz w:val="14"/>
      <w:szCs w:val="14"/>
      <w:lang w:eastAsia="en-US"/>
    </w:rPr>
  </w:style>
  <w:style w:type="character" w:customStyle="1" w:styleId="ListBulletChar">
    <w:name w:val="List Bullet Char"/>
    <w:rsid w:val="00B36749"/>
    <w:rPr>
      <w:sz w:val="24"/>
      <w:lang w:val="fr-FR" w:eastAsia="en-US" w:bidi="ar-SA"/>
    </w:rPr>
  </w:style>
  <w:style w:type="character" w:customStyle="1" w:styleId="Normal12HangingZnak">
    <w:name w:val="Normal12Hanging Znak"/>
    <w:rsid w:val="006474F2"/>
    <w:rPr>
      <w:sz w:val="24"/>
      <w:lang w:val="fr-FR" w:eastAsia="en-GB" w:bidi="ar-SA"/>
    </w:rPr>
  </w:style>
  <w:style w:type="character" w:customStyle="1" w:styleId="Text2Char1">
    <w:name w:val="Text 2 Char1"/>
    <w:link w:val="Text2"/>
    <w:rsid w:val="006474F2"/>
    <w:rPr>
      <w:rFonts w:ascii="Courier New" w:hAnsi="Courier New"/>
      <w:sz w:val="24"/>
      <w:lang w:val="fr-FR" w:eastAsia="en-GB" w:bidi="ar-SA"/>
    </w:rPr>
  </w:style>
  <w:style w:type="paragraph" w:customStyle="1" w:styleId="Cover24">
    <w:name w:val="Cover24"/>
    <w:basedOn w:val="Normal"/>
    <w:rsid w:val="00CF7345"/>
    <w:pPr>
      <w:widowControl w:val="0"/>
      <w:spacing w:after="480"/>
      <w:ind w:left="1418"/>
      <w:jc w:val="left"/>
    </w:pPr>
    <w:rPr>
      <w:rFonts w:ascii="Times New Roman" w:hAnsi="Times New Roman"/>
    </w:rPr>
  </w:style>
  <w:style w:type="character" w:customStyle="1" w:styleId="verdanaelflight">
    <w:name w:val="verdanaelflight"/>
    <w:basedOn w:val="DefaultParagraphFont"/>
    <w:rsid w:val="0059734D"/>
  </w:style>
  <w:style w:type="character" w:customStyle="1" w:styleId="titlemep">
    <w:name w:val="titlemep"/>
    <w:basedOn w:val="DefaultParagraphFont"/>
    <w:rsid w:val="000975A5"/>
  </w:style>
  <w:style w:type="character" w:customStyle="1" w:styleId="titlemep2">
    <w:name w:val="titlemep2"/>
    <w:basedOn w:val="DefaultParagraphFont"/>
    <w:rsid w:val="000975A5"/>
  </w:style>
  <w:style w:type="paragraph" w:customStyle="1" w:styleId="Normal6">
    <w:name w:val="Normal6"/>
    <w:basedOn w:val="Normal"/>
    <w:link w:val="Normal6Char"/>
    <w:rsid w:val="00A62579"/>
    <w:pPr>
      <w:widowControl w:val="0"/>
      <w:spacing w:after="120"/>
      <w:jc w:val="left"/>
    </w:pPr>
    <w:rPr>
      <w:rFonts w:ascii="Times New Roman" w:hAnsi="Times New Roman"/>
      <w:noProof/>
    </w:rPr>
  </w:style>
  <w:style w:type="character" w:customStyle="1" w:styleId="Normal6Char">
    <w:name w:val="Normal6 Char"/>
    <w:link w:val="Normal6"/>
    <w:rsid w:val="00A62579"/>
    <w:rPr>
      <w:noProof/>
      <w:sz w:val="24"/>
      <w:lang w:val="fr-FR" w:eastAsia="en-GB" w:bidi="ar-SA"/>
    </w:rPr>
  </w:style>
  <w:style w:type="character" w:customStyle="1" w:styleId="ListBulletCharCharChar">
    <w:name w:val="List Bullet Char Char Char"/>
    <w:rsid w:val="00536069"/>
    <w:rPr>
      <w:sz w:val="24"/>
      <w:lang w:val="fr-FR" w:eastAsia="en-US" w:bidi="ar-SA"/>
    </w:rPr>
  </w:style>
  <w:style w:type="paragraph" w:customStyle="1" w:styleId="texte-compact">
    <w:name w:val="texte-compact"/>
    <w:basedOn w:val="Normal"/>
    <w:rsid w:val="00F47793"/>
    <w:pPr>
      <w:spacing w:before="30"/>
      <w:jc w:val="left"/>
    </w:pPr>
    <w:rPr>
      <w:rFonts w:ascii="Times New Roman" w:hAnsi="Times New Roman"/>
      <w:szCs w:val="24"/>
    </w:rPr>
  </w:style>
  <w:style w:type="character" w:customStyle="1" w:styleId="NumPar1Char1">
    <w:name w:val="NumPar 1 Char1"/>
    <w:link w:val="NumPar1"/>
    <w:rsid w:val="00822F9D"/>
    <w:rPr>
      <w:rFonts w:ascii="Courier New" w:hAnsi="Courier New"/>
      <w:sz w:val="24"/>
    </w:rPr>
  </w:style>
  <w:style w:type="paragraph" w:customStyle="1" w:styleId="initial0">
    <w:name w:val="initial"/>
    <w:basedOn w:val="Normal"/>
    <w:rsid w:val="00E01174"/>
    <w:pPr>
      <w:spacing w:after="0"/>
    </w:pPr>
    <w:rPr>
      <w:rFonts w:ascii="Times New Roman" w:hAnsi="Times New Roman"/>
      <w:spacing w:val="-3"/>
      <w:szCs w:val="24"/>
    </w:rPr>
  </w:style>
  <w:style w:type="character" w:customStyle="1" w:styleId="Heading1Char">
    <w:name w:val="Heading 1 Char"/>
    <w:rsid w:val="000A1BDC"/>
    <w:rPr>
      <w:bCs/>
      <w:smallCaps/>
      <w:sz w:val="24"/>
      <w:lang w:val="fr-FR" w:eastAsia="ko-KR" w:bidi="ar-SA"/>
    </w:rPr>
  </w:style>
  <w:style w:type="paragraph" w:customStyle="1" w:styleId="Prliminairetype">
    <w:name w:val="Préliminaire type"/>
    <w:basedOn w:val="Normal"/>
    <w:next w:val="Normal"/>
    <w:rsid w:val="00495658"/>
    <w:pPr>
      <w:spacing w:before="360" w:after="0"/>
      <w:jc w:val="center"/>
    </w:pPr>
    <w:rPr>
      <w:rFonts w:ascii="Times New Roman" w:hAnsi="Times New Roman"/>
      <w:b/>
      <w:szCs w:val="24"/>
      <w:lang w:eastAsia="de-DE"/>
    </w:rPr>
  </w:style>
  <w:style w:type="character" w:customStyle="1" w:styleId="introtext">
    <w:name w:val="introtext"/>
    <w:basedOn w:val="DefaultParagraphFont"/>
    <w:rsid w:val="00FF30F1"/>
  </w:style>
  <w:style w:type="paragraph" w:styleId="ListParagraph">
    <w:name w:val="List Paragraph"/>
    <w:aliases w:val="Numbered Para 1,Dot pt,No Spacing1,List Paragraph Char Char Char,Indicator Text,Bullet 1,List Paragraph1,Bullet Points,MAIN CONTENT,List Paragraph12,F5 List Paragraph,Heading 2_sj,1st level - Bullet List Paragraph,Lettre d'introduction,L"/>
    <w:basedOn w:val="Normal"/>
    <w:link w:val="ListParagraphChar"/>
    <w:uiPriority w:val="34"/>
    <w:qFormat/>
    <w:rsid w:val="001C680C"/>
    <w:pPr>
      <w:spacing w:after="200" w:line="276" w:lineRule="auto"/>
      <w:ind w:left="720"/>
      <w:contextualSpacing/>
      <w:jc w:val="left"/>
    </w:pPr>
    <w:rPr>
      <w:rFonts w:ascii="Calibri" w:eastAsia="Calibri" w:hAnsi="Calibri"/>
      <w:sz w:val="22"/>
      <w:szCs w:val="22"/>
      <w:lang w:eastAsia="en-US"/>
    </w:rPr>
  </w:style>
  <w:style w:type="paragraph" w:customStyle="1" w:styleId="ZDate">
    <w:name w:val="ZDate"/>
    <w:basedOn w:val="Normal"/>
    <w:rsid w:val="00A03CB8"/>
    <w:pPr>
      <w:widowControl w:val="0"/>
      <w:spacing w:after="1200"/>
      <w:jc w:val="left"/>
    </w:pPr>
    <w:rPr>
      <w:rFonts w:ascii="Times New Roman" w:hAnsi="Times New Roman"/>
    </w:rPr>
  </w:style>
  <w:style w:type="character" w:customStyle="1" w:styleId="Heading3Char">
    <w:name w:val="Heading 3 Char"/>
    <w:link w:val="Heading3"/>
    <w:rsid w:val="0067029D"/>
    <w:rPr>
      <w:rFonts w:ascii="Courier New" w:hAnsi="Courier New"/>
      <w:i/>
      <w:sz w:val="24"/>
    </w:rPr>
  </w:style>
  <w:style w:type="character" w:customStyle="1" w:styleId="5NormalChar">
    <w:name w:val="5 Normal Char"/>
    <w:link w:val="5Normal"/>
    <w:rsid w:val="00AB63A6"/>
    <w:rPr>
      <w:rFonts w:ascii="Arial" w:hAnsi="Arial"/>
      <w:spacing w:val="-2"/>
      <w:sz w:val="22"/>
      <w:lang w:val="fr-FR" w:eastAsia="en-GB" w:bidi="ar-SA"/>
    </w:rPr>
  </w:style>
  <w:style w:type="paragraph" w:customStyle="1" w:styleId="Prliminairetitre">
    <w:name w:val="Préliminaire titre"/>
    <w:basedOn w:val="Normal"/>
    <w:next w:val="Normal"/>
    <w:rsid w:val="00E85A91"/>
    <w:pPr>
      <w:spacing w:before="360" w:after="360"/>
      <w:jc w:val="center"/>
    </w:pPr>
    <w:rPr>
      <w:rFonts w:ascii="Times New Roman" w:hAnsi="Times New Roman"/>
      <w:b/>
      <w:szCs w:val="24"/>
      <w:lang w:eastAsia="de-DE"/>
    </w:rPr>
  </w:style>
  <w:style w:type="character" w:customStyle="1" w:styleId="docsubtitlelevel1bis">
    <w:name w:val="doc_subtitle_level1_bis"/>
    <w:basedOn w:val="DefaultParagraphFont"/>
    <w:rsid w:val="00871A9E"/>
  </w:style>
  <w:style w:type="paragraph" w:customStyle="1" w:styleId="a3520normalp5">
    <w:name w:val="a__35__20_normal_p5"/>
    <w:basedOn w:val="Normal"/>
    <w:rsid w:val="00BB7227"/>
    <w:pPr>
      <w:spacing w:after="120"/>
    </w:pPr>
    <w:rPr>
      <w:rFonts w:ascii="Times New Roman" w:hAnsi="Times New Roman"/>
      <w:szCs w:val="24"/>
      <w:lang w:eastAsia="en-US"/>
    </w:rPr>
  </w:style>
  <w:style w:type="paragraph" w:customStyle="1" w:styleId="Considrant">
    <w:name w:val="Considérant"/>
    <w:basedOn w:val="Normal"/>
    <w:rsid w:val="009D3B39"/>
    <w:pPr>
      <w:numPr>
        <w:numId w:val="19"/>
      </w:numPr>
      <w:spacing w:before="120" w:after="120"/>
    </w:pPr>
    <w:rPr>
      <w:rFonts w:ascii="Times New Roman" w:hAnsi="Times New Roman"/>
      <w:lang w:eastAsia="zh-CN"/>
    </w:rPr>
  </w:style>
  <w:style w:type="table" w:styleId="TableGrid1">
    <w:name w:val="Table Grid 1"/>
    <w:basedOn w:val="TableNormal"/>
    <w:rsid w:val="009D1A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THeading2">
    <w:name w:val="AT Heading 2"/>
    <w:basedOn w:val="Normal"/>
    <w:next w:val="Normal"/>
    <w:link w:val="ATHeading2Char"/>
    <w:rsid w:val="004649AB"/>
    <w:pPr>
      <w:spacing w:before="120" w:after="120"/>
      <w:jc w:val="left"/>
      <w:outlineLvl w:val="1"/>
    </w:pPr>
    <w:rPr>
      <w:rFonts w:ascii="Times New Roman" w:hAnsi="Times New Roman"/>
      <w:b/>
      <w:noProof/>
      <w:sz w:val="28"/>
    </w:rPr>
  </w:style>
  <w:style w:type="character" w:customStyle="1" w:styleId="ATHeading2Char">
    <w:name w:val="AT Heading 2 Char"/>
    <w:link w:val="ATHeading2"/>
    <w:rsid w:val="004649AB"/>
    <w:rPr>
      <w:b/>
      <w:noProof/>
      <w:sz w:val="28"/>
      <w:lang w:val="fr-FR" w:eastAsia="en-GB" w:bidi="ar-SA"/>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rsid w:val="004649AB"/>
    <w:pPr>
      <w:spacing w:after="160" w:line="240" w:lineRule="exact"/>
      <w:jc w:val="left"/>
    </w:pPr>
    <w:rPr>
      <w:rFonts w:ascii="Times New Roman" w:hAnsi="Times New Roman"/>
      <w:sz w:val="20"/>
      <w:vertAlign w:val="superscript"/>
    </w:rPr>
  </w:style>
  <w:style w:type="character" w:customStyle="1" w:styleId="singlespaceChar">
    <w:name w:val="single space Char"/>
    <w:aliases w:val="footnote text Char1,Fußnote Char,FOOTNOTES Char, Char Char Char Char,Note de bas de page2 Char,Footnotes Char Char,footnote text Char Char,Footnotes Char1,Char Char Char Char"/>
    <w:locked/>
    <w:rsid w:val="004649AB"/>
    <w:rPr>
      <w:lang w:val="fr-FR" w:eastAsia="en-US" w:bidi="ar-SA"/>
    </w:rPr>
  </w:style>
  <w:style w:type="paragraph" w:customStyle="1" w:styleId="Listenabsatz">
    <w:name w:val="Listenabsatz"/>
    <w:basedOn w:val="Normal"/>
    <w:qFormat/>
    <w:rsid w:val="00316C69"/>
    <w:pPr>
      <w:spacing w:after="200" w:line="276" w:lineRule="auto"/>
      <w:ind w:left="720"/>
      <w:contextualSpacing/>
      <w:jc w:val="left"/>
    </w:pPr>
    <w:rPr>
      <w:rFonts w:ascii="Calibri" w:eastAsia="Calibri" w:hAnsi="Calibri"/>
      <w:sz w:val="22"/>
      <w:szCs w:val="22"/>
      <w:lang w:eastAsia="en-US"/>
    </w:rPr>
  </w:style>
  <w:style w:type="paragraph" w:customStyle="1" w:styleId="Point0">
    <w:name w:val="Point 0"/>
    <w:basedOn w:val="Normal"/>
    <w:rsid w:val="001912E2"/>
    <w:pPr>
      <w:spacing w:before="120" w:after="120"/>
      <w:ind w:left="850" w:hanging="850"/>
    </w:pPr>
    <w:rPr>
      <w:rFonts w:ascii="Times New Roman" w:hAnsi="Times New Roman"/>
      <w:szCs w:val="24"/>
      <w:lang w:eastAsia="de-DE"/>
    </w:rPr>
  </w:style>
  <w:style w:type="character" w:customStyle="1" w:styleId="5NormalCar">
    <w:name w:val="5 Normal Car"/>
    <w:rsid w:val="005951D7"/>
    <w:rPr>
      <w:rFonts w:ascii="Arial" w:hAnsi="Arial"/>
      <w:spacing w:val="-2"/>
      <w:sz w:val="22"/>
      <w:lang w:val="fr-FR" w:eastAsia="en-GB" w:bidi="ar-SA"/>
    </w:rPr>
  </w:style>
  <w:style w:type="paragraph" w:customStyle="1" w:styleId="Briefingspeakdef">
    <w:name w:val="Briefing speak/def"/>
    <w:basedOn w:val="Normal"/>
    <w:rsid w:val="005951D7"/>
    <w:pPr>
      <w:numPr>
        <w:numId w:val="20"/>
      </w:numPr>
      <w:tabs>
        <w:tab w:val="clear" w:pos="765"/>
        <w:tab w:val="num" w:pos="284"/>
      </w:tabs>
      <w:ind w:left="284" w:hanging="284"/>
    </w:pPr>
    <w:rPr>
      <w:rFonts w:ascii="Tahoma" w:hAnsi="Tahoma" w:cs="Tahoma"/>
      <w:sz w:val="40"/>
      <w:szCs w:val="22"/>
      <w:lang w:eastAsia="en-US"/>
    </w:rPr>
  </w:style>
  <w:style w:type="character" w:customStyle="1" w:styleId="NormalWebChar">
    <w:name w:val="Normal (Web) Char"/>
    <w:aliases w:val="webb Char"/>
    <w:rsid w:val="00AB650D"/>
    <w:rPr>
      <w:sz w:val="24"/>
      <w:szCs w:val="24"/>
      <w:lang w:val="fr-FR" w:eastAsia="en-GB" w:bidi="ar-SA"/>
    </w:rPr>
  </w:style>
  <w:style w:type="paragraph" w:customStyle="1" w:styleId="Briefinglist1">
    <w:name w:val="Briefing list 1"/>
    <w:basedOn w:val="Normal"/>
    <w:rsid w:val="007E4EE6"/>
    <w:pPr>
      <w:spacing w:after="0"/>
      <w:jc w:val="left"/>
    </w:pPr>
    <w:rPr>
      <w:rFonts w:ascii="Times New Roman" w:hAnsi="Times New Roman"/>
      <w:szCs w:val="24"/>
    </w:rPr>
  </w:style>
  <w:style w:type="paragraph" w:customStyle="1" w:styleId="Briefingtext">
    <w:name w:val="Briefing text"/>
    <w:basedOn w:val="Normal"/>
    <w:link w:val="BriefingtextChar"/>
    <w:rsid w:val="00217E48"/>
    <w:rPr>
      <w:rFonts w:ascii="Arial" w:hAnsi="Arial" w:cs="Arial"/>
      <w:sz w:val="22"/>
      <w:szCs w:val="24"/>
      <w:lang w:eastAsia="en-US"/>
    </w:rPr>
  </w:style>
  <w:style w:type="character" w:customStyle="1" w:styleId="BriefingtextChar">
    <w:name w:val="Briefing text Char"/>
    <w:link w:val="Briefingtext"/>
    <w:rsid w:val="00217E48"/>
    <w:rPr>
      <w:rFonts w:ascii="Arial" w:hAnsi="Arial" w:cs="Arial"/>
      <w:sz w:val="22"/>
      <w:szCs w:val="24"/>
      <w:lang w:val="fr-FR" w:eastAsia="en-US" w:bidi="ar-SA"/>
    </w:rPr>
  </w:style>
  <w:style w:type="numbering" w:styleId="111111">
    <w:name w:val="Outline List 2"/>
    <w:basedOn w:val="NoList"/>
    <w:rsid w:val="00BC35A6"/>
    <w:pPr>
      <w:numPr>
        <w:numId w:val="21"/>
      </w:numPr>
    </w:pPr>
  </w:style>
  <w:style w:type="character" w:customStyle="1" w:styleId="at11">
    <w:name w:val="a__t11"/>
    <w:rsid w:val="008B3A18"/>
    <w:rPr>
      <w:b/>
      <w:bCs/>
    </w:rPr>
  </w:style>
  <w:style w:type="paragraph" w:customStyle="1" w:styleId="a3520normal">
    <w:name w:val="a___35__20_normal"/>
    <w:basedOn w:val="Normal"/>
    <w:rsid w:val="0069026C"/>
    <w:pPr>
      <w:spacing w:before="30"/>
      <w:jc w:val="left"/>
    </w:pPr>
    <w:rPr>
      <w:rFonts w:ascii="Times New Roman" w:hAnsi="Times New Roman"/>
      <w:sz w:val="20"/>
    </w:rPr>
  </w:style>
  <w:style w:type="character" w:customStyle="1" w:styleId="at1">
    <w:name w:val="a__t1"/>
    <w:basedOn w:val="DefaultParagraphFont"/>
    <w:rsid w:val="00AE7C82"/>
  </w:style>
  <w:style w:type="character" w:customStyle="1" w:styleId="at51">
    <w:name w:val="a__t51"/>
    <w:rsid w:val="00AE7C82"/>
    <w:rPr>
      <w:i/>
      <w:iCs/>
    </w:rPr>
  </w:style>
  <w:style w:type="character" w:customStyle="1" w:styleId="at61">
    <w:name w:val="a__t61"/>
    <w:rsid w:val="00AE7C82"/>
    <w:rPr>
      <w:u w:val="single"/>
    </w:rPr>
  </w:style>
  <w:style w:type="character" w:customStyle="1" w:styleId="at111">
    <w:name w:val="a__t111"/>
    <w:rsid w:val="00AE7C82"/>
    <w:rPr>
      <w:color w:val="000000"/>
    </w:rPr>
  </w:style>
  <w:style w:type="paragraph" w:customStyle="1" w:styleId="Rapporteur">
    <w:name w:val="Rapporteur"/>
    <w:basedOn w:val="Normal"/>
    <w:rsid w:val="00E72F7C"/>
    <w:pPr>
      <w:tabs>
        <w:tab w:val="num" w:pos="540"/>
        <w:tab w:val="left" w:pos="2160"/>
      </w:tabs>
      <w:spacing w:after="120"/>
      <w:ind w:left="540"/>
    </w:pPr>
    <w:rPr>
      <w:rFonts w:ascii="Times New Roman" w:hAnsi="Times New Roman"/>
      <w:szCs w:val="24"/>
      <w:u w:val="single"/>
      <w:lang w:eastAsia="en-US"/>
    </w:rPr>
  </w:style>
  <w:style w:type="paragraph" w:customStyle="1" w:styleId="5normal0">
    <w:name w:val="5normal"/>
    <w:basedOn w:val="Normal"/>
    <w:rsid w:val="00C124C9"/>
    <w:pPr>
      <w:spacing w:before="100" w:beforeAutospacing="1" w:after="100" w:afterAutospacing="1"/>
      <w:jc w:val="left"/>
    </w:pPr>
    <w:rPr>
      <w:rFonts w:ascii="Arial" w:hAnsi="Arial" w:cs="Arial"/>
      <w:sz w:val="20"/>
    </w:rPr>
  </w:style>
  <w:style w:type="character" w:customStyle="1" w:styleId="hps">
    <w:name w:val="hps"/>
    <w:basedOn w:val="DefaultParagraphFont"/>
    <w:rsid w:val="002C30C5"/>
  </w:style>
  <w:style w:type="character" w:customStyle="1" w:styleId="FootnoteTextCharCharCharCharChar1">
    <w:name w:val="Footnote Text Char Char Char Char Char1"/>
    <w:aliases w:val="Footnote Text Char Char Char1,Footnote Text Char Char Char Char Char Char,Footnote Text Char Char Char Char Char Char Char Char Char,Footnote Text Char Char Char Char1,Schriftart: 9 pt Char1,Char1 Char"/>
    <w:uiPriority w:val="99"/>
    <w:locked/>
    <w:rsid w:val="00EA0D59"/>
    <w:rPr>
      <w:lang w:val="fr-FR" w:eastAsia="en-GB" w:bidi="ar-SA"/>
    </w:rPr>
  </w:style>
  <w:style w:type="character" w:customStyle="1" w:styleId="InitialChar">
    <w:name w:val="Initial Char"/>
    <w:link w:val="Initial"/>
    <w:rsid w:val="00FD22F7"/>
    <w:rPr>
      <w:spacing w:val="-3"/>
      <w:sz w:val="24"/>
      <w:lang w:val="fr-FR" w:eastAsia="en-GB" w:bidi="ar-SA"/>
    </w:rPr>
  </w:style>
  <w:style w:type="paragraph" w:customStyle="1" w:styleId="Briefingspdef">
    <w:name w:val="Briefing sp/def"/>
    <w:basedOn w:val="Normal"/>
    <w:rsid w:val="00FD22F7"/>
    <w:pPr>
      <w:keepLines/>
      <w:numPr>
        <w:numId w:val="22"/>
      </w:numPr>
      <w:spacing w:after="480"/>
    </w:pPr>
    <w:rPr>
      <w:rFonts w:ascii="Arial" w:hAnsi="Arial" w:cs="Arial"/>
      <w:sz w:val="48"/>
      <w:szCs w:val="48"/>
    </w:rPr>
  </w:style>
  <w:style w:type="character" w:customStyle="1" w:styleId="titlemep1">
    <w:name w:val="titlemep1"/>
    <w:rsid w:val="00DC0AA5"/>
    <w:rPr>
      <w:rFonts w:ascii="Verdana" w:hAnsi="Verdana" w:hint="default"/>
      <w:b/>
      <w:bCs/>
      <w:color w:val="48452D"/>
      <w:sz w:val="16"/>
      <w:szCs w:val="16"/>
    </w:rPr>
  </w:style>
  <w:style w:type="character" w:customStyle="1" w:styleId="referencenotice">
    <w:name w:val="reference_notice"/>
    <w:basedOn w:val="DefaultParagraphFont"/>
    <w:rsid w:val="007D628A"/>
  </w:style>
  <w:style w:type="character" w:customStyle="1" w:styleId="ephidden1">
    <w:name w:val="ep_hidden1"/>
    <w:rsid w:val="00ED4495"/>
    <w:rPr>
      <w:vanish w:val="0"/>
      <w:webHidden w:val="0"/>
      <w:color w:val="000000"/>
      <w:shd w:val="clear" w:color="auto" w:fill="FFFFFF"/>
      <w:specVanish w:val="0"/>
    </w:rPr>
  </w:style>
  <w:style w:type="character" w:customStyle="1" w:styleId="playersrapportertext1">
    <w:name w:val="players_rapporter_text1"/>
    <w:basedOn w:val="DefaultParagraphFont"/>
    <w:rsid w:val="00151572"/>
  </w:style>
  <w:style w:type="character" w:customStyle="1" w:styleId="apple-converted-space">
    <w:name w:val="apple-converted-space"/>
    <w:basedOn w:val="DefaultParagraphFont"/>
    <w:rsid w:val="00151572"/>
  </w:style>
  <w:style w:type="character" w:customStyle="1" w:styleId="ringrefselectedheader1">
    <w:name w:val="ring_ref_selected_header1"/>
    <w:rsid w:val="00A12CB4"/>
    <w:rPr>
      <w:rFonts w:ascii="Arial" w:hAnsi="Arial" w:cs="Arial" w:hint="default"/>
      <w:b w:val="0"/>
      <w:bCs w:val="0"/>
      <w:strike w:val="0"/>
      <w:dstrike w:val="0"/>
      <w:color w:val="666666"/>
      <w:sz w:val="22"/>
      <w:szCs w:val="22"/>
      <w:u w:val="none"/>
      <w:effect w:val="none"/>
      <w:bdr w:val="single" w:sz="4" w:space="0" w:color="0077BE" w:frame="1"/>
      <w:shd w:val="clear" w:color="auto" w:fill="FFFFFF"/>
    </w:rPr>
  </w:style>
  <w:style w:type="paragraph" w:customStyle="1" w:styleId="briefingspdef0">
    <w:name w:val="briefingspdef"/>
    <w:basedOn w:val="Normal"/>
    <w:rsid w:val="00A12CB4"/>
    <w:pPr>
      <w:spacing w:before="100" w:beforeAutospacing="1" w:after="100" w:afterAutospacing="1"/>
      <w:jc w:val="left"/>
    </w:pPr>
    <w:rPr>
      <w:rFonts w:ascii="Times New Roman" w:hAnsi="Times New Roman"/>
      <w:szCs w:val="24"/>
    </w:rPr>
  </w:style>
  <w:style w:type="character" w:customStyle="1" w:styleId="contentssmallbis1">
    <w:name w:val="contents_small_bis1"/>
    <w:rsid w:val="00801E69"/>
    <w:rPr>
      <w:rFonts w:ascii="Arial" w:hAnsi="Arial" w:cs="Arial" w:hint="default"/>
      <w:b w:val="0"/>
      <w:bCs w:val="0"/>
      <w:color w:val="999999"/>
      <w:sz w:val="24"/>
      <w:szCs w:val="24"/>
    </w:rPr>
  </w:style>
  <w:style w:type="character" w:customStyle="1" w:styleId="auteur">
    <w:name w:val="auteur"/>
    <w:basedOn w:val="DefaultParagraphFont"/>
    <w:rsid w:val="00801E69"/>
  </w:style>
  <w:style w:type="character" w:customStyle="1" w:styleId="reference2">
    <w:name w:val="reference2"/>
    <w:rsid w:val="00402C69"/>
    <w:rPr>
      <w:b/>
      <w:bCs/>
    </w:rPr>
  </w:style>
  <w:style w:type="paragraph" w:customStyle="1" w:styleId="CoverBold">
    <w:name w:val="CoverBold"/>
    <w:basedOn w:val="Normal"/>
    <w:rsid w:val="00023C78"/>
    <w:pPr>
      <w:widowControl w:val="0"/>
      <w:spacing w:after="0"/>
      <w:ind w:left="1418"/>
      <w:jc w:val="left"/>
    </w:pPr>
    <w:rPr>
      <w:rFonts w:ascii="Times New Roman" w:hAnsi="Times New Roman"/>
      <w:b/>
    </w:rPr>
  </w:style>
  <w:style w:type="paragraph" w:customStyle="1" w:styleId="s16">
    <w:name w:val="s16"/>
    <w:basedOn w:val="Normal"/>
    <w:rsid w:val="0093481E"/>
    <w:pPr>
      <w:spacing w:before="100" w:beforeAutospacing="1" w:after="100" w:afterAutospacing="1"/>
      <w:jc w:val="left"/>
    </w:pPr>
    <w:rPr>
      <w:rFonts w:ascii="Times New Roman" w:hAnsi="Times New Roman"/>
      <w:szCs w:val="24"/>
    </w:rPr>
  </w:style>
  <w:style w:type="character" w:customStyle="1" w:styleId="bumpedfont15">
    <w:name w:val="bumpedfont15"/>
    <w:basedOn w:val="DefaultParagraphFont"/>
    <w:rsid w:val="0093481E"/>
  </w:style>
  <w:style w:type="paragraph" w:styleId="NoSpacing">
    <w:name w:val="No Spacing"/>
    <w:link w:val="NoSpacingChar"/>
    <w:uiPriority w:val="1"/>
    <w:qFormat/>
    <w:rsid w:val="005855E7"/>
    <w:rPr>
      <w:rFonts w:ascii="Arial" w:hAnsi="Arial"/>
      <w:sz w:val="22"/>
      <w:szCs w:val="22"/>
      <w:lang w:eastAsia="en-US"/>
    </w:rPr>
  </w:style>
  <w:style w:type="character" w:styleId="HTMLCite">
    <w:name w:val="HTML Cite"/>
    <w:rsid w:val="0050397D"/>
    <w:rPr>
      <w:i w:val="0"/>
      <w:iCs w:val="0"/>
      <w:color w:val="0E774A"/>
    </w:rPr>
  </w:style>
  <w:style w:type="character" w:customStyle="1" w:styleId="Hanging12Char">
    <w:name w:val="Hanging12 Char"/>
    <w:link w:val="Hanging12"/>
    <w:locked/>
    <w:rsid w:val="00E61FC7"/>
    <w:rPr>
      <w:sz w:val="24"/>
      <w:lang w:val="fr-FR" w:eastAsia="en-GB" w:bidi="ar-SA"/>
    </w:rPr>
  </w:style>
  <w:style w:type="paragraph" w:customStyle="1" w:styleId="ZnakZnak">
    <w:name w:val="Znak Znak"/>
    <w:basedOn w:val="Normal"/>
    <w:link w:val="NoList"/>
    <w:rsid w:val="00E61FC7"/>
    <w:pPr>
      <w:spacing w:after="0" w:line="360" w:lineRule="auto"/>
    </w:pPr>
    <w:rPr>
      <w:rFonts w:ascii="Verdana" w:hAnsi="Verdana"/>
      <w:sz w:val="20"/>
      <w:lang w:eastAsia="pl-PL"/>
    </w:rPr>
  </w:style>
  <w:style w:type="character" w:customStyle="1" w:styleId="st">
    <w:name w:val="st"/>
    <w:rsid w:val="00EC3A6B"/>
  </w:style>
  <w:style w:type="character" w:customStyle="1" w:styleId="CommentTextChar">
    <w:name w:val="Comment Text Char"/>
    <w:link w:val="CommentText"/>
    <w:rsid w:val="007726A9"/>
    <w:rPr>
      <w:rFonts w:ascii="Courier New" w:hAnsi="Courier New"/>
      <w:lang w:val="fr-FR" w:eastAsia="en-GB" w:bidi="ar-SA"/>
    </w:rPr>
  </w:style>
  <w:style w:type="character" w:customStyle="1" w:styleId="highlightedsearchterm">
    <w:name w:val="highlightedsearchterm"/>
    <w:rsid w:val="007726A9"/>
  </w:style>
  <w:style w:type="character" w:customStyle="1" w:styleId="iceouttxtcommissiondossiercontenttablecol3-title">
    <w:name w:val="iceouttxt commissiondossiercontenttablecol3-title"/>
    <w:rsid w:val="007726A9"/>
    <w:rPr>
      <w:sz w:val="24"/>
      <w:szCs w:val="24"/>
      <w:bdr w:val="none" w:sz="0" w:space="0" w:color="auto" w:frame="1"/>
      <w:vertAlign w:val="baseline"/>
    </w:rPr>
  </w:style>
  <w:style w:type="character" w:customStyle="1" w:styleId="FootnoteTextCharCarChar">
    <w:name w:val="Footnote Text Char Car Char"/>
    <w:aliases w:val="Fußnotentextf Char,Note de bas de page 1 Char,footnote Char,Voetnoottekst Char Char Char Char Char,Voetnoottekst1 Char,Sprotna opomba - besedilo Znak Znak Znak Char,Sprotna opomba - besedilo Znak Znak Char,Fuﬂnotentextf Char"/>
    <w:uiPriority w:val="99"/>
    <w:qFormat/>
    <w:rsid w:val="00721020"/>
    <w:rPr>
      <w:lang w:val="fr-FR" w:eastAsia="en-GB" w:bidi="ar-SA"/>
    </w:rPr>
  </w:style>
  <w:style w:type="paragraph" w:customStyle="1" w:styleId="intropara">
    <w:name w:val="intropara"/>
    <w:basedOn w:val="Normal"/>
    <w:rsid w:val="009B7E72"/>
    <w:pPr>
      <w:spacing w:before="100" w:beforeAutospacing="1" w:after="100" w:afterAutospacing="1"/>
      <w:ind w:right="612"/>
      <w:jc w:val="left"/>
    </w:pPr>
    <w:rPr>
      <w:rFonts w:ascii="Times New Roman" w:hAnsi="Times New Roman"/>
      <w:b/>
      <w:bCs/>
      <w:szCs w:val="24"/>
    </w:rPr>
  </w:style>
  <w:style w:type="paragraph" w:customStyle="1" w:styleId="ZnakZnak0">
    <w:name w:val="Znak Znak0"/>
    <w:basedOn w:val="Normal"/>
    <w:rsid w:val="002D2D7A"/>
    <w:pPr>
      <w:spacing w:after="0" w:line="360" w:lineRule="auto"/>
    </w:pPr>
    <w:rPr>
      <w:rFonts w:ascii="Verdana" w:hAnsi="Verdana"/>
      <w:sz w:val="20"/>
      <w:lang w:eastAsia="pl-PL"/>
    </w:rPr>
  </w:style>
  <w:style w:type="character" w:customStyle="1" w:styleId="NoSpacingChar">
    <w:name w:val="No Spacing Char"/>
    <w:link w:val="NoSpacing"/>
    <w:uiPriority w:val="1"/>
    <w:locked/>
    <w:rsid w:val="00513CF8"/>
    <w:rPr>
      <w:rFonts w:ascii="Arial" w:hAnsi="Arial"/>
      <w:sz w:val="22"/>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CF192F"/>
    <w:pPr>
      <w:spacing w:after="160" w:line="240" w:lineRule="exact"/>
    </w:pPr>
    <w:rPr>
      <w:rFonts w:ascii="Times New Roman" w:hAnsi="Times New Roman"/>
      <w:sz w:val="20"/>
      <w:vertAlign w:val="superscript"/>
    </w:rPr>
  </w:style>
  <w:style w:type="character" w:customStyle="1" w:styleId="at7">
    <w:name w:val="a__t7"/>
    <w:rsid w:val="00B76067"/>
  </w:style>
  <w:style w:type="paragraph" w:customStyle="1" w:styleId="BVIfnrCarCar">
    <w:name w:val="BVI fnr Car Car"/>
    <w:aliases w:val="BVI fnr Car,BVI fnr Car Car Car Car,BVI fnr Char Char Char Char Char Char Char"/>
    <w:basedOn w:val="Normal"/>
    <w:uiPriority w:val="99"/>
    <w:rsid w:val="003C6D10"/>
    <w:pPr>
      <w:spacing w:before="120" w:after="160" w:line="240" w:lineRule="exact"/>
      <w:jc w:val="left"/>
    </w:pPr>
    <w:rPr>
      <w:rFonts w:ascii="Calibri" w:eastAsia="Calibri" w:hAnsi="Calibri"/>
      <w:sz w:val="22"/>
      <w:szCs w:val="22"/>
      <w:vertAlign w:val="superscript"/>
      <w:lang w:eastAsia="en-US"/>
    </w:rPr>
  </w:style>
  <w:style w:type="paragraph" w:customStyle="1" w:styleId="En-ttedetabledesmatires">
    <w:name w:val="En-tête de table des matières"/>
    <w:basedOn w:val="Normal"/>
    <w:next w:val="Normal"/>
    <w:qFormat/>
    <w:rsid w:val="007C5D8A"/>
    <w:pPr>
      <w:keepNext/>
      <w:spacing w:before="240"/>
      <w:jc w:val="center"/>
    </w:pPr>
    <w:rPr>
      <w:b/>
    </w:rPr>
  </w:style>
  <w:style w:type="paragraph" w:customStyle="1" w:styleId="ColorfulList-Accent11">
    <w:name w:val="Colorful List - Accent 11"/>
    <w:basedOn w:val="Normal"/>
    <w:qFormat/>
    <w:rsid w:val="007C5D8A"/>
    <w:pPr>
      <w:spacing w:after="200" w:line="276" w:lineRule="auto"/>
      <w:ind w:left="720"/>
      <w:contextualSpacing/>
      <w:jc w:val="left"/>
    </w:pPr>
    <w:rPr>
      <w:rFonts w:ascii="Calibri" w:eastAsia="Calibri" w:hAnsi="Calibri"/>
      <w:sz w:val="22"/>
      <w:szCs w:val="22"/>
      <w:lang w:eastAsia="en-US"/>
    </w:rPr>
  </w:style>
  <w:style w:type="paragraph" w:customStyle="1" w:styleId="MediumGrid21">
    <w:name w:val="Medium Grid 21"/>
    <w:link w:val="MediumGrid2Char"/>
    <w:uiPriority w:val="1"/>
    <w:qFormat/>
    <w:rsid w:val="007C5D8A"/>
    <w:rPr>
      <w:rFonts w:ascii="Arial" w:hAnsi="Arial"/>
      <w:sz w:val="22"/>
      <w:szCs w:val="22"/>
      <w:lang w:eastAsia="en-US"/>
    </w:rPr>
  </w:style>
  <w:style w:type="character" w:customStyle="1" w:styleId="MediumGrid2Char">
    <w:name w:val="Medium Grid 2 Char"/>
    <w:link w:val="MediumGrid21"/>
    <w:uiPriority w:val="1"/>
    <w:locked/>
    <w:rsid w:val="007C5D8A"/>
    <w:rPr>
      <w:rFonts w:ascii="Arial" w:hAnsi="Arial"/>
      <w:sz w:val="22"/>
      <w:szCs w:val="22"/>
      <w:lang w:eastAsia="en-US"/>
    </w:rPr>
  </w:style>
  <w:style w:type="character" w:customStyle="1" w:styleId="subcontenttext2">
    <w:name w:val="subcontenttext2"/>
    <w:rsid w:val="007C5D8A"/>
    <w:rPr>
      <w:color w:val="000000"/>
    </w:rPr>
  </w:style>
  <w:style w:type="paragraph" w:customStyle="1" w:styleId="astandard">
    <w:name w:val="a__standard"/>
    <w:basedOn w:val="Normal"/>
    <w:rsid w:val="007C5D8A"/>
    <w:pPr>
      <w:spacing w:after="120"/>
      <w:ind w:right="57"/>
    </w:pPr>
    <w:rPr>
      <w:rFonts w:ascii="Times New Roman" w:hAnsi="Times New Roman"/>
      <w:szCs w:val="24"/>
    </w:rPr>
  </w:style>
  <w:style w:type="paragraph" w:customStyle="1" w:styleId="astandard3520normal">
    <w:name w:val="a_standard__35__20_normal"/>
    <w:basedOn w:val="Normal"/>
    <w:rsid w:val="007C5D8A"/>
    <w:pPr>
      <w:spacing w:after="120"/>
      <w:ind w:right="57"/>
    </w:pPr>
    <w:rPr>
      <w:rFonts w:ascii="Times New Roman" w:hAnsi="Times New Roman"/>
      <w:szCs w:val="24"/>
    </w:rPr>
  </w:style>
  <w:style w:type="paragraph" w:customStyle="1" w:styleId="astandardp1">
    <w:name w:val="a_standard_p1"/>
    <w:basedOn w:val="Normal"/>
    <w:rsid w:val="007C5D8A"/>
    <w:pPr>
      <w:spacing w:after="120"/>
      <w:ind w:right="57"/>
    </w:pPr>
    <w:rPr>
      <w:rFonts w:ascii="Times New Roman" w:hAnsi="Times New Roman"/>
      <w:szCs w:val="24"/>
    </w:rPr>
  </w:style>
  <w:style w:type="paragraph" w:customStyle="1" w:styleId="a3520normalp10">
    <w:name w:val="a__35__20_normal_p10"/>
    <w:basedOn w:val="Normal"/>
    <w:rsid w:val="007C5D8A"/>
    <w:pPr>
      <w:spacing w:after="120"/>
      <w:ind w:right="57"/>
    </w:pPr>
    <w:rPr>
      <w:rFonts w:ascii="Times New Roman" w:hAnsi="Times New Roman"/>
      <w:szCs w:val="24"/>
    </w:rPr>
  </w:style>
  <w:style w:type="paragraph" w:customStyle="1" w:styleId="asous-titre201p11">
    <w:name w:val="a_sous-titre_20_1_p11"/>
    <w:basedOn w:val="Normal"/>
    <w:rsid w:val="007C5D8A"/>
    <w:pPr>
      <w:spacing w:after="120"/>
      <w:ind w:right="57"/>
    </w:pPr>
    <w:rPr>
      <w:rFonts w:ascii="Times New Roman" w:hAnsi="Times New Roman"/>
      <w:b/>
      <w:bCs/>
      <w:szCs w:val="24"/>
    </w:rPr>
  </w:style>
  <w:style w:type="character" w:customStyle="1" w:styleId="at3">
    <w:name w:val="a__t3"/>
    <w:rsid w:val="007C5D8A"/>
  </w:style>
  <w:style w:type="character" w:customStyle="1" w:styleId="at5">
    <w:name w:val="a__t5"/>
    <w:rsid w:val="007C5D8A"/>
  </w:style>
  <w:style w:type="paragraph" w:customStyle="1" w:styleId="CM1">
    <w:name w:val="CM1"/>
    <w:basedOn w:val="Default"/>
    <w:next w:val="Default"/>
    <w:uiPriority w:val="99"/>
    <w:rsid w:val="007C5D8A"/>
    <w:rPr>
      <w:rFonts w:ascii="EUAlbertina" w:hAnsi="EUAlbertina"/>
      <w:color w:val="auto"/>
      <w:lang w:eastAsia="en-GB"/>
    </w:rPr>
  </w:style>
  <w:style w:type="paragraph" w:customStyle="1" w:styleId="CM3">
    <w:name w:val="CM3"/>
    <w:basedOn w:val="Default"/>
    <w:next w:val="Default"/>
    <w:uiPriority w:val="99"/>
    <w:rsid w:val="007C5D8A"/>
    <w:rPr>
      <w:rFonts w:ascii="EUAlbertina" w:hAnsi="EUAlbertina"/>
      <w:color w:val="auto"/>
      <w:lang w:eastAsia="en-GB"/>
    </w:rPr>
  </w:style>
  <w:style w:type="paragraph" w:customStyle="1" w:styleId="CM4">
    <w:name w:val="CM4"/>
    <w:basedOn w:val="Default"/>
    <w:next w:val="Default"/>
    <w:uiPriority w:val="99"/>
    <w:rsid w:val="007C5D8A"/>
    <w:rPr>
      <w:rFonts w:ascii="EUAlbertina" w:hAnsi="EUAlbertina"/>
      <w:color w:val="auto"/>
      <w:lang w:eastAsia="en-GB"/>
    </w:rPr>
  </w:style>
  <w:style w:type="character" w:customStyle="1" w:styleId="st1">
    <w:name w:val="st1"/>
    <w:rsid w:val="007C5D8A"/>
  </w:style>
  <w:style w:type="character" w:customStyle="1" w:styleId="CharacterStyle1">
    <w:name w:val="Character Style 1"/>
    <w:uiPriority w:val="99"/>
    <w:rsid w:val="007C5D8A"/>
    <w:rPr>
      <w:rFonts w:ascii="Arial" w:hAnsi="Arial" w:cs="Arial" w:hint="default"/>
      <w:sz w:val="6"/>
    </w:rPr>
  </w:style>
  <w:style w:type="character" w:customStyle="1" w:styleId="subcontenttextbold2">
    <w:name w:val="subcontenttextbold2"/>
    <w:rsid w:val="007C5D8A"/>
    <w:rPr>
      <w:b/>
      <w:bCs/>
      <w:color w:val="000000"/>
    </w:rPr>
  </w:style>
  <w:style w:type="paragraph" w:styleId="Revision">
    <w:name w:val="Revision"/>
    <w:hidden/>
    <w:uiPriority w:val="99"/>
    <w:semiHidden/>
    <w:rsid w:val="007C5D8A"/>
    <w:rPr>
      <w:rFonts w:ascii="Courier New" w:hAnsi="Courier New"/>
      <w:sz w:val="24"/>
      <w:lang w:eastAsia="en-GB"/>
    </w:rPr>
  </w:style>
  <w:style w:type="paragraph" w:customStyle="1" w:styleId="normal2">
    <w:name w:val="normal2"/>
    <w:basedOn w:val="Normal"/>
    <w:rsid w:val="007C5D8A"/>
    <w:pPr>
      <w:spacing w:before="195" w:after="0"/>
    </w:pPr>
    <w:rPr>
      <w:rFonts w:ascii="Times New Roman" w:hAnsi="Times New Roman"/>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rsid w:val="00E95D68"/>
    <w:pPr>
      <w:spacing w:before="240" w:after="160" w:line="240" w:lineRule="exact"/>
      <w:jc w:val="left"/>
    </w:pPr>
    <w:rPr>
      <w:rFonts w:ascii="Times New Roman" w:hAnsi="Times New Roman"/>
      <w:sz w:val="20"/>
      <w:vertAlign w:val="superscript"/>
    </w:rPr>
  </w:style>
  <w:style w:type="character" w:customStyle="1" w:styleId="PlainTextChar">
    <w:name w:val="Plain Text Char"/>
    <w:link w:val="PlainText"/>
    <w:uiPriority w:val="99"/>
    <w:rsid w:val="00866EEF"/>
    <w:rPr>
      <w:rFonts w:ascii="Courier New" w:hAnsi="Courier New"/>
    </w:rPr>
  </w:style>
  <w:style w:type="character" w:customStyle="1" w:styleId="A5">
    <w:name w:val="A5"/>
    <w:uiPriority w:val="99"/>
    <w:rsid w:val="007F48ED"/>
    <w:rPr>
      <w:rFonts w:cs="EC Square Sans Cond Pro"/>
      <w:color w:val="000000"/>
      <w:sz w:val="22"/>
      <w:szCs w:val="22"/>
    </w:rPr>
  </w:style>
  <w:style w:type="paragraph" w:customStyle="1" w:styleId="Appelnotedebasdep">
    <w:name w:val="Appel note de bas de p"/>
    <w:aliases w:val="Nota,Ref"/>
    <w:basedOn w:val="Normal"/>
    <w:next w:val="Normal"/>
    <w:uiPriority w:val="99"/>
    <w:rsid w:val="008C79B9"/>
    <w:pPr>
      <w:spacing w:after="160" w:line="240" w:lineRule="exact"/>
      <w:jc w:val="left"/>
    </w:pPr>
    <w:rPr>
      <w:rFonts w:ascii="Times New Roman" w:hAnsi="Times New Roman"/>
      <w:sz w:val="20"/>
      <w:vertAlign w:val="superscript"/>
    </w:rPr>
  </w:style>
  <w:style w:type="character" w:customStyle="1" w:styleId="Corpsdutexte5">
    <w:name w:val="Corps du texte (5)_"/>
    <w:link w:val="Corpsdutexte50"/>
    <w:rsid w:val="00096700"/>
    <w:rPr>
      <w:sz w:val="22"/>
      <w:szCs w:val="22"/>
      <w:shd w:val="clear" w:color="auto" w:fill="FFFFFF"/>
    </w:rPr>
  </w:style>
  <w:style w:type="paragraph" w:customStyle="1" w:styleId="Corpsdutexte50">
    <w:name w:val="Corps du texte (5)"/>
    <w:basedOn w:val="Normal"/>
    <w:link w:val="Corpsdutexte5"/>
    <w:rsid w:val="00096700"/>
    <w:pPr>
      <w:widowControl w:val="0"/>
      <w:shd w:val="clear" w:color="auto" w:fill="FFFFFF"/>
      <w:spacing w:before="300" w:after="60" w:line="0" w:lineRule="atLeast"/>
      <w:ind w:hanging="360"/>
      <w:jc w:val="left"/>
    </w:pPr>
    <w:rPr>
      <w:rFonts w:ascii="Times New Roman" w:hAnsi="Times New Roman"/>
      <w:sz w:val="22"/>
      <w:szCs w:val="22"/>
    </w:r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uiPriority w:val="99"/>
    <w:rsid w:val="00D8297C"/>
    <w:pPr>
      <w:spacing w:after="160" w:line="240" w:lineRule="exact"/>
      <w:jc w:val="left"/>
    </w:pPr>
    <w:rPr>
      <w:rFonts w:ascii="Times New Roman" w:hAnsi="Times New Roman"/>
      <w:sz w:val="20"/>
      <w:vertAlign w:val="superscript"/>
    </w:rPr>
  </w:style>
  <w:style w:type="character" w:styleId="EndnoteReference">
    <w:name w:val="endnote reference"/>
    <w:rsid w:val="000B70BC"/>
    <w:rPr>
      <w:vertAlign w:val="superscript"/>
    </w:rPr>
  </w:style>
  <w:style w:type="character" w:customStyle="1" w:styleId="Bodytext29pt">
    <w:name w:val="Body text (2) + 9 pt"/>
    <w:rsid w:val="000B70BC"/>
    <w:rPr>
      <w:rFonts w:ascii="Arial" w:eastAsia="Arial" w:hAnsi="Arial" w:cs="Arial" w:hint="default"/>
      <w:b w:val="0"/>
      <w:bCs w:val="0"/>
      <w:i w:val="0"/>
      <w:iCs w:val="0"/>
      <w:smallCaps w:val="0"/>
      <w:strike w:val="0"/>
      <w:dstrike w:val="0"/>
      <w:color w:val="000000"/>
      <w:spacing w:val="0"/>
      <w:w w:val="100"/>
      <w:position w:val="0"/>
      <w:sz w:val="18"/>
      <w:szCs w:val="18"/>
      <w:u w:val="none"/>
      <w:effect w:val="none"/>
      <w:lang w:val="fr-FR" w:eastAsia="en-US" w:bidi="en-US"/>
    </w:rPr>
  </w:style>
  <w:style w:type="character" w:customStyle="1" w:styleId="EndnoteTextChar">
    <w:name w:val="Endnote Text Char"/>
    <w:link w:val="EndnoteText"/>
    <w:uiPriority w:val="99"/>
    <w:semiHidden/>
    <w:rsid w:val="000B70BC"/>
    <w:rPr>
      <w:rFonts w:ascii="Courier New" w:hAnsi="Courier New"/>
    </w:rPr>
  </w:style>
  <w:style w:type="paragraph" w:customStyle="1" w:styleId="briefingtext0">
    <w:name w:val="briefingtext"/>
    <w:basedOn w:val="Normal"/>
    <w:rsid w:val="00441AFE"/>
    <w:rPr>
      <w:rFonts w:ascii="Arial" w:eastAsia="Calibri" w:hAnsi="Arial" w:cs="Arial"/>
      <w:sz w:val="22"/>
      <w:szCs w:val="22"/>
    </w:rPr>
  </w:style>
  <w:style w:type="character" w:customStyle="1" w:styleId="tgc">
    <w:name w:val="_tgc"/>
    <w:rsid w:val="003B7B24"/>
  </w:style>
  <w:style w:type="character" w:customStyle="1" w:styleId="reference">
    <w:name w:val="reference"/>
    <w:rsid w:val="00E46D65"/>
  </w:style>
  <w:style w:type="character" w:customStyle="1" w:styleId="playerscommitteetext">
    <w:name w:val="players_committee_text"/>
    <w:rsid w:val="00BA139E"/>
  </w:style>
  <w:style w:type="character" w:customStyle="1" w:styleId="playersrapportertext">
    <w:name w:val="players_rapporter_text"/>
    <w:rsid w:val="003F006A"/>
  </w:style>
  <w:style w:type="paragraph" w:customStyle="1" w:styleId="BVIfnr">
    <w:name w:val="BVI fnr Знак Знак"/>
    <w:aliases w:val="BVI fnr Car Car Знак Знак,BVI fnr Char Car Car Car Знак Знак,BVI fnr Char Car Car Car Char Знак Знак,BVI fnr Car Знак Знак,BVI fnr Car Car Car Car Знак Знак,BVI fnr Char Char Знак Знак,ftref,16 Point,R"/>
    <w:basedOn w:val="Normal"/>
    <w:uiPriority w:val="99"/>
    <w:rsid w:val="007848DC"/>
    <w:pPr>
      <w:spacing w:after="160" w:line="240" w:lineRule="exact"/>
      <w:jc w:val="left"/>
    </w:pPr>
    <w:rPr>
      <w:rFonts w:ascii="Calibri" w:eastAsia="Calibri" w:hAnsi="Calibri" w:cs="Arial"/>
      <w:sz w:val="22"/>
      <w:szCs w:val="22"/>
      <w:vertAlign w:val="superscript"/>
      <w:lang w:eastAsia="en-US"/>
    </w:rPr>
  </w:style>
  <w:style w:type="character" w:customStyle="1" w:styleId="epname">
    <w:name w:val="ep_name"/>
    <w:basedOn w:val="DefaultParagraphFont"/>
    <w:rsid w:val="00E4391A"/>
  </w:style>
  <w:style w:type="paragraph" w:customStyle="1" w:styleId="NormalHanging12a">
    <w:name w:val="NormalHanging12a"/>
    <w:basedOn w:val="Normal"/>
    <w:link w:val="NormalHanging12aChar"/>
    <w:rsid w:val="003F3B76"/>
    <w:pPr>
      <w:widowControl w:val="0"/>
      <w:ind w:left="567" w:hanging="567"/>
      <w:jc w:val="left"/>
    </w:pPr>
    <w:rPr>
      <w:rFonts w:ascii="Times New Roman" w:hAnsi="Times New Roman"/>
    </w:rPr>
  </w:style>
  <w:style w:type="character" w:customStyle="1" w:styleId="NormalHanging12aChar">
    <w:name w:val="NormalHanging12a Char"/>
    <w:link w:val="NormalHanging12a"/>
    <w:locked/>
    <w:rsid w:val="003F3B76"/>
    <w:rPr>
      <w:sz w:val="24"/>
      <w:lang w:val="fr-FR" w:eastAsia="en-GB"/>
    </w:rPr>
  </w:style>
  <w:style w:type="character" w:styleId="UnresolvedMention">
    <w:name w:val="Unresolved Mention"/>
    <w:uiPriority w:val="99"/>
    <w:semiHidden/>
    <w:unhideWhenUsed/>
    <w:rsid w:val="00C47899"/>
    <w:rPr>
      <w:color w:val="605E5C"/>
      <w:shd w:val="clear" w:color="auto" w:fill="E1DFDD"/>
    </w:rPr>
  </w:style>
  <w:style w:type="character" w:customStyle="1" w:styleId="ListParagraphChar">
    <w:name w:val="List Paragraph Char"/>
    <w:aliases w:val="Numbered Para 1 Char,Dot pt Char,No Spacing1 Char,List Paragraph Char Char Char Char,Indicator Text Char,Bullet 1 Char,List Paragraph1 Char,Bullet Points Char,MAIN CONTENT Char,List Paragraph12 Char,F5 List Paragraph Char,L Char"/>
    <w:link w:val="ListParagraph"/>
    <w:uiPriority w:val="34"/>
    <w:locked/>
    <w:rsid w:val="005E4B40"/>
    <w:rPr>
      <w:rFonts w:ascii="Calibri" w:eastAsia="Calibri" w:hAnsi="Calibri"/>
      <w:sz w:val="22"/>
      <w:szCs w:val="22"/>
      <w:lang w:val="fr-FR" w:eastAsia="en-US"/>
    </w:rPr>
  </w:style>
  <w:style w:type="paragraph" w:customStyle="1" w:styleId="ep-wysiwigparagraph">
    <w:name w:val="ep-wysiwig_paragraph"/>
    <w:basedOn w:val="Normal"/>
    <w:rsid w:val="005E4B40"/>
    <w:pPr>
      <w:spacing w:before="100" w:beforeAutospacing="1" w:after="100" w:afterAutospacing="1"/>
      <w:jc w:val="left"/>
    </w:pPr>
    <w:rPr>
      <w:rFonts w:ascii="Calibri" w:eastAsia="Calibri" w:hAnsi="Calibri" w:cs="Calibri"/>
      <w:sz w:val="22"/>
      <w:szCs w:val="22"/>
      <w:lang w:eastAsia="en-IE"/>
    </w:rPr>
  </w:style>
  <w:style w:type="character" w:styleId="Mention">
    <w:name w:val="Mention"/>
    <w:uiPriority w:val="99"/>
    <w:unhideWhenUsed/>
    <w:rsid w:val="006974F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89823">
      <w:bodyDiv w:val="1"/>
      <w:marLeft w:val="0"/>
      <w:marRight w:val="0"/>
      <w:marTop w:val="0"/>
      <w:marBottom w:val="0"/>
      <w:divBdr>
        <w:top w:val="none" w:sz="0" w:space="0" w:color="auto"/>
        <w:left w:val="none" w:sz="0" w:space="0" w:color="auto"/>
        <w:bottom w:val="none" w:sz="0" w:space="0" w:color="auto"/>
        <w:right w:val="none" w:sz="0" w:space="0" w:color="auto"/>
      </w:divBdr>
    </w:div>
    <w:div w:id="47339757">
      <w:bodyDiv w:val="1"/>
      <w:marLeft w:val="0"/>
      <w:marRight w:val="0"/>
      <w:marTop w:val="0"/>
      <w:marBottom w:val="0"/>
      <w:divBdr>
        <w:top w:val="none" w:sz="0" w:space="0" w:color="auto"/>
        <w:left w:val="none" w:sz="0" w:space="0" w:color="auto"/>
        <w:bottom w:val="none" w:sz="0" w:space="0" w:color="auto"/>
        <w:right w:val="none" w:sz="0" w:space="0" w:color="auto"/>
      </w:divBdr>
    </w:div>
    <w:div w:id="86121432">
      <w:bodyDiv w:val="1"/>
      <w:marLeft w:val="0"/>
      <w:marRight w:val="0"/>
      <w:marTop w:val="0"/>
      <w:marBottom w:val="0"/>
      <w:divBdr>
        <w:top w:val="none" w:sz="0" w:space="0" w:color="auto"/>
        <w:left w:val="none" w:sz="0" w:space="0" w:color="auto"/>
        <w:bottom w:val="none" w:sz="0" w:space="0" w:color="auto"/>
        <w:right w:val="none" w:sz="0" w:space="0" w:color="auto"/>
      </w:divBdr>
    </w:div>
    <w:div w:id="128671376">
      <w:bodyDiv w:val="1"/>
      <w:marLeft w:val="0"/>
      <w:marRight w:val="0"/>
      <w:marTop w:val="0"/>
      <w:marBottom w:val="0"/>
      <w:divBdr>
        <w:top w:val="none" w:sz="0" w:space="0" w:color="auto"/>
        <w:left w:val="none" w:sz="0" w:space="0" w:color="auto"/>
        <w:bottom w:val="none" w:sz="0" w:space="0" w:color="auto"/>
        <w:right w:val="none" w:sz="0" w:space="0" w:color="auto"/>
      </w:divBdr>
    </w:div>
    <w:div w:id="174541549">
      <w:bodyDiv w:val="1"/>
      <w:marLeft w:val="0"/>
      <w:marRight w:val="0"/>
      <w:marTop w:val="0"/>
      <w:marBottom w:val="0"/>
      <w:divBdr>
        <w:top w:val="none" w:sz="0" w:space="0" w:color="auto"/>
        <w:left w:val="none" w:sz="0" w:space="0" w:color="auto"/>
        <w:bottom w:val="none" w:sz="0" w:space="0" w:color="auto"/>
        <w:right w:val="none" w:sz="0" w:space="0" w:color="auto"/>
      </w:divBdr>
    </w:div>
    <w:div w:id="1544369811">
      <w:bodyDiv w:val="1"/>
      <w:marLeft w:val="0"/>
      <w:marRight w:val="0"/>
      <w:marTop w:val="0"/>
      <w:marBottom w:val="0"/>
      <w:divBdr>
        <w:top w:val="none" w:sz="0" w:space="0" w:color="auto"/>
        <w:left w:val="none" w:sz="0" w:space="0" w:color="auto"/>
        <w:bottom w:val="none" w:sz="0" w:space="0" w:color="auto"/>
        <w:right w:val="none" w:sz="0" w:space="0" w:color="auto"/>
      </w:divBdr>
    </w:div>
    <w:div w:id="1560046068">
      <w:bodyDiv w:val="1"/>
      <w:marLeft w:val="0"/>
      <w:marRight w:val="0"/>
      <w:marTop w:val="0"/>
      <w:marBottom w:val="0"/>
      <w:divBdr>
        <w:top w:val="none" w:sz="0" w:space="0" w:color="auto"/>
        <w:left w:val="none" w:sz="0" w:space="0" w:color="auto"/>
        <w:bottom w:val="none" w:sz="0" w:space="0" w:color="auto"/>
        <w:right w:val="none" w:sz="0" w:space="0" w:color="auto"/>
      </w:divBdr>
    </w:div>
    <w:div w:id="1639265613">
      <w:bodyDiv w:val="1"/>
      <w:marLeft w:val="0"/>
      <w:marRight w:val="0"/>
      <w:marTop w:val="0"/>
      <w:marBottom w:val="0"/>
      <w:divBdr>
        <w:top w:val="none" w:sz="0" w:space="0" w:color="auto"/>
        <w:left w:val="none" w:sz="0" w:space="0" w:color="auto"/>
        <w:bottom w:val="none" w:sz="0" w:space="0" w:color="auto"/>
        <w:right w:val="none" w:sz="0" w:space="0" w:color="auto"/>
      </w:divBdr>
    </w:div>
    <w:div w:id="1717392966">
      <w:bodyDiv w:val="1"/>
      <w:marLeft w:val="0"/>
      <w:marRight w:val="0"/>
      <w:marTop w:val="0"/>
      <w:marBottom w:val="0"/>
      <w:divBdr>
        <w:top w:val="none" w:sz="0" w:space="0" w:color="auto"/>
        <w:left w:val="none" w:sz="0" w:space="0" w:color="auto"/>
        <w:bottom w:val="none" w:sz="0" w:space="0" w:color="auto"/>
        <w:right w:val="none" w:sz="0" w:space="0" w:color="auto"/>
      </w:divBdr>
    </w:div>
    <w:div w:id="202350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op28.com/en/joint-statement-on-climate-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89DDE-6A82-4DF7-9B5C-BEF9BD79F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3984</Words>
  <Characters>21674</Characters>
  <Application>Microsoft Office Word</Application>
  <DocSecurity>0</DocSecurity>
  <PresentationFormat>Microsoft Word 8.0b</PresentationFormat>
  <Lines>333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2024-03-22T15:25:00Z</dcterms:created>
  <dcterms:modified xsi:type="dcterms:W3CDTF">2024-03-22T15:25:00Z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2023-10-26T16:38:36Z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21aefd48-dfce-402a-89b8-53ba97ac9cae</vt:lpwstr>
  </property>
  <property fmtid="{D5CDD505-2E9C-101B-9397-08002B2CF9AE}" pid="8" name="MSIP_Label_6bd9ddd1-4d20-43f6-abfa-fc3c07406f94_ContentBits">
    <vt:lpwstr>0</vt:lpwstr>
  </property>
</Properties>
</file>