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26F12" w14:textId="6136EB4F" w:rsidR="00331DB9" w:rsidRPr="00331DB9" w:rsidRDefault="004A6C66" w:rsidP="00937B00">
      <w:pPr>
        <w:spacing w:after="600"/>
        <w:jc w:val="center"/>
        <w:rPr>
          <w:rFonts w:ascii="Times New Roman" w:hAnsi="Times New Roman"/>
          <w:b/>
        </w:rPr>
      </w:pPr>
      <w:r>
        <w:rPr>
          <w:rFonts w:ascii="Times New Roman" w:hAnsi="Times New Roman"/>
          <w:b/>
        </w:rPr>
        <w:t>Suite donnée à la résolution non législative du Parlement européen sur les jeunes chercheurs</w:t>
      </w:r>
    </w:p>
    <w:p w14:paraId="5B4BBEC8" w14:textId="008D9A3F" w:rsidR="004A6C66" w:rsidRPr="005A00C3" w:rsidRDefault="004A6C66" w:rsidP="00A824B4">
      <w:pPr>
        <w:numPr>
          <w:ilvl w:val="0"/>
          <w:numId w:val="27"/>
        </w:numPr>
        <w:ind w:left="567" w:hanging="567"/>
        <w:rPr>
          <w:rFonts w:ascii="Times New Roman" w:hAnsi="Times New Roman"/>
          <w:b/>
          <w:szCs w:val="24"/>
        </w:rPr>
      </w:pPr>
      <w:r>
        <w:rPr>
          <w:rFonts w:ascii="Times New Roman" w:hAnsi="Times New Roman"/>
          <w:b/>
        </w:rPr>
        <w:t xml:space="preserve">Résolution présentée conformément à l’article 136, paragraphe 5, du règlement intérieur du Parlement européen </w:t>
      </w:r>
    </w:p>
    <w:p w14:paraId="03E2F62C" w14:textId="2AC7EB0F" w:rsidR="004A6C66" w:rsidRDefault="00535D4D" w:rsidP="00A824B4">
      <w:pPr>
        <w:numPr>
          <w:ilvl w:val="0"/>
          <w:numId w:val="27"/>
        </w:numPr>
        <w:ind w:left="567" w:hanging="567"/>
        <w:rPr>
          <w:rFonts w:ascii="Times New Roman" w:hAnsi="Times New Roman"/>
          <w:i/>
          <w:szCs w:val="24"/>
        </w:rPr>
      </w:pPr>
      <w:r>
        <w:rPr>
          <w:rFonts w:ascii="Times New Roman" w:hAnsi="Times New Roman"/>
          <w:b/>
        </w:rPr>
        <w:t xml:space="preserve">Numéros de référence: </w:t>
      </w:r>
      <w:r>
        <w:rPr>
          <w:rFonts w:ascii="Times New Roman" w:hAnsi="Times New Roman"/>
        </w:rPr>
        <w:t>2023/2884 (RSP) / B9-0491/2023 / P9_TA(2023)0482</w:t>
      </w:r>
    </w:p>
    <w:p w14:paraId="350AACFC" w14:textId="77777777" w:rsidR="009F63CE" w:rsidRPr="00FE5B6D" w:rsidRDefault="004A6C66" w:rsidP="00C241B5">
      <w:pPr>
        <w:numPr>
          <w:ilvl w:val="0"/>
          <w:numId w:val="27"/>
        </w:numPr>
        <w:ind w:left="567" w:hanging="567"/>
        <w:rPr>
          <w:rFonts w:ascii="Times New Roman" w:hAnsi="Times New Roman"/>
        </w:rPr>
      </w:pPr>
      <w:r>
        <w:rPr>
          <w:rFonts w:ascii="Times New Roman" w:hAnsi="Times New Roman"/>
          <w:b/>
        </w:rPr>
        <w:t xml:space="preserve">Date d'adoption de la résolution: </w:t>
      </w:r>
      <w:r>
        <w:rPr>
          <w:rFonts w:ascii="Times New Roman" w:hAnsi="Times New Roman"/>
        </w:rPr>
        <w:t>14 décembre 2023</w:t>
      </w:r>
    </w:p>
    <w:p w14:paraId="759AFF75" w14:textId="10265473" w:rsidR="00EC0A27" w:rsidRPr="009F63CE" w:rsidRDefault="00EC0A27" w:rsidP="00A824B4">
      <w:pPr>
        <w:numPr>
          <w:ilvl w:val="0"/>
          <w:numId w:val="27"/>
        </w:numPr>
        <w:ind w:left="567" w:hanging="567"/>
        <w:rPr>
          <w:rFonts w:ascii="Times New Roman" w:hAnsi="Times New Roman"/>
          <w:i/>
          <w:szCs w:val="24"/>
        </w:rPr>
      </w:pPr>
      <w:r>
        <w:rPr>
          <w:rFonts w:ascii="Times New Roman" w:hAnsi="Times New Roman"/>
          <w:b/>
        </w:rPr>
        <w:t>Commission parlementaire compétente:</w:t>
      </w:r>
      <w:r>
        <w:rPr>
          <w:b/>
        </w:rPr>
        <w:t xml:space="preserve"> </w:t>
      </w:r>
      <w:r>
        <w:rPr>
          <w:rFonts w:ascii="Times New Roman" w:hAnsi="Times New Roman"/>
        </w:rPr>
        <w:t>commission de l’industrie, de la recherche et de l’énergie (ITRE)</w:t>
      </w:r>
    </w:p>
    <w:p w14:paraId="0158F065" w14:textId="77777777" w:rsidR="00C241B5" w:rsidRDefault="004A6C66" w:rsidP="007F3652">
      <w:pPr>
        <w:widowControl w:val="0"/>
        <w:numPr>
          <w:ilvl w:val="0"/>
          <w:numId w:val="27"/>
        </w:numPr>
        <w:ind w:left="567" w:hanging="567"/>
        <w:rPr>
          <w:rFonts w:ascii="Times New Roman" w:hAnsi="Times New Roman"/>
          <w:szCs w:val="24"/>
        </w:rPr>
      </w:pPr>
      <w:r>
        <w:rPr>
          <w:rFonts w:ascii="Times New Roman" w:hAnsi="Times New Roman"/>
          <w:b/>
        </w:rPr>
        <w:t>Analyse/évaluation succincte de la résolution et des demandes qu’elle contient:</w:t>
      </w:r>
      <w:r>
        <w:rPr>
          <w:rFonts w:ascii="Times New Roman" w:hAnsi="Times New Roman"/>
        </w:rPr>
        <w:t xml:space="preserve"> </w:t>
      </w:r>
    </w:p>
    <w:p w14:paraId="119EE389" w14:textId="72494E97" w:rsidR="00AE4C5C" w:rsidRPr="00C241B5" w:rsidRDefault="00AE4C5C" w:rsidP="00B6495C">
      <w:pPr>
        <w:widowControl w:val="0"/>
        <w:spacing w:after="120"/>
        <w:rPr>
          <w:rFonts w:ascii="Times New Roman" w:hAnsi="Times New Roman"/>
          <w:szCs w:val="24"/>
        </w:rPr>
      </w:pPr>
      <w:r>
        <w:rPr>
          <w:rFonts w:ascii="Times New Roman" w:hAnsi="Times New Roman"/>
        </w:rPr>
        <w:t>La résolution salue l’ensemble de mesures lancées par la Commission en juillet 2023, notamment sa proposition de recommandation du Conseil relative à un cadre européen pour les carrières dans la recherche, y compris la nouvelle charte du chercheur, et le lancement du site web du cadre européen des compétences pour les chercheurs (ResearchComp). Elle attire ensuite l’attention sur un certain nombre d’aspects pertinents pour l’amélioration des carrières des jeunes chercheurs et des chercheurs en début de carrière.</w:t>
      </w:r>
    </w:p>
    <w:p w14:paraId="22C90B66" w14:textId="0B492F0E" w:rsidR="00AE4C5C" w:rsidRDefault="00AE4C5C" w:rsidP="00B6495C">
      <w:pPr>
        <w:widowControl w:val="0"/>
        <w:spacing w:after="120"/>
        <w:rPr>
          <w:rFonts w:ascii="Times New Roman" w:hAnsi="Times New Roman"/>
          <w:szCs w:val="24"/>
        </w:rPr>
      </w:pPr>
      <w:r>
        <w:rPr>
          <w:rFonts w:ascii="Times New Roman" w:hAnsi="Times New Roman"/>
        </w:rPr>
        <w:t>Dans sa résolution, le Parlement, entre autres choses:</w:t>
      </w:r>
    </w:p>
    <w:p w14:paraId="25A30B60" w14:textId="202C1B39" w:rsidR="00425938" w:rsidRDefault="00425938" w:rsidP="00937B00">
      <w:pPr>
        <w:widowControl w:val="0"/>
        <w:numPr>
          <w:ilvl w:val="0"/>
          <w:numId w:val="34"/>
        </w:numPr>
        <w:spacing w:after="120"/>
        <w:rPr>
          <w:rFonts w:ascii="Times New Roman" w:hAnsi="Times New Roman"/>
          <w:szCs w:val="24"/>
        </w:rPr>
      </w:pPr>
      <w:r>
        <w:rPr>
          <w:rFonts w:ascii="Times New Roman" w:hAnsi="Times New Roman"/>
        </w:rPr>
        <w:t>énumère plusieurs problèmes ayant une incidence sur les carrières des jeunes chercheurs et des chercheurs en début de carrière, et propose des solutions possibles pour des carrières plus attrayantes et plus durables;</w:t>
      </w:r>
    </w:p>
    <w:p w14:paraId="5D1CC61F" w14:textId="4B38BAEA" w:rsidR="00425938" w:rsidRDefault="00425938" w:rsidP="00937B00">
      <w:pPr>
        <w:widowControl w:val="0"/>
        <w:numPr>
          <w:ilvl w:val="0"/>
          <w:numId w:val="34"/>
        </w:numPr>
        <w:spacing w:after="120"/>
        <w:rPr>
          <w:rFonts w:ascii="Times New Roman" w:hAnsi="Times New Roman"/>
          <w:szCs w:val="24"/>
        </w:rPr>
      </w:pPr>
      <w:r>
        <w:rPr>
          <w:rFonts w:ascii="Times New Roman" w:hAnsi="Times New Roman"/>
        </w:rPr>
        <w:t>souligne que le nombre croissant de chercheurs en Europe doit s’accompagner d’une amélioration des conditions d’emploi et de travail, y compris en ce qui concerne la rémunération, le type de contrats, la sécurité sociale, l’égalité entre les hommes et les femmes et un éventail plus large de possibilités dans les différents secteurs et disciplines;</w:t>
      </w:r>
    </w:p>
    <w:p w14:paraId="14FFAD71" w14:textId="4146E94C" w:rsidR="00AE4C5C" w:rsidRDefault="00A45FE1" w:rsidP="00937B00">
      <w:pPr>
        <w:widowControl w:val="0"/>
        <w:numPr>
          <w:ilvl w:val="0"/>
          <w:numId w:val="34"/>
        </w:numPr>
        <w:spacing w:after="120"/>
        <w:rPr>
          <w:rFonts w:ascii="Times New Roman" w:hAnsi="Times New Roman"/>
          <w:szCs w:val="24"/>
        </w:rPr>
      </w:pPr>
      <w:r>
        <w:rPr>
          <w:rFonts w:ascii="Times New Roman" w:hAnsi="Times New Roman"/>
        </w:rPr>
        <w:t>insiste sur la nécessité de disposer de données de qualité afin de pouvoir élaborer des politiques efficaces pour les carrières dans la recherche en Europe et demande la mise en place urgente d’un observatoire des carrières;</w:t>
      </w:r>
    </w:p>
    <w:p w14:paraId="4A51B481" w14:textId="75FD6066" w:rsidR="00672B67" w:rsidRDefault="00672B67" w:rsidP="00937B00">
      <w:pPr>
        <w:widowControl w:val="0"/>
        <w:numPr>
          <w:ilvl w:val="0"/>
          <w:numId w:val="34"/>
        </w:numPr>
        <w:spacing w:after="120"/>
        <w:rPr>
          <w:rFonts w:ascii="Times New Roman" w:hAnsi="Times New Roman"/>
          <w:szCs w:val="24"/>
        </w:rPr>
      </w:pPr>
      <w:r>
        <w:rPr>
          <w:rFonts w:ascii="Times New Roman" w:hAnsi="Times New Roman"/>
        </w:rPr>
        <w:t>souligne la nécessité de s’attaquer au problème de la fuite des cerveaux, tant entre les régions et les États membres en Europe qu’entre l’Europe et les pays tiers, tout en éliminant les obstacles à la mobilité afin de favoriser la circulation des chercheurs et des connaissances;</w:t>
      </w:r>
    </w:p>
    <w:p w14:paraId="1468169A" w14:textId="17ABDBA0" w:rsidR="00E35BB9" w:rsidRDefault="00E35BB9" w:rsidP="00937B00">
      <w:pPr>
        <w:widowControl w:val="0"/>
        <w:numPr>
          <w:ilvl w:val="0"/>
          <w:numId w:val="34"/>
        </w:numPr>
        <w:spacing w:after="120"/>
        <w:rPr>
          <w:rFonts w:ascii="Times New Roman" w:hAnsi="Times New Roman"/>
          <w:szCs w:val="24"/>
        </w:rPr>
      </w:pPr>
      <w:r>
        <w:rPr>
          <w:rFonts w:ascii="Times New Roman" w:hAnsi="Times New Roman"/>
        </w:rPr>
        <w:t>met en évidence l’importance de la mobilité intersectorielle dans toutes les directions;</w:t>
      </w:r>
    </w:p>
    <w:p w14:paraId="2691509E" w14:textId="3CA2CA03" w:rsidR="00672B67" w:rsidRDefault="00672B67" w:rsidP="00937B00">
      <w:pPr>
        <w:widowControl w:val="0"/>
        <w:numPr>
          <w:ilvl w:val="0"/>
          <w:numId w:val="34"/>
        </w:numPr>
        <w:spacing w:after="120"/>
        <w:rPr>
          <w:rFonts w:ascii="Times New Roman" w:hAnsi="Times New Roman"/>
          <w:szCs w:val="24"/>
        </w:rPr>
      </w:pPr>
      <w:r>
        <w:rPr>
          <w:rFonts w:ascii="Times New Roman" w:hAnsi="Times New Roman"/>
        </w:rPr>
        <w:t>note que le financement de la recherche de l’Union est, dans certains cas, utilisé par les États membres pour compenser les réductions des financements nationaux, et demande des investissements nationaux plus élevés;</w:t>
      </w:r>
    </w:p>
    <w:p w14:paraId="4C2CABDB" w14:textId="1A381F52" w:rsidR="006D46A4" w:rsidRDefault="006D46A4" w:rsidP="00937B00">
      <w:pPr>
        <w:widowControl w:val="0"/>
        <w:numPr>
          <w:ilvl w:val="0"/>
          <w:numId w:val="34"/>
        </w:numPr>
        <w:spacing w:after="120"/>
        <w:rPr>
          <w:rFonts w:ascii="Times New Roman" w:hAnsi="Times New Roman"/>
          <w:szCs w:val="24"/>
        </w:rPr>
      </w:pPr>
      <w:r>
        <w:rPr>
          <w:rFonts w:ascii="Times New Roman" w:hAnsi="Times New Roman"/>
        </w:rPr>
        <w:t>souligne que le taux de réussite des régimes de financement d’Horizon Europe reste trop faible et nécessiterait une augmentation du budget d’Horizon Europe, afin de permettre le financement d’un plus grand nombre de projets;</w:t>
      </w:r>
    </w:p>
    <w:p w14:paraId="31875DA3" w14:textId="4A1E3139" w:rsidR="00EF7F06" w:rsidRPr="00112A00" w:rsidRDefault="00DD42F2" w:rsidP="00937B00">
      <w:pPr>
        <w:widowControl w:val="0"/>
        <w:numPr>
          <w:ilvl w:val="0"/>
          <w:numId w:val="34"/>
        </w:numPr>
        <w:spacing w:after="120"/>
        <w:rPr>
          <w:rFonts w:ascii="Times New Roman" w:hAnsi="Times New Roman"/>
          <w:szCs w:val="24"/>
        </w:rPr>
      </w:pPr>
      <w:r>
        <w:rPr>
          <w:rFonts w:ascii="Times New Roman" w:hAnsi="Times New Roman"/>
        </w:rPr>
        <w:t xml:space="preserve">se félicite des initiatives qui favorisent la mise en réseau, la visibilité et la coopération entre les jeunes chercheurs, telles que «EU TalentOn», et demande </w:t>
      </w:r>
      <w:r>
        <w:rPr>
          <w:rFonts w:ascii="Times New Roman" w:hAnsi="Times New Roman"/>
        </w:rPr>
        <w:lastRenderedPageBreak/>
        <w:t>que ces initiatives soient consolidées.</w:t>
      </w:r>
    </w:p>
    <w:p w14:paraId="100322CA" w14:textId="3510A0EF" w:rsidR="00C241B5" w:rsidRPr="00C241B5" w:rsidRDefault="004A6C66" w:rsidP="00E90531">
      <w:pPr>
        <w:widowControl w:val="0"/>
        <w:numPr>
          <w:ilvl w:val="0"/>
          <w:numId w:val="27"/>
        </w:numPr>
        <w:ind w:left="567" w:hanging="567"/>
        <w:rPr>
          <w:rFonts w:ascii="Times New Roman" w:hAnsi="Times New Roman"/>
          <w:bCs/>
          <w:iCs/>
          <w:szCs w:val="24"/>
          <w:u w:val="single"/>
        </w:rPr>
      </w:pPr>
      <w:r>
        <w:rPr>
          <w:rFonts w:ascii="Times New Roman" w:hAnsi="Times New Roman"/>
          <w:b/>
        </w:rPr>
        <w:t>Réponse à ces demandes et aperçu des mesures que la Commission a prises ou envisage de prendre:</w:t>
      </w:r>
    </w:p>
    <w:p w14:paraId="3E8781CC" w14:textId="2A6E6463" w:rsidR="00AE4C5C" w:rsidRPr="00C241B5" w:rsidRDefault="00AE4C5C" w:rsidP="00937B00">
      <w:pPr>
        <w:widowControl w:val="0"/>
        <w:spacing w:after="120"/>
        <w:rPr>
          <w:rFonts w:ascii="Times New Roman" w:hAnsi="Times New Roman"/>
          <w:bCs/>
          <w:iCs/>
          <w:szCs w:val="24"/>
          <w:u w:val="single"/>
        </w:rPr>
      </w:pPr>
      <w:r>
        <w:rPr>
          <w:rFonts w:ascii="Times New Roman" w:hAnsi="Times New Roman"/>
          <w:u w:val="single"/>
        </w:rPr>
        <w:t>Paragraphes 2 et 40</w:t>
      </w:r>
    </w:p>
    <w:p w14:paraId="57E88DDA" w14:textId="4D0DF3B7" w:rsidR="00E568C4" w:rsidRDefault="00E568C4" w:rsidP="00937B00">
      <w:pPr>
        <w:widowControl w:val="0"/>
        <w:spacing w:after="120"/>
        <w:rPr>
          <w:rFonts w:ascii="Times New Roman" w:hAnsi="Times New Roman"/>
          <w:bCs/>
          <w:iCs/>
          <w:szCs w:val="24"/>
        </w:rPr>
      </w:pPr>
      <w:r>
        <w:rPr>
          <w:rFonts w:ascii="Times New Roman" w:hAnsi="Times New Roman"/>
        </w:rPr>
        <w:t>La Commission convient de l’importance de l’existence de données de qualité sur les carrières dans la recherche en Europe, qui peuvent guider les acteurs de la recherche et de l’innovation (R&amp;I) et éclairer l’élaboration de politiques fondées sur des données probantes.</w:t>
      </w:r>
    </w:p>
    <w:p w14:paraId="30E40BA7" w14:textId="4DB00C45" w:rsidR="00E568C4" w:rsidRDefault="00E568C4" w:rsidP="00937B00">
      <w:pPr>
        <w:widowControl w:val="0"/>
        <w:spacing w:after="120"/>
        <w:rPr>
          <w:rFonts w:ascii="Times New Roman" w:hAnsi="Times New Roman"/>
          <w:bCs/>
          <w:iCs/>
          <w:szCs w:val="24"/>
        </w:rPr>
      </w:pPr>
      <w:r>
        <w:rPr>
          <w:rFonts w:ascii="Times New Roman" w:hAnsi="Times New Roman"/>
        </w:rPr>
        <w:t>La Commission mettra en place un observatoire des carrières dans le domaine de la recherche et de l’innovation en partenariat avec l’Organisation de coopération et de développement économiques (OCDE). Il s’agira d’un projet d’une durée de six ans qui s’inscrira dans le cadre du programme de travail WIDERA (</w:t>
      </w:r>
      <w:r>
        <w:rPr>
          <w:rFonts w:ascii="Times New Roman" w:hAnsi="Times New Roman"/>
          <w:i/>
          <w:iCs/>
        </w:rPr>
        <w:t>Widening participation and strengthening the European Research Area</w:t>
      </w:r>
      <w:r>
        <w:rPr>
          <w:rFonts w:ascii="Times New Roman" w:hAnsi="Times New Roman"/>
        </w:rPr>
        <w:t xml:space="preserve"> - Élargir la participation et renforcer l’espace européen de la recherche)</w:t>
      </w:r>
      <w:r w:rsidR="003B3E5C">
        <w:rPr>
          <w:rStyle w:val="FootnoteReference"/>
          <w:rFonts w:ascii="Times New Roman" w:hAnsi="Times New Roman"/>
          <w:bCs/>
          <w:iCs/>
          <w:szCs w:val="24"/>
          <w:lang w:val="en-IE"/>
        </w:rPr>
        <w:footnoteReference w:id="1"/>
      </w:r>
      <w:r>
        <w:rPr>
          <w:rFonts w:ascii="Times New Roman" w:hAnsi="Times New Roman"/>
        </w:rPr>
        <w:t xml:space="preserve"> d’Horizon Europe, dont les premières données sont attendues en 2024, puis sur une base annuelle. Sur le plan conceptuel, l’observatoire suivra trois dimensions des carrières dans la recherche: (i) les compétences et la formation, (ii) les emplois dans la recherche et (iii) la mobilité et les échanges.</w:t>
      </w:r>
    </w:p>
    <w:p w14:paraId="7E3384B0" w14:textId="0C606C27" w:rsidR="00253B21" w:rsidRPr="00253B21" w:rsidRDefault="00253B21" w:rsidP="00937B00">
      <w:pPr>
        <w:widowControl w:val="0"/>
        <w:spacing w:after="120"/>
        <w:rPr>
          <w:rFonts w:ascii="Times New Roman" w:hAnsi="Times New Roman"/>
          <w:bCs/>
          <w:iCs/>
          <w:szCs w:val="24"/>
        </w:rPr>
      </w:pPr>
      <w:r>
        <w:rPr>
          <w:rFonts w:ascii="Times New Roman" w:hAnsi="Times New Roman"/>
        </w:rPr>
        <w:t>L’observatoire rassemblera en un seul endroit toutes les données existantes sur les carrières dans la recherche et, en raison de la durée du projet, répondra également de manière durable à toute lacune en matière de données. Par exemple, l’observatoire vise la coopération et la coordination avec les agences statistiques nationales afin que la collecte de données puisse être ciblée sur les besoins de la communauté de la R&amp;I.</w:t>
      </w:r>
    </w:p>
    <w:p w14:paraId="0658ED97" w14:textId="011AB026" w:rsidR="00DA7520" w:rsidRDefault="00DA7520" w:rsidP="00937B00">
      <w:pPr>
        <w:widowControl w:val="0"/>
        <w:spacing w:after="120"/>
        <w:rPr>
          <w:rFonts w:ascii="Times New Roman" w:hAnsi="Times New Roman"/>
          <w:bCs/>
          <w:iCs/>
          <w:szCs w:val="24"/>
          <w:u w:val="single"/>
        </w:rPr>
      </w:pPr>
      <w:r>
        <w:rPr>
          <w:rFonts w:ascii="Times New Roman" w:hAnsi="Times New Roman"/>
          <w:u w:val="single"/>
        </w:rPr>
        <w:t>Paragraphes 3, 4 et 24</w:t>
      </w:r>
    </w:p>
    <w:p w14:paraId="2282E717" w14:textId="0BE61D45" w:rsidR="00833D13" w:rsidRDefault="00833D13" w:rsidP="00937B00">
      <w:pPr>
        <w:widowControl w:val="0"/>
        <w:spacing w:after="120"/>
        <w:rPr>
          <w:rFonts w:ascii="Times New Roman" w:hAnsi="Times New Roman"/>
          <w:bCs/>
          <w:iCs/>
          <w:szCs w:val="24"/>
        </w:rPr>
      </w:pPr>
      <w:r>
        <w:rPr>
          <w:rFonts w:ascii="Times New Roman" w:hAnsi="Times New Roman"/>
        </w:rPr>
        <w:t>La Commission convient qu’il importe d’éviter la fuite des cerveaux, en particulier vers les pays tiers, tout en soulignant l’importance d’une circulation équilibrée des talents, ainsi que d’une mobilité et d’échanges équilibrés.</w:t>
      </w:r>
    </w:p>
    <w:p w14:paraId="4B5F9EB7" w14:textId="77E45A13" w:rsidR="00CB334B" w:rsidRDefault="000E15B4" w:rsidP="00937B00">
      <w:pPr>
        <w:widowControl w:val="0"/>
        <w:spacing w:after="120"/>
        <w:rPr>
          <w:rFonts w:ascii="Times New Roman" w:hAnsi="Times New Roman"/>
          <w:bCs/>
          <w:iCs/>
          <w:szCs w:val="24"/>
        </w:rPr>
      </w:pPr>
      <w:r>
        <w:rPr>
          <w:rFonts w:ascii="Times New Roman" w:hAnsi="Times New Roman"/>
        </w:rPr>
        <w:t>Il importe dès lors d’aborder la question de la fuite des cerveaux de manière globale et durable, plutôt que par des actions à court terme qui ne s’attaquent pas aux causes profondes du problème. La fuite des cerveaux est une question complexe, due à l’interaction de plusieurs facteurs, notamment des environnements de recherche peu attrayants et des conditions de travail inadéquates, qui nécessitent des réformes systémiques.</w:t>
      </w:r>
    </w:p>
    <w:p w14:paraId="2E8C1859" w14:textId="5BA09A48" w:rsidR="0005261E" w:rsidRPr="00CB334B" w:rsidRDefault="0005261E" w:rsidP="00937B00">
      <w:pPr>
        <w:widowControl w:val="0"/>
        <w:spacing w:after="120"/>
        <w:rPr>
          <w:rFonts w:ascii="Times New Roman" w:hAnsi="Times New Roman"/>
          <w:bCs/>
          <w:iCs/>
          <w:szCs w:val="24"/>
        </w:rPr>
      </w:pPr>
      <w:r>
        <w:rPr>
          <w:rFonts w:ascii="Times New Roman" w:hAnsi="Times New Roman"/>
        </w:rPr>
        <w:t xml:space="preserve">La recommandation du Conseil relative à un cadre européen pour attirer et retenir les chercheurs, l’innovation et les entrepreneurs talentueux en Europe, récemment adoptée, contribuera de manière importante à la résolution de la question de la fuite des cerveaux de manière durable et à long terme, car elle comprend des mesures visant à améliorer les systèmes nationaux et européens de R&amp;I et à les rendre plus attrayants. La recommandation du Conseil devrait être considérée conjointement avec toutes les autres initiatives en cours d’élaboration ou de mise en œuvre dans le cadre de l’action 4 du programme stratégique 2022-2024 de l’espace européen de la recherche (EER), qui contribuera à une circulation plus équilibrée des talents en Europe et au maintien des chercheurs en Europe. De ce point de vue, la Commission a récemment lancé, dans le cadre du mécanisme de soutien aux politiques d’Horizon Europe, un exercice d’apprentissage mutuel axé sur des carrières dans la recherche plus attrayantes et plus durables et sur une circulation plus équilibrée des talents, qui permettra aux États </w:t>
      </w:r>
      <w:r>
        <w:rPr>
          <w:rFonts w:ascii="Times New Roman" w:hAnsi="Times New Roman"/>
        </w:rPr>
        <w:lastRenderedPageBreak/>
        <w:t>membres de tirer des enseignements des exemples et des bonnes pratiques de chacun.</w:t>
      </w:r>
    </w:p>
    <w:p w14:paraId="25CD75C4" w14:textId="60246827" w:rsidR="000112E9" w:rsidRDefault="000112E9" w:rsidP="00937B00">
      <w:pPr>
        <w:widowControl w:val="0"/>
        <w:spacing w:after="120"/>
        <w:rPr>
          <w:rFonts w:ascii="Times New Roman" w:hAnsi="Times New Roman"/>
          <w:bCs/>
          <w:iCs/>
          <w:szCs w:val="24"/>
          <w:u w:val="single"/>
        </w:rPr>
      </w:pPr>
      <w:r>
        <w:rPr>
          <w:rFonts w:ascii="Times New Roman" w:hAnsi="Times New Roman"/>
          <w:u w:val="single"/>
        </w:rPr>
        <w:t>Paragraphes 6, 10, 12, 39, 43 et 44</w:t>
      </w:r>
    </w:p>
    <w:p w14:paraId="70FBE407" w14:textId="37736175" w:rsidR="004309DD" w:rsidRDefault="004F4C70" w:rsidP="00937B00">
      <w:pPr>
        <w:widowControl w:val="0"/>
        <w:spacing w:after="120"/>
        <w:rPr>
          <w:rFonts w:ascii="Times New Roman" w:hAnsi="Times New Roman"/>
          <w:bCs/>
          <w:iCs/>
          <w:szCs w:val="24"/>
        </w:rPr>
      </w:pPr>
      <w:r>
        <w:rPr>
          <w:rFonts w:ascii="Times New Roman" w:hAnsi="Times New Roman"/>
        </w:rPr>
        <w:t>La Commission partage l’avis selon lequel les chercheurs constituent l’élément fondamental d’un système compétitif de R&amp;I en Europe; il est donc essentiel de mettre en place toutes les conditions-cadres nécessaires pour rendre leur carrière plus attrayante, en accordant une attention particulière aux jeunes chercheurs et aux chercheurs en début de carrière.</w:t>
      </w:r>
    </w:p>
    <w:p w14:paraId="606E869D" w14:textId="6D1AB78B" w:rsidR="005C6D7D" w:rsidRDefault="005C6D7D" w:rsidP="00937B00">
      <w:pPr>
        <w:widowControl w:val="0"/>
        <w:spacing w:after="120"/>
        <w:rPr>
          <w:rFonts w:ascii="Times New Roman" w:hAnsi="Times New Roman"/>
          <w:bCs/>
          <w:iCs/>
          <w:szCs w:val="24"/>
        </w:rPr>
      </w:pPr>
      <w:r>
        <w:rPr>
          <w:rFonts w:ascii="Times New Roman" w:hAnsi="Times New Roman"/>
        </w:rPr>
        <w:t>La recommandation du Conseil relative à un cadre européen pour attirer et retenir les chercheurs, l’innovation et les entrepreneurs talentueux en Europe est le résultat d’une approche très complète adoptée par la Commission en termes de contenu et de cocréation avec toutes les parties prenantes concernées.</w:t>
      </w:r>
    </w:p>
    <w:p w14:paraId="2128F385" w14:textId="459FAE58" w:rsidR="00A81734" w:rsidRDefault="005C6D7D" w:rsidP="00937B00">
      <w:pPr>
        <w:widowControl w:val="0"/>
        <w:spacing w:after="120"/>
        <w:rPr>
          <w:rFonts w:ascii="Times New Roman" w:hAnsi="Times New Roman"/>
          <w:bCs/>
          <w:iCs/>
          <w:szCs w:val="24"/>
        </w:rPr>
      </w:pPr>
      <w:r>
        <w:rPr>
          <w:rFonts w:ascii="Times New Roman" w:hAnsi="Times New Roman"/>
        </w:rPr>
        <w:t>Du point de vue du contenu, la recommandation du Conseil aborde les principaux défis des carrières dans la recherche en Europe, en couvrant tous les secteurs de la société dans lesquels les chercheurs peuvent apporter leur valeur ajoutée et en prévoyant des dispositions spécifiques en faveur des jeunes chercheurs et des chercheurs en début de carrière. Les dispositions portent sur des aspects fondamentaux tels que la définition des chercheurs et autres professionnels de la recherche, la reconnaissance des professions de la recherche, ainsi que l’interopérabilité et la comparabilité des carrières dans la recherche entre les secteurs et les États membres, les conditions de recrutement et de travail, y compris les aspects liés au recrutement ouvert, transparent et fondé sur le mérite et à la sécurité sociale, Les compétences des chercheurs pour favoriser les carrières intersectorielles et interdisciplinaires, l’évolution et la progression de carrière, une circulation équilibrée des talents, les actions de soutien aux carrières dans la recherche, et le suivi des carrières dans le domaine de la R&amp;I par l’intermédiaire d’un observatoire spécifique qui sera mis sur pied en partenariat avec l’OCDE.</w:t>
      </w:r>
    </w:p>
    <w:p w14:paraId="45FB918E" w14:textId="3CB6D2A3" w:rsidR="002C11A0" w:rsidRDefault="008612A3" w:rsidP="00937B00">
      <w:pPr>
        <w:widowControl w:val="0"/>
        <w:spacing w:after="120"/>
        <w:rPr>
          <w:rFonts w:ascii="Times New Roman" w:hAnsi="Times New Roman"/>
          <w:bCs/>
          <w:iCs/>
          <w:szCs w:val="24"/>
        </w:rPr>
      </w:pPr>
      <w:r>
        <w:rPr>
          <w:rFonts w:ascii="Times New Roman" w:hAnsi="Times New Roman"/>
        </w:rPr>
        <w:t>La recommandation du Conseil et la nouvelle charte reconnaissent qu’il importe de s’attaquer aux problèmes de précarité, en encourageant, d’une part, la limitation du recours aux contrats à durée déterminée et, d’autre part, en encourageant les services de soutien et de développement de carrière, afin de garantir l’employabilité continue des jeunes chercheurs et des chercheurs en début de carrière. En outre, il est recommandé d’offrir une rémunération proportionnée, de garantir un équilibre entre vie professionnelle et vie privée permettant de combiner vie professionnelle et vie privée, et de promouvoir la participation des chercheurs en début de carrière aux équipes de recherche jouant un rôle significatif.</w:t>
      </w:r>
    </w:p>
    <w:p w14:paraId="35003267" w14:textId="686AA8FC" w:rsidR="005C6D7D" w:rsidRPr="006C6A31" w:rsidRDefault="00AA70C5" w:rsidP="006C6A31">
      <w:pPr>
        <w:autoSpaceDE w:val="0"/>
        <w:autoSpaceDN w:val="0"/>
        <w:adjustRightInd w:val="0"/>
        <w:spacing w:after="120"/>
        <w:rPr>
          <w:rFonts w:ascii="Times New Roman" w:hAnsi="Times New Roman"/>
          <w:bCs/>
          <w:iCs/>
          <w:szCs w:val="24"/>
        </w:rPr>
      </w:pPr>
      <w:r>
        <w:rPr>
          <w:rFonts w:ascii="Times New Roman" w:hAnsi="Times New Roman"/>
        </w:rPr>
        <w:t>En outre, il importe de souligner que la recommandation du Conseil introduit la nouvelle charte du chercheur afin de favoriser de meilleures conditions de travail et de carrière pour les chercheurs tout au long de leur vie professionnelle, et qu’elle traite à la fois des sciences, des technologies, de l’ingénierie et des mathématiques (STIM) et des sciences sociales et humaines (SSH), afin de rendre les carrières dans la recherche plus attrayantes, quelle que soit la discipline.</w:t>
      </w:r>
    </w:p>
    <w:p w14:paraId="3E8B7C1E" w14:textId="252D63BA" w:rsidR="000B60D3" w:rsidRDefault="000B60D3" w:rsidP="00937B00">
      <w:pPr>
        <w:widowControl w:val="0"/>
        <w:spacing w:after="120"/>
        <w:rPr>
          <w:rFonts w:ascii="Times New Roman" w:hAnsi="Times New Roman"/>
          <w:bCs/>
          <w:iCs/>
          <w:szCs w:val="24"/>
        </w:rPr>
      </w:pPr>
      <w:r>
        <w:rPr>
          <w:rFonts w:ascii="Times New Roman" w:hAnsi="Times New Roman"/>
        </w:rPr>
        <w:t>Du point de vue du processus d’adoption de la proposition de recommandation du Conseil présentée par la Commission, il convient de noter que celle-ci a fait suite à de vastes consultations avec tous les acteurs concernés, notamment dans le cadre du forum de l’EER. Cela inclut également le groupe de parties prenantes représentant les chercheurs.</w:t>
      </w:r>
    </w:p>
    <w:p w14:paraId="7FF53643" w14:textId="4113C4C0" w:rsidR="000B60D3" w:rsidRPr="005C6D7D" w:rsidRDefault="000B60D3" w:rsidP="00937B00">
      <w:pPr>
        <w:widowControl w:val="0"/>
        <w:spacing w:after="120"/>
        <w:rPr>
          <w:rFonts w:ascii="Times New Roman" w:hAnsi="Times New Roman"/>
          <w:bCs/>
          <w:iCs/>
          <w:szCs w:val="24"/>
        </w:rPr>
      </w:pPr>
      <w:r>
        <w:rPr>
          <w:rFonts w:ascii="Times New Roman" w:hAnsi="Times New Roman"/>
        </w:rPr>
        <w:t xml:space="preserve">La Commission tient à souligner que la recommandation du Conseil fait partie d’un train de mesures plus large visant à soutenir l’attrait des carrières dans la recherche, en particulier pour les jeunes chercheurs et les chercheurs en début de carrière. Ce train de mesures comprend des outils pour la mise en œuvre des dispositions de la </w:t>
      </w:r>
      <w:r>
        <w:rPr>
          <w:rFonts w:ascii="Times New Roman" w:hAnsi="Times New Roman"/>
        </w:rPr>
        <w:lastRenderedPageBreak/>
        <w:t>recommandation du Conseil (tels que ResearchComp, la charte du chercheur, EURAXESS, la plateforme des talents de l’EER, RESAVER - le fonds de pension paneuropéen pour les chercheurs, l’Observatoire des carrières dans la R&amp;I), un changement culturel favorisé par la réforme de la recherche et de l’évaluation des chercheurs et traité à ce stade par la coalition pour l’amélioration de l’évaluation de la recherche (Coalition for Advancing Research Assessment - CoARA), ainsi qu’un volet d’investissements. Ce dernier sera lancé par un appel pilote d’Horizon Europe en 2024 dans le but de constituer des consortiums intersectoriels au sein desquels les partenaires unissent leurs forces pour mettre en œuvre les aspects pertinents de la recommandation du Conseil et de la nouvelle charte du chercheur, en mettant particulièrement l’accent sur les chercheurs en début de carrière.</w:t>
      </w:r>
    </w:p>
    <w:p w14:paraId="1DDDE4D5" w14:textId="240986DE" w:rsidR="00DA7520" w:rsidRPr="00CC7328" w:rsidRDefault="004B2C50" w:rsidP="00937B00">
      <w:pPr>
        <w:widowControl w:val="0"/>
        <w:spacing w:after="120"/>
        <w:rPr>
          <w:rFonts w:ascii="Times New Roman" w:hAnsi="Times New Roman"/>
          <w:bCs/>
          <w:iCs/>
          <w:szCs w:val="24"/>
          <w:u w:val="single"/>
        </w:rPr>
      </w:pPr>
      <w:r>
        <w:rPr>
          <w:rFonts w:ascii="Times New Roman" w:hAnsi="Times New Roman"/>
          <w:u w:val="single"/>
        </w:rPr>
        <w:t>Paragraphes 8 et 9</w:t>
      </w:r>
    </w:p>
    <w:p w14:paraId="13E9C051" w14:textId="55D64D85" w:rsidR="004309DD" w:rsidRDefault="004309DD" w:rsidP="00937B00">
      <w:pPr>
        <w:widowControl w:val="0"/>
        <w:spacing w:after="120"/>
        <w:rPr>
          <w:rFonts w:ascii="Times New Roman" w:hAnsi="Times New Roman"/>
          <w:bCs/>
          <w:iCs/>
          <w:szCs w:val="24"/>
        </w:rPr>
      </w:pPr>
      <w:r>
        <w:rPr>
          <w:rFonts w:ascii="Times New Roman" w:hAnsi="Times New Roman"/>
        </w:rPr>
        <w:t>La Commission partage l’avis selon lequel des initiatives telles que «EU TalentOn» sont extrêmement importantes pour promouvoir la mise en réseau, la visibilité et la coopération entre les jeunes chercheurs et pour renforcer l’attractivité des carrières dans la recherche.</w:t>
      </w:r>
    </w:p>
    <w:p w14:paraId="709C6DE7" w14:textId="010D89FE" w:rsidR="00EA3A5E" w:rsidRDefault="004309DD" w:rsidP="00937B00">
      <w:pPr>
        <w:widowControl w:val="0"/>
        <w:spacing w:after="120"/>
        <w:rPr>
          <w:rFonts w:ascii="Times New Roman" w:hAnsi="Times New Roman"/>
          <w:bCs/>
          <w:iCs/>
          <w:szCs w:val="24"/>
        </w:rPr>
      </w:pPr>
      <w:r>
        <w:rPr>
          <w:rFonts w:ascii="Times New Roman" w:hAnsi="Times New Roman"/>
        </w:rPr>
        <w:t>La Commission a piloté le «EU TalentOn» en 2022, mettant au défi des chercheurs en début de carrière (âgés de 21 à 35 ans) de trouver des solutions à certains de nos plus grands problèmes, dans le but de combler le fossé entre les jeunes talents universitaires, les sciences et l’industrie. Étant donné que la première édition de l’initiative, qui a eu lieu à la mi-septembre 2022 à Leiden, ville européenne de la science en 2022, a remporté un franc succès, avec plus de 730 candidats issus de 34 pays, une deuxième édition sera organisée dans le cadre de la ville européenne de science de Katowice 2024.</w:t>
      </w:r>
    </w:p>
    <w:p w14:paraId="2CC1BB0F" w14:textId="1C87AA79" w:rsidR="00594E6F" w:rsidRPr="004309DD" w:rsidRDefault="00594E6F" w:rsidP="00937B00">
      <w:pPr>
        <w:widowControl w:val="0"/>
        <w:spacing w:after="120"/>
        <w:rPr>
          <w:rFonts w:ascii="Times New Roman" w:hAnsi="Times New Roman"/>
          <w:bCs/>
          <w:iCs/>
          <w:szCs w:val="24"/>
        </w:rPr>
      </w:pPr>
      <w:r>
        <w:rPr>
          <w:rFonts w:ascii="Times New Roman" w:hAnsi="Times New Roman"/>
        </w:rPr>
        <w:t>L’association Marie Curie Alumni Association (MCAA), créée il y a dix ans et rassemblant des étudiants du monde entier, est également un réseau essentiel qui mobilise une vaste communauté de chercheurs, qui ont bénéficié du programme et continuent de collaborer sur un large éventail de sujets par-delà les disciplines et les frontières géographiques.</w:t>
      </w:r>
    </w:p>
    <w:p w14:paraId="25C20222" w14:textId="55E128F2" w:rsidR="000112E9" w:rsidRDefault="000112E9" w:rsidP="00937B00">
      <w:pPr>
        <w:widowControl w:val="0"/>
        <w:spacing w:after="120"/>
        <w:rPr>
          <w:rFonts w:ascii="Times New Roman" w:hAnsi="Times New Roman"/>
          <w:bCs/>
          <w:iCs/>
          <w:szCs w:val="24"/>
          <w:u w:val="single"/>
        </w:rPr>
      </w:pPr>
      <w:r>
        <w:rPr>
          <w:rFonts w:ascii="Times New Roman" w:hAnsi="Times New Roman"/>
          <w:u w:val="single"/>
        </w:rPr>
        <w:t>Paragraphes 11, 19 et 23</w:t>
      </w:r>
    </w:p>
    <w:p w14:paraId="4195D498" w14:textId="0B45C34B" w:rsidR="0063165E" w:rsidRDefault="00A933EC" w:rsidP="00937B00">
      <w:pPr>
        <w:widowControl w:val="0"/>
        <w:spacing w:after="120"/>
        <w:rPr>
          <w:rFonts w:ascii="Times New Roman" w:hAnsi="Times New Roman"/>
          <w:bCs/>
          <w:iCs/>
          <w:szCs w:val="24"/>
        </w:rPr>
      </w:pPr>
      <w:r>
        <w:rPr>
          <w:rFonts w:ascii="Times New Roman" w:hAnsi="Times New Roman"/>
        </w:rPr>
        <w:t>La Commission considère la mobilité géographique et intersectorielle comme un élément essentiel pour renforcer les carrières des jeunes chercheurs et des chercheurs en début de carrière et pour l’espace européen de la recherche en général, car elle ouvre de nouvelles perspectives, favorise la circulation des connaissances et contribue à leur valorisation. La Commission convient donc de l’importance de lever les obstacles à la mobilité et estime que la recommandation du Conseil relative à un cadre européen pour attirer et retenir les chercheurs, l’innovation et les entrepreneurs talentueux en Europe jouera un rôle important à cet égard. La recommandation du Conseil comprend des dispositions relatives à la reconnaissance adéquate de toutes les expériences de mobilité, ainsi que des recommandations visant, par exemple, à éliminer les obstacles structurels et administratifs qui entravent la mobilité entre les secteurs ou à permettre la possibilité de doubles postes dans des institutions établies dans différents États membres.</w:t>
      </w:r>
    </w:p>
    <w:p w14:paraId="1EAEDD77" w14:textId="697787DB" w:rsidR="0095298C" w:rsidRPr="00A933EC" w:rsidRDefault="0095298C" w:rsidP="00937B00">
      <w:pPr>
        <w:widowControl w:val="0"/>
        <w:spacing w:after="120"/>
        <w:rPr>
          <w:rFonts w:ascii="Times New Roman" w:hAnsi="Times New Roman"/>
          <w:bCs/>
          <w:iCs/>
          <w:szCs w:val="24"/>
        </w:rPr>
      </w:pPr>
      <w:r>
        <w:rPr>
          <w:rFonts w:ascii="Times New Roman" w:hAnsi="Times New Roman"/>
        </w:rPr>
        <w:t>La Commission tient à souligner qu’elle estime important que la mobilité soit équilibrée tant sur le plan géographique que sur le plan intersectoriel. À cet égard, la recommandation du Conseil relative à un cadre européen pour attirer et retenir les chercheurs, l’innovation et les entrepreneurs talentueux en Europe souligne qu’il importe que le monde universitaire reconnaisse la pertinence de tous les types de parcours professionnels, y compris ceux qui sont non linéaires et multicarrières.</w:t>
      </w:r>
    </w:p>
    <w:p w14:paraId="1F5FF11A" w14:textId="229A9899" w:rsidR="0051440E" w:rsidRDefault="0051440E" w:rsidP="00937B00">
      <w:pPr>
        <w:widowControl w:val="0"/>
        <w:spacing w:after="120"/>
        <w:rPr>
          <w:rFonts w:ascii="Times New Roman" w:hAnsi="Times New Roman"/>
          <w:bCs/>
          <w:iCs/>
          <w:szCs w:val="24"/>
          <w:u w:val="single"/>
        </w:rPr>
      </w:pPr>
      <w:r>
        <w:rPr>
          <w:rFonts w:ascii="Times New Roman" w:hAnsi="Times New Roman"/>
          <w:u w:val="single"/>
        </w:rPr>
        <w:t>Paragraphe 14</w:t>
      </w:r>
    </w:p>
    <w:p w14:paraId="1592DBA4" w14:textId="21B075E4" w:rsidR="00B315F7" w:rsidRDefault="00B315F7" w:rsidP="00937B00">
      <w:pPr>
        <w:widowControl w:val="0"/>
        <w:spacing w:after="120"/>
        <w:rPr>
          <w:rFonts w:ascii="Times New Roman" w:hAnsi="Times New Roman"/>
          <w:bCs/>
          <w:iCs/>
          <w:szCs w:val="24"/>
        </w:rPr>
      </w:pPr>
      <w:r>
        <w:rPr>
          <w:rFonts w:ascii="Times New Roman" w:hAnsi="Times New Roman"/>
        </w:rPr>
        <w:t xml:space="preserve">La Commission estime que la compétitivité et l’attractivité du système européen de R&amp;I </w:t>
      </w:r>
      <w:r>
        <w:rPr>
          <w:rFonts w:ascii="Times New Roman" w:hAnsi="Times New Roman"/>
        </w:rPr>
        <w:lastRenderedPageBreak/>
        <w:t>sont tributaires de plusieurs facteurs, dont un niveau adéquat d’investissements nationaux dans les secteurs public et privé. À cet égard, elle partage l’avis selon lequel les ressources investies au niveau de l’UE devraient être complémentaires des ressources nationales, qui devraient rester satisfaisantes.</w:t>
      </w:r>
    </w:p>
    <w:p w14:paraId="7C69BC30" w14:textId="0E61CB9F" w:rsidR="00B315F7" w:rsidRPr="00B315F7" w:rsidRDefault="00B315F7" w:rsidP="00937B00">
      <w:pPr>
        <w:widowControl w:val="0"/>
        <w:spacing w:after="120"/>
        <w:rPr>
          <w:rFonts w:ascii="Times New Roman" w:hAnsi="Times New Roman"/>
          <w:bCs/>
          <w:iCs/>
          <w:szCs w:val="24"/>
        </w:rPr>
      </w:pPr>
      <w:r>
        <w:rPr>
          <w:rFonts w:ascii="Times New Roman" w:hAnsi="Times New Roman"/>
        </w:rPr>
        <w:t>La Commission continuera d’encourager les investissements conformément aux objectifs fixés par la recommandation du Conseil relative à un pacte pour la R&amp;I en Europe. Il s’agit notamment d’un objectif au niveau de l’UE consistant à investir 3 % du produit intérieur brut (PIB) de l’UE dans la recherche et le développement, tandis que les États membres ont pris note des propositions de la Commission visant à inclure un objectif de 1,25 % du PIB de l’UE pour l’effort public que les États membres devront atteindre d’ici à 2030, ainsi que deux objectifs volontaires supplémentaires. Le premier consiste à ce que les États membres consacrent 5 % du financement public national de la recherche et du développement à des programmes communs et à des partenariats européens d’ici à 2030, tandis que le second vise à augmenter de 50 % les investissements dans la recherche et le développement dans les États membres dont l’intensité de recherche et de développement est inférieure à la moyenne de l’UE.</w:t>
      </w:r>
    </w:p>
    <w:p w14:paraId="47E796C0" w14:textId="66FE4710" w:rsidR="0051440E" w:rsidRPr="0003613D" w:rsidRDefault="0051440E" w:rsidP="00937B00">
      <w:pPr>
        <w:widowControl w:val="0"/>
        <w:spacing w:after="120"/>
        <w:rPr>
          <w:rFonts w:ascii="Times New Roman" w:hAnsi="Times New Roman"/>
          <w:bCs/>
          <w:iCs/>
          <w:szCs w:val="24"/>
          <w:u w:val="single"/>
        </w:rPr>
      </w:pPr>
      <w:r>
        <w:rPr>
          <w:rFonts w:ascii="Times New Roman" w:hAnsi="Times New Roman"/>
          <w:u w:val="single"/>
        </w:rPr>
        <w:t>Paragraphes 15, 16 et 17</w:t>
      </w:r>
    </w:p>
    <w:p w14:paraId="36F1DE17" w14:textId="5E0BB3DE" w:rsidR="00CF54CE" w:rsidRDefault="00CF54CE" w:rsidP="00937B00">
      <w:pPr>
        <w:widowControl w:val="0"/>
        <w:spacing w:after="120"/>
        <w:rPr>
          <w:rFonts w:ascii="Times New Roman" w:hAnsi="Times New Roman"/>
          <w:bCs/>
          <w:iCs/>
          <w:szCs w:val="24"/>
        </w:rPr>
      </w:pPr>
      <w:r>
        <w:rPr>
          <w:rFonts w:ascii="Times New Roman" w:hAnsi="Times New Roman"/>
        </w:rPr>
        <w:t>Bien que les taux de réussite de toutes les actions Marie Skłodowska-Curie aient légèrement augmenté dans le cadre d’Horizon Europe, la Commission partage l’avis du Parlement selon lequel les taux restent trop faibles, la majorité des projets considérés comme excellents ne bénéficiant pas d’un financement. La Commission tient à souligner que des mesures de gestion de la demande ont été introduites dans le cadre d’Horizon Europe pour remédier au surnombre de candidatures aux réseaux doctoraux et aux bourses postdoctorales MCAA. L’incidence de ces mesures fait actuellement l’objet d’un suivi.</w:t>
      </w:r>
    </w:p>
    <w:p w14:paraId="64AC1734" w14:textId="77D0CDC1" w:rsidR="00802136" w:rsidRPr="0003613D" w:rsidRDefault="009F1E24" w:rsidP="00937B00">
      <w:pPr>
        <w:widowControl w:val="0"/>
        <w:spacing w:after="120"/>
        <w:rPr>
          <w:rFonts w:ascii="Times New Roman" w:hAnsi="Times New Roman"/>
          <w:bCs/>
          <w:iCs/>
          <w:szCs w:val="24"/>
        </w:rPr>
      </w:pPr>
      <w:r>
        <w:rPr>
          <w:rFonts w:ascii="Times New Roman" w:hAnsi="Times New Roman"/>
        </w:rPr>
        <w:t>En ce qui concerne le financement de projets de jeunes chercheurs talentueux, la Commission tient à souligner que, depuis que le Conseil européen de la recherche a débuté ses activités en 2007, le programme a accordé la priorité au soutien des jeunes chercheurs. Deux tiers des chercheurs principaux financés sont des chercheurs juniors, c’est-à-dire des chercheurs se trouvant dans la période de 2 à 12 ans après le doctorat au moment de la demande. Parmi celles-ci, 60 % se trouvent dans la première moitié de cette période.</w:t>
      </w:r>
    </w:p>
    <w:p w14:paraId="596EB16D" w14:textId="3639B485" w:rsidR="00BE3DB9" w:rsidRPr="00802136" w:rsidRDefault="00BE3DB9" w:rsidP="00937B00">
      <w:pPr>
        <w:widowControl w:val="0"/>
        <w:spacing w:after="120"/>
        <w:rPr>
          <w:rFonts w:ascii="Times New Roman" w:hAnsi="Times New Roman"/>
          <w:bCs/>
          <w:iCs/>
          <w:szCs w:val="24"/>
          <w:u w:val="single"/>
        </w:rPr>
      </w:pPr>
      <w:r>
        <w:rPr>
          <w:rFonts w:ascii="Times New Roman" w:hAnsi="Times New Roman"/>
          <w:u w:val="single"/>
        </w:rPr>
        <w:t>Paragraphe 18</w:t>
      </w:r>
    </w:p>
    <w:p w14:paraId="67963ED4" w14:textId="7C2441ED" w:rsidR="00AC51E9" w:rsidRPr="00AC51E9" w:rsidRDefault="00AC51E9" w:rsidP="00937B00">
      <w:pPr>
        <w:widowControl w:val="0"/>
        <w:spacing w:after="120"/>
        <w:rPr>
          <w:rFonts w:ascii="Times New Roman" w:hAnsi="Times New Roman"/>
          <w:bCs/>
          <w:iCs/>
          <w:szCs w:val="24"/>
        </w:rPr>
      </w:pPr>
      <w:bookmarkStart w:id="0" w:name="_Hlk156401843"/>
      <w:r>
        <w:rPr>
          <w:rFonts w:ascii="Times New Roman" w:hAnsi="Times New Roman"/>
        </w:rPr>
        <w:t>La Commission prend note de la position du Parlement en ce qui concerne le budget d’Horizon Europe et convient qu’un programme-cadre solide est important pour garantir un niveau approprié de financement des propositions excellentes, l’objectif ultime étant de renforcer le système de R&amp;I en Europe et sa compétitivité sur la scène mondiale.</w:t>
      </w:r>
    </w:p>
    <w:bookmarkEnd w:id="0"/>
    <w:p w14:paraId="626D0CA0" w14:textId="5ECF1946" w:rsidR="00BE3DB9" w:rsidRDefault="00BE3DB9" w:rsidP="00937B00">
      <w:pPr>
        <w:widowControl w:val="0"/>
        <w:spacing w:after="120"/>
        <w:rPr>
          <w:rFonts w:ascii="Times New Roman" w:hAnsi="Times New Roman"/>
          <w:bCs/>
          <w:iCs/>
          <w:szCs w:val="24"/>
          <w:u w:val="single"/>
        </w:rPr>
      </w:pPr>
      <w:r>
        <w:rPr>
          <w:rFonts w:ascii="Times New Roman" w:hAnsi="Times New Roman"/>
          <w:u w:val="single"/>
        </w:rPr>
        <w:t>Paragraphe 20</w:t>
      </w:r>
    </w:p>
    <w:p w14:paraId="5858C104" w14:textId="1D1D551F" w:rsidR="00CF54CE" w:rsidRDefault="00CF54CE" w:rsidP="00937B00">
      <w:pPr>
        <w:autoSpaceDE w:val="0"/>
        <w:autoSpaceDN w:val="0"/>
        <w:adjustRightInd w:val="0"/>
        <w:spacing w:after="120"/>
        <w:rPr>
          <w:rFonts w:ascii="TimesNewRomanPSMT" w:hAnsi="TimesNewRomanPSMT" w:cs="TimesNewRomanPSMT"/>
          <w:szCs w:val="24"/>
        </w:rPr>
      </w:pPr>
      <w:r>
        <w:rPr>
          <w:rFonts w:ascii="Times New Roman" w:hAnsi="Times New Roman"/>
        </w:rPr>
        <w:t>La Commission partage l’avis du Parlement sur l’importance d’utiliser les systèmes de financement de l’Union pour inciter les chercheurs à revenir en Europe après avoir effectué leurs recherches doctorales dans un pays tiers, afin de lutter contre la fuite des cerveaux.</w:t>
      </w:r>
      <w:r>
        <w:rPr>
          <w:rFonts w:ascii="TimesNewRomanPSMT" w:hAnsi="TimesNewRomanPSMT"/>
        </w:rPr>
        <w:t xml:space="preserve"> À cet égard, la Commission tient à souligner le rôle important des actions Marie Skłodowska-Curie (AMSC) dans la promotion du retour en Europe des doctorants et des chercheurs postdoctorants. Les AMSC contribuent en effet à attirer des chercheurs européens à revenir en Europe; près de 80 % des chercheurs qui vivaient en dehors de l’EU-27 reviennent pour bénéficier de leur bourse, comme l’a souligné la récente étude </w:t>
      </w:r>
      <w:r>
        <w:rPr>
          <w:rFonts w:ascii="TimesNewRomanPSMT" w:hAnsi="TimesNewRomanPSMT"/>
        </w:rPr>
        <w:lastRenderedPageBreak/>
        <w:t>réalisée sur les schémas de mobilité de ces boursiers</w:t>
      </w:r>
      <w:r>
        <w:rPr>
          <w:rStyle w:val="FootnoteReference"/>
          <w:rFonts w:ascii="TimesNewRomanPSMT" w:hAnsi="TimesNewRomanPSMT" w:cs="TimesNewRomanPSMT"/>
          <w:szCs w:val="24"/>
          <w:lang w:eastAsia="en-IE"/>
        </w:rPr>
        <w:footnoteReference w:id="2"/>
      </w:r>
      <w:r>
        <w:rPr>
          <w:rFonts w:ascii="TimesNewRomanPSMT" w:hAnsi="TimesNewRomanPSMT"/>
        </w:rPr>
        <w:t xml:space="preserve">. Elles contribuent également à attirer des talents étrangers en Europe, environ un tiers des boursiers AMSC provenant de pays tiers non associés. </w:t>
      </w:r>
    </w:p>
    <w:p w14:paraId="450C9326" w14:textId="3FBB0261" w:rsidR="009F1E24" w:rsidRPr="0003613D" w:rsidRDefault="00147E95" w:rsidP="00937B00">
      <w:pPr>
        <w:widowControl w:val="0"/>
        <w:spacing w:after="120"/>
        <w:rPr>
          <w:rFonts w:ascii="Times New Roman" w:hAnsi="Times New Roman"/>
          <w:bCs/>
          <w:iCs/>
          <w:szCs w:val="24"/>
        </w:rPr>
      </w:pPr>
      <w:r>
        <w:rPr>
          <w:rFonts w:ascii="Times New Roman" w:hAnsi="Times New Roman"/>
        </w:rPr>
        <w:t>La Commission tient également à souligner que, dans tous les principaux régimes de financement du Conseil européen de la recherche (CER), les candidats peuvent demander un montant supplémentaire pouvant aller jusqu’à un million d’euros pour soutenir leur retour dans tout État membre ou pays associé en provenance d’un pays tiers non associé.</w:t>
      </w:r>
    </w:p>
    <w:p w14:paraId="1FBAD94A" w14:textId="23EC817B" w:rsidR="0003613D" w:rsidRDefault="00BE3DB9" w:rsidP="00937B00">
      <w:pPr>
        <w:widowControl w:val="0"/>
        <w:spacing w:after="120"/>
        <w:rPr>
          <w:rFonts w:ascii="Times New Roman" w:hAnsi="Times New Roman"/>
          <w:bCs/>
          <w:iCs/>
          <w:szCs w:val="24"/>
          <w:u w:val="single"/>
        </w:rPr>
      </w:pPr>
      <w:r>
        <w:rPr>
          <w:rFonts w:ascii="Times New Roman" w:hAnsi="Times New Roman"/>
          <w:u w:val="single"/>
        </w:rPr>
        <w:t>Paragraphes 21 et 25</w:t>
      </w:r>
      <w:bookmarkStart w:id="1" w:name="_Hlk156905459"/>
    </w:p>
    <w:p w14:paraId="2D182974" w14:textId="5E633A27" w:rsidR="003E39C5" w:rsidRPr="0003613D" w:rsidRDefault="00CC5273" w:rsidP="00937B00">
      <w:pPr>
        <w:widowControl w:val="0"/>
        <w:spacing w:after="120"/>
        <w:rPr>
          <w:rFonts w:ascii="Times New Roman" w:hAnsi="Times New Roman"/>
          <w:bCs/>
          <w:iCs/>
          <w:szCs w:val="24"/>
        </w:rPr>
      </w:pPr>
      <w:r>
        <w:rPr>
          <w:rFonts w:ascii="Times New Roman" w:hAnsi="Times New Roman"/>
        </w:rPr>
        <w:t>En ce qui concerne la position du Parlement sur les obstacles à la mobilité transnationale, et notamment en ce qui concerne la perte des droits en matière de sécurité sociale, la Commission souligne que le règlement (CE) n° 883/2004 du Parlement européen et du Conseil du 29 avril 2004 portant sur la coordination des systèmes de sécurité sociale protège les droits en matière de sécurité sociale des chercheurs qui se déplacent d’un État membre à l’autre, qu’il s’agisse de travailleurs salariés ou de fonctionnaires, de la même manière que pour les autres personnes qui se déplacent à l’intérieur de l’Union.</w:t>
      </w:r>
    </w:p>
    <w:p w14:paraId="5BC15FAE" w14:textId="66C948A1" w:rsidR="00CF54CE" w:rsidRPr="00F469BF" w:rsidRDefault="00AC01AA" w:rsidP="00937B00">
      <w:pPr>
        <w:widowControl w:val="0"/>
        <w:spacing w:after="120"/>
        <w:rPr>
          <w:rFonts w:ascii="Times New Roman" w:hAnsi="Times New Roman"/>
          <w:bCs/>
          <w:iCs/>
          <w:szCs w:val="24"/>
        </w:rPr>
      </w:pPr>
      <w:r>
        <w:rPr>
          <w:rFonts w:ascii="Times New Roman" w:hAnsi="Times New Roman"/>
        </w:rPr>
        <w:t>La Commission tient également à souligner que les AMSC ont joué un rôle de pionnier dans la promotion de la mobilité internationale et de conditions de travail et d’emploi attrayantes: les chercheurs des AMSC, qui commencent au niveau doctoral, sont recrutés dans le cadre d’un contrat de travail, bénéficiant d’une couverture sociale garantie, d’une assurance maladie, etc., et reçoivent des indemnités mensuelles pour couvrir leurs frais de subsistance, de mobilité et d’entretien de leur famille. Grâce au programme, ces conditions sont devenues la règle dans de nombreuses organisations universitaires qui ont accueilli des projets AMSC en Europe et au-delà.</w:t>
      </w:r>
    </w:p>
    <w:p w14:paraId="24806C4E" w14:textId="00D18EC4" w:rsidR="00CF54CE" w:rsidRDefault="00CF54CE" w:rsidP="00937B00">
      <w:pPr>
        <w:widowControl w:val="0"/>
        <w:spacing w:after="120"/>
        <w:rPr>
          <w:rFonts w:ascii="Times New Roman" w:hAnsi="Times New Roman"/>
          <w:bCs/>
          <w:iCs/>
          <w:szCs w:val="24"/>
          <w:u w:val="single"/>
        </w:rPr>
      </w:pPr>
      <w:r>
        <w:rPr>
          <w:rFonts w:ascii="Times New Roman" w:hAnsi="Times New Roman"/>
          <w:u w:val="single"/>
        </w:rPr>
        <w:t>Paragraphe 22</w:t>
      </w:r>
    </w:p>
    <w:p w14:paraId="6DC7BADC" w14:textId="55DEA482" w:rsidR="00CF54CE" w:rsidRPr="00F469BF" w:rsidRDefault="00CC5273" w:rsidP="00937B00">
      <w:pPr>
        <w:widowControl w:val="0"/>
        <w:spacing w:after="120"/>
        <w:rPr>
          <w:rFonts w:ascii="Times New Roman" w:hAnsi="Times New Roman"/>
          <w:bCs/>
          <w:iCs/>
          <w:szCs w:val="24"/>
        </w:rPr>
      </w:pPr>
      <w:r>
        <w:rPr>
          <w:rFonts w:ascii="Times New Roman" w:hAnsi="Times New Roman"/>
        </w:rPr>
        <w:t>La Commission se félicite du soutien apporté par le Parlement aux initiatives de soutien à la mobilité intersectorielle. À cet égard, la Commission tient à souligner que le soutien à la mobilité transnationale, intersectorielle et interdisciplinaire, qui met l’accent sur l’innovation dans tous les domaines scientifiques, est au cœur des AMSC. Plus de 5 600 organisations non universitaires ont participé à Horizon 2020, et déjà plus de 2 700 au titre d’Horizon Europe; le programme attire donc avec succès des organisations tant universitaires que non universitaires pour collaborer à des programmes de recherche et de formation exploratoire et de pointe.</w:t>
      </w:r>
    </w:p>
    <w:bookmarkEnd w:id="1"/>
    <w:p w14:paraId="71582A7F" w14:textId="77777777" w:rsidR="0003613D" w:rsidRDefault="00BE3DB9" w:rsidP="00937B00">
      <w:pPr>
        <w:widowControl w:val="0"/>
        <w:spacing w:after="120"/>
        <w:rPr>
          <w:rFonts w:ascii="Times New Roman" w:hAnsi="Times New Roman"/>
          <w:bCs/>
          <w:iCs/>
          <w:szCs w:val="24"/>
          <w:u w:val="single"/>
        </w:rPr>
      </w:pPr>
      <w:r>
        <w:rPr>
          <w:rFonts w:ascii="Times New Roman" w:hAnsi="Times New Roman"/>
          <w:u w:val="single"/>
        </w:rPr>
        <w:t>Paragraphe 26</w:t>
      </w:r>
    </w:p>
    <w:p w14:paraId="495616C0" w14:textId="7E933B55" w:rsidR="00DC6133" w:rsidRDefault="001779AC" w:rsidP="00937B00">
      <w:pPr>
        <w:widowControl w:val="0"/>
        <w:spacing w:after="120"/>
        <w:rPr>
          <w:rFonts w:ascii="Times New Roman" w:hAnsi="Times New Roman"/>
          <w:bCs/>
          <w:iCs/>
          <w:szCs w:val="24"/>
        </w:rPr>
      </w:pPr>
      <w:r>
        <w:rPr>
          <w:rFonts w:ascii="Times New Roman" w:hAnsi="Times New Roman"/>
        </w:rPr>
        <w:t xml:space="preserve">La Commission prend note de l’appel lancé par le Parlement pour que des efforts supplémentaires soient consentis afin que RESAVER soit utile aux chercheurs. RESAVER apporte des avantages considérables aux chercheurs qui se déplacent d’un pays à l’autre et d’un emploi à l’autre, ce qui leur permet de préserver leurs cotisations de retraite grâce à l’absence de période d’acquisition des droits, en plus de l’absence de frais de transfert d’actifs. </w:t>
      </w:r>
    </w:p>
    <w:p w14:paraId="01739BC5" w14:textId="5A0D4E86" w:rsidR="001779AC" w:rsidRPr="001779AC" w:rsidRDefault="00DC6133" w:rsidP="00937B00">
      <w:pPr>
        <w:widowControl w:val="0"/>
        <w:spacing w:after="120"/>
        <w:rPr>
          <w:rFonts w:ascii="Times New Roman" w:hAnsi="Times New Roman"/>
          <w:bCs/>
          <w:iCs/>
          <w:szCs w:val="24"/>
        </w:rPr>
      </w:pPr>
      <w:r>
        <w:rPr>
          <w:rFonts w:ascii="Times New Roman" w:hAnsi="Times New Roman"/>
        </w:rPr>
        <w:t>La Commission tient à souligner que la recommandation du Conseil relative à un cadre européen pour attirer et retenir les chercheurs, l’innovation et les entrepreneurs talentueux en Europe recommande aux États membres de promouvoir l’utilisation de solutions RESAVER, afin d’associer davantage d’entités et de pays (actuellement 8).</w:t>
      </w:r>
    </w:p>
    <w:p w14:paraId="0A83D51C" w14:textId="77777777" w:rsidR="0003613D" w:rsidRDefault="00F103DC" w:rsidP="00937B00">
      <w:pPr>
        <w:spacing w:after="120"/>
        <w:rPr>
          <w:rFonts w:ascii="Times New Roman" w:hAnsi="Times New Roman"/>
          <w:bCs/>
          <w:iCs/>
          <w:szCs w:val="24"/>
          <w:u w:val="single"/>
        </w:rPr>
      </w:pPr>
      <w:r>
        <w:rPr>
          <w:rFonts w:ascii="Times New Roman" w:hAnsi="Times New Roman"/>
          <w:u w:val="single"/>
        </w:rPr>
        <w:lastRenderedPageBreak/>
        <w:t>Paragraphe 28</w:t>
      </w:r>
    </w:p>
    <w:p w14:paraId="075EB358" w14:textId="1C4177E9" w:rsidR="00A6671E" w:rsidRPr="0003613D" w:rsidRDefault="00A6671E" w:rsidP="00937B00">
      <w:pPr>
        <w:spacing w:after="120"/>
        <w:rPr>
          <w:rFonts w:ascii="Times New Roman" w:hAnsi="Times New Roman"/>
          <w:sz w:val="22"/>
        </w:rPr>
      </w:pPr>
      <w:r>
        <w:rPr>
          <w:rFonts w:ascii="Times New Roman" w:hAnsi="Times New Roman"/>
        </w:rPr>
        <w:t xml:space="preserve">La Commission convient qu’il importe d’attirer davantage de talents dans l’UE, notamment des chercheurs de pays tiers. La directive 2016/801 du Parlement européen et du Conseil du 11 mai 2016 établissant les conditions d’entrée et de séjour des ressortissants de pays tiers réglemente les conditions d’entrée et de séjour des chercheurs de pays tiers dans l’UE, ainsi que leurs droits. La Commission évaluera la manière dont les États membres ont transposé cette directive et assurera le suivi avec les États membres dans lesquels des violations du droit de l’Union ont été constatées. </w:t>
      </w:r>
    </w:p>
    <w:p w14:paraId="62502FCE" w14:textId="71D547E8" w:rsidR="00B6111C" w:rsidRDefault="00B6111C" w:rsidP="00937B00">
      <w:pPr>
        <w:widowControl w:val="0"/>
        <w:spacing w:after="120"/>
        <w:rPr>
          <w:rFonts w:ascii="Times New Roman" w:hAnsi="Times New Roman"/>
          <w:bCs/>
          <w:iCs/>
          <w:szCs w:val="24"/>
          <w:u w:val="single"/>
        </w:rPr>
      </w:pPr>
      <w:r>
        <w:rPr>
          <w:rFonts w:ascii="Times New Roman" w:hAnsi="Times New Roman"/>
          <w:u w:val="single"/>
        </w:rPr>
        <w:t>Paragraphes 29, 30 et 31</w:t>
      </w:r>
    </w:p>
    <w:p w14:paraId="77E4FB1B" w14:textId="3C880201" w:rsidR="00276F0F" w:rsidRDefault="00276F0F" w:rsidP="00937B00">
      <w:pPr>
        <w:spacing w:after="120"/>
        <w:rPr>
          <w:rFonts w:ascii="Calibri" w:hAnsi="Calibri" w:cs="Calibri"/>
          <w:sz w:val="22"/>
          <w:szCs w:val="22"/>
        </w:rPr>
      </w:pPr>
      <w:r>
        <w:rPr>
          <w:rFonts w:ascii="Times New Roman" w:hAnsi="Times New Roman"/>
        </w:rPr>
        <w:t>La Commission convient de la nécessité d’efforts pour garantir l’égalité entre les hommes et les femmes et l’équilibre entre les hommes et les femmes dans les carrières dans la recherche, en tenant compte du fait que, selon les chiffres de She Figures 2021, les femmes ne représentent qu’un tiers des chercheurs et qu’elles n’occupent que 26 % des postes universitaires les plus élevés, tout en travaillant plus souvent que les hommes à temps partiel ou sous contrat précaire.</w:t>
      </w:r>
    </w:p>
    <w:p w14:paraId="69F9D80C" w14:textId="105B57C9" w:rsidR="00276F0F" w:rsidRPr="002E7F80" w:rsidRDefault="00276F0F" w:rsidP="00937B00">
      <w:pPr>
        <w:spacing w:after="120"/>
        <w:rPr>
          <w:rFonts w:ascii="Calibri" w:hAnsi="Calibri" w:cs="Calibri"/>
          <w:sz w:val="22"/>
          <w:szCs w:val="22"/>
        </w:rPr>
      </w:pPr>
      <w:r>
        <w:rPr>
          <w:rFonts w:ascii="Times New Roman" w:hAnsi="Times New Roman"/>
        </w:rPr>
        <w:t>La mise en œuvre de la recommandation du Conseil relative à un cadre européen pour attirer et retenir les chercheurs, l’innovation et les entrepreneurs talentueux en Europe, ainsi que la nouvelle charte du chercheur, joueront un rôle majeur dans la lutte contre les inégalités entre les hommes et les femmes, au niveau du processus de recrutement et de sélection, ainsi que dans toutes les carrières. Le principe, actualisé et renforcé, d’égalité entre les hommes et les femmes qui figure dans la charte des chercheurs souligne les aspects essentiels qu’il convient de traiter, notamment l’équilibre hommes-femmes à tous les niveaux, ainsi que l’intégration de la dimension de genre dans le contenu de la R&amp;I, la violence fondée sur le genre, la création de changements institutionnels durables dans les organisations au moyen de plans en faveur de l’égalité entre les hommes et les femmes qui abordent en particulier les questions d’équilibre entre vie professionnelle et vie privée, ainsi que l’adoption d’une perspective intersectionnelle pour renforcer la diversité dans la recherche.</w:t>
      </w:r>
    </w:p>
    <w:p w14:paraId="1F2A2718" w14:textId="1E347543" w:rsidR="00CF54CE" w:rsidRPr="002E7F80" w:rsidRDefault="00276F0F" w:rsidP="00937B00">
      <w:pPr>
        <w:spacing w:after="120"/>
        <w:rPr>
          <w:rFonts w:ascii="Calibri" w:hAnsi="Calibri" w:cs="Calibri"/>
          <w:sz w:val="22"/>
          <w:szCs w:val="22"/>
        </w:rPr>
      </w:pPr>
      <w:r>
        <w:rPr>
          <w:rFonts w:ascii="Times New Roman" w:hAnsi="Times New Roman"/>
        </w:rPr>
        <w:t>Plus généralement, les dispositions renforcées en matière d’égalité entre les hommes et les femmes introduites dans Horizon Europe, et en particulier l’obligation faite aux organismes universitaires et de recherche, ainsi qu’aux organismes publics, de disposer d’un plan en faveur de l’égalité entre les hommes et les femmes en tant que critère d’éligibilité applicable à tous les niveaux, s’attaquent aux inégalités entre les hommes et les femmes à un niveau plus structurel, afin de garantir aux jeunes chercheurs des environnements de travail égalitaires, inclusifs et sûrs. Les actions Marie Skłodowska-Curie, en particulier, accordent une grande attention à l’intégration de la dimension de genre à tous les niveaux et comprennent des dispositions relatives à l’équilibre entre vie professionnelle et vie privée afin d’encourager une plus grande participation des femmes à la recherche, ce qui a conduit à ce que près de 45 % des chercheurs financés soient des femmes.</w:t>
      </w:r>
    </w:p>
    <w:p w14:paraId="5D147459" w14:textId="7CF7B755" w:rsidR="00276F0F" w:rsidRDefault="00276F0F" w:rsidP="00937B00">
      <w:pPr>
        <w:spacing w:after="120"/>
        <w:rPr>
          <w:rFonts w:ascii="Calibri" w:hAnsi="Calibri" w:cs="Calibri"/>
          <w:sz w:val="22"/>
          <w:szCs w:val="22"/>
        </w:rPr>
      </w:pPr>
      <w:r>
        <w:rPr>
          <w:rFonts w:ascii="Times New Roman" w:hAnsi="Times New Roman"/>
        </w:rPr>
        <w:t>L’outil «Gender Equality in Academia and Research» (GEAR)</w:t>
      </w:r>
      <w:r w:rsidR="003B3E5C">
        <w:rPr>
          <w:rStyle w:val="FootnoteReference"/>
          <w:rFonts w:ascii="Times New Roman" w:hAnsi="Times New Roman"/>
          <w:bCs/>
          <w:szCs w:val="24"/>
          <w:lang w:val="en-IE"/>
        </w:rPr>
        <w:footnoteReference w:id="3"/>
      </w:r>
      <w:r>
        <w:rPr>
          <w:rFonts w:ascii="Times New Roman" w:hAnsi="Times New Roman"/>
        </w:rPr>
        <w:t>, créé en 2016 par l’Institut européen pour l’égalité entre les hommes et les femmes (EIGE) à la demande de la Commission, s’appuie sur les résultats de projets financés par le 7</w:t>
      </w:r>
      <w:r>
        <w:rPr>
          <w:rFonts w:ascii="Times New Roman" w:hAnsi="Times New Roman"/>
          <w:vertAlign w:val="superscript"/>
        </w:rPr>
        <w:t>e</w:t>
      </w:r>
      <w:r>
        <w:rPr>
          <w:rFonts w:ascii="Times New Roman" w:hAnsi="Times New Roman"/>
        </w:rPr>
        <w:t xml:space="preserve"> programme-cadre et Horizon 2020 et met en œuvre le plan pour l’égalité entre les hommes et les femmes. Il a été mis à jour en 2022, notamment pour mieux répondre aux nouvelles dispositions et exigences en matière d’égalité entre les hommes et les femmes introduites dans Horizon Europe, et pour soutenir les candidats potentiels. L’EIGE prévoit de nouvelles mises à </w:t>
      </w:r>
      <w:r>
        <w:rPr>
          <w:rFonts w:ascii="Times New Roman" w:hAnsi="Times New Roman"/>
        </w:rPr>
        <w:lastRenderedPageBreak/>
        <w:t>jour très limitées de l’outil GEAR, mais la Commission a également mis au point des régimes de soutien supplémentaires et offrira des possibilités supplémentaires dans le cadre d’Horizon Europe.</w:t>
      </w:r>
    </w:p>
    <w:p w14:paraId="11448F57" w14:textId="083706BB" w:rsidR="00276F0F" w:rsidRPr="002E7F80" w:rsidRDefault="00276F0F" w:rsidP="00937B00">
      <w:pPr>
        <w:spacing w:after="120"/>
        <w:rPr>
          <w:rFonts w:ascii="Calibri" w:hAnsi="Calibri" w:cs="Calibri"/>
          <w:sz w:val="22"/>
          <w:szCs w:val="22"/>
        </w:rPr>
      </w:pPr>
      <w:r>
        <w:rPr>
          <w:rFonts w:ascii="Times New Roman" w:hAnsi="Times New Roman"/>
        </w:rPr>
        <w:t>La Commission a un engagement profondément ancré, tant en matière de politique que de financement, en ce qui concerne la lutte contre les déséquilibres entre les hommes et les femmes dans les matières STIM. L’introduction susmentionnée, dans Horizon Europe, des plans en faveur de l’égalité entre les hommes et les femmes en tant que critère d’éligibilité horizontal est un instrument essentiel pour susciter des changements structurels durables dans les organismes universitaires et de recherche, en particulier dans les domaines où les femmes sont sous-représentées, tels que les STIM.</w:t>
      </w:r>
    </w:p>
    <w:p w14:paraId="25180DB2" w14:textId="4F7FC378" w:rsidR="00276F0F" w:rsidRPr="002E7F80" w:rsidRDefault="00276F0F" w:rsidP="00937B00">
      <w:pPr>
        <w:spacing w:after="120"/>
        <w:rPr>
          <w:rFonts w:ascii="Calibri" w:hAnsi="Calibri" w:cs="Calibri"/>
          <w:sz w:val="22"/>
          <w:szCs w:val="22"/>
        </w:rPr>
      </w:pPr>
      <w:r>
        <w:rPr>
          <w:rFonts w:ascii="Times New Roman" w:hAnsi="Times New Roman"/>
        </w:rPr>
        <w:t>Dans le cadre d’Horizon Europe, la Commission soutient également des projets qui intègrent les arts, les sciences humaines et les sciences sociales dans les disciplines STIM (l’approche dite STIAM - sciences, technologie, ingénierie, arts et mathématiques) afin de rendre les carrières dans les STIM plus attrayantes et plus inclusives pour un large éventail de personnes, y compris des femmes. En particulier, un projet spécifique financé au titre du programme de travail WIDERA 2023 soutiendra l’élaboration et la mise en œuvre d’un manifeste de l’UE pour une éducation et des carrières dans les STI(A)M intégrant la dimension de genre, conformément à la stratégie de l’UE en faveur des universités adoptée par la Commission en 2022.</w:t>
      </w:r>
    </w:p>
    <w:p w14:paraId="26D234B7" w14:textId="0D0D189B" w:rsidR="00276F0F" w:rsidRPr="002E7F80" w:rsidRDefault="008605A2" w:rsidP="00937B00">
      <w:pPr>
        <w:spacing w:after="120"/>
        <w:rPr>
          <w:rFonts w:ascii="Times New Roman" w:hAnsi="Times New Roman"/>
          <w:szCs w:val="24"/>
        </w:rPr>
      </w:pPr>
      <w:r>
        <w:rPr>
          <w:rFonts w:ascii="Times New Roman" w:hAnsi="Times New Roman"/>
        </w:rPr>
        <w:t>Pour ce qui est de veiller à ce que les processus de recrutement et de sélection soient neutres du point de vue du genre et exempts de tout biais, ces aspects sont une fois de plus intégrés dans le nouveau cadre pour les carrières dans la recherche et sont poursuivis dans le programme stratégique de l’EER pour la période 2022-2024 (action 3 sur la réforme de l’évaluation de la recherche, action 5 sur la promotion de l’égalité entre les hommes et les femmes et la promotion de l’inclusion). En particulier, le projet GRANteD, financé au titre d’Horizon 2020, a mené des recherches approfondies afin de déterminer l’apparition, la dynamique et les causes des préjugés sexistes dans les processus d’attribution des subventions et leurs conséquences sur les préjugés sexistes dans la carrière du chercheur, et a formulé des recommandations sur lesquelles la Commission s’appuiera pour l’évolution future de ses actions.</w:t>
      </w:r>
    </w:p>
    <w:p w14:paraId="3596E29E" w14:textId="22EEC95A" w:rsidR="00A917A9" w:rsidRPr="002E7F80" w:rsidRDefault="00A917A9" w:rsidP="00937B00">
      <w:pPr>
        <w:widowControl w:val="0"/>
        <w:spacing w:after="120"/>
        <w:rPr>
          <w:rFonts w:ascii="Times New Roman" w:hAnsi="Times New Roman"/>
          <w:bCs/>
          <w:iCs/>
          <w:szCs w:val="24"/>
          <w:u w:val="single"/>
        </w:rPr>
      </w:pPr>
      <w:r>
        <w:rPr>
          <w:rFonts w:ascii="Times New Roman" w:hAnsi="Times New Roman"/>
          <w:u w:val="single"/>
        </w:rPr>
        <w:t>Paragraphe 33</w:t>
      </w:r>
    </w:p>
    <w:p w14:paraId="169DB7D2" w14:textId="42051FCF" w:rsidR="00AB5AF8" w:rsidRPr="002E7F80" w:rsidRDefault="00AB5AF8" w:rsidP="00937B00">
      <w:pPr>
        <w:widowControl w:val="0"/>
        <w:spacing w:after="120"/>
        <w:rPr>
          <w:rFonts w:ascii="Times New Roman" w:hAnsi="Times New Roman"/>
          <w:bCs/>
          <w:iCs/>
          <w:szCs w:val="24"/>
        </w:rPr>
      </w:pPr>
      <w:r>
        <w:rPr>
          <w:rFonts w:ascii="Times New Roman" w:hAnsi="Times New Roman"/>
        </w:rPr>
        <w:t>La Commission partage l’inquiétude concernant le manque fréquent de procédures de recrutement ouvertes, transparentes et fondées sur le mérite, la précarité liée aux contrats à court terme fondés sur des projets et l’accès insatisfaisant à l’égalité des chances. Ces préoccupations sont reprises dans la recommandation du Conseil relative à un cadre européen pour attirer et retenir les chercheurs, l’innovation et les entrepreneurs talentueux en Europe.</w:t>
      </w:r>
    </w:p>
    <w:p w14:paraId="7C030CE1" w14:textId="3DAF35FF" w:rsidR="00AB5AF8" w:rsidRPr="002E7F80" w:rsidRDefault="00AB5AF8" w:rsidP="00937B00">
      <w:pPr>
        <w:widowControl w:val="0"/>
        <w:spacing w:after="120"/>
        <w:rPr>
          <w:rFonts w:ascii="Times New Roman" w:hAnsi="Times New Roman"/>
          <w:bCs/>
          <w:iCs/>
          <w:szCs w:val="24"/>
        </w:rPr>
      </w:pPr>
      <w:r>
        <w:rPr>
          <w:rFonts w:ascii="Times New Roman" w:hAnsi="Times New Roman"/>
        </w:rPr>
        <w:t>Conformément aux objectifs de la plateforme des talents de l’EER, la Commission soutient de manière proactive l’utilisation du portail de l’emploi EURAXESS, qui comprend actuellement plus de 8 000 offres d’emplois. Cette approbation s’inscrit dans le cadre d’une stratégie plus large visant à améliorer les fonctionnalités et les fonctionnalités d’EURAXESS, qui vise à en faire un guichet unique global pour les chercheurs. Cet effort contribue à la création d’un espace qui favorise les possibilités et la concurrence loyale entre chercheurs.</w:t>
      </w:r>
    </w:p>
    <w:p w14:paraId="73697159" w14:textId="7633B295" w:rsidR="00A917A9" w:rsidRPr="002E7F80" w:rsidRDefault="00A917A9" w:rsidP="00937B00">
      <w:pPr>
        <w:widowControl w:val="0"/>
        <w:spacing w:after="120"/>
        <w:rPr>
          <w:rFonts w:ascii="Times New Roman" w:hAnsi="Times New Roman"/>
          <w:bCs/>
          <w:iCs/>
          <w:szCs w:val="24"/>
          <w:u w:val="single"/>
        </w:rPr>
      </w:pPr>
      <w:r>
        <w:rPr>
          <w:rFonts w:ascii="Times New Roman" w:hAnsi="Times New Roman"/>
          <w:u w:val="single"/>
        </w:rPr>
        <w:t>Paragraphes 36 et 37</w:t>
      </w:r>
    </w:p>
    <w:p w14:paraId="4AFD11C7" w14:textId="3CB23240" w:rsidR="00261BF3" w:rsidRPr="002E7F80" w:rsidRDefault="006D7D40" w:rsidP="00937B00">
      <w:pPr>
        <w:widowControl w:val="0"/>
        <w:spacing w:after="120"/>
        <w:rPr>
          <w:rFonts w:ascii="Times New Roman" w:hAnsi="Times New Roman"/>
          <w:bCs/>
          <w:iCs/>
          <w:szCs w:val="24"/>
        </w:rPr>
      </w:pPr>
      <w:r>
        <w:rPr>
          <w:rFonts w:ascii="Times New Roman" w:hAnsi="Times New Roman"/>
        </w:rPr>
        <w:t xml:space="preserve">La Commission partage l’avis selon lequel les jeunes chercheurs et les chercheurs en début de carrière qui demandent à bénéficier de régimes de financement de l’UE ne devraient pas être confrontés à des obstacles déraisonnables. À cet égard, sur proposition de la Commission, la recommandation du Conseil relative à un cadre européen pour </w:t>
      </w:r>
      <w:r>
        <w:rPr>
          <w:rFonts w:ascii="Times New Roman" w:hAnsi="Times New Roman"/>
        </w:rPr>
        <w:lastRenderedPageBreak/>
        <w:t>attirer et retenir les chercheurs, l’innovation et les entrepreneurs talentueux en Europe contient des recommandations relatives à un soutien spécifique aux chercheurs en ce qui concerne l’accomplissement de leurs tâches administratives, y compris les demandes de financement.</w:t>
      </w:r>
    </w:p>
    <w:p w14:paraId="2077CDC1" w14:textId="0FE95EDD" w:rsidR="003E39C5" w:rsidRPr="002E7F80" w:rsidRDefault="00960B6F" w:rsidP="00937B00">
      <w:pPr>
        <w:widowControl w:val="0"/>
        <w:spacing w:after="120"/>
        <w:rPr>
          <w:rFonts w:ascii="Times New Roman" w:hAnsi="Times New Roman"/>
          <w:bCs/>
          <w:iCs/>
          <w:szCs w:val="24"/>
        </w:rPr>
      </w:pPr>
      <w:r>
        <w:rPr>
          <w:rFonts w:ascii="Times New Roman" w:hAnsi="Times New Roman"/>
        </w:rPr>
        <w:t>En outre, il est important de noter que les actions Marie Skłodowska-Curie apportent un soutien spécifique aux points de contact nationaux dans les pays concernés par l’élargissement afin d’améliorer l’orientation et d’accroître la participation des chercheurs des pays dont on sait qu’ils souffrent de structures d’appui administratif plus faibles. La Commission souligne que les programmes de financement du CER contiennent des dispositions visant à encourager les candidatures de jeunes chercheurs qui ont connu des situations susceptibles d’avoir ralenti leur carrière. En particulier, les chercheurs se trouvant dans la période de 2 à 12 ans suivant le doctorat au moment de la demande peuvent demander des prolongations d’admissibilité pour différents motifs tels que la maternité/paternité, le service militaire, les maladies de longue durée, les catastrophes naturelles ou la demande d’asile.</w:t>
      </w:r>
    </w:p>
    <w:p w14:paraId="5D81BD3A" w14:textId="657F66BC" w:rsidR="007B454B" w:rsidRPr="002E7F80" w:rsidRDefault="007B454B" w:rsidP="00937B00">
      <w:pPr>
        <w:widowControl w:val="0"/>
        <w:spacing w:after="120"/>
        <w:rPr>
          <w:rFonts w:ascii="Times New Roman" w:hAnsi="Times New Roman"/>
          <w:bCs/>
          <w:iCs/>
          <w:szCs w:val="24"/>
          <w:u w:val="single"/>
        </w:rPr>
      </w:pPr>
      <w:r>
        <w:rPr>
          <w:rFonts w:ascii="Times New Roman" w:hAnsi="Times New Roman"/>
          <w:u w:val="single"/>
        </w:rPr>
        <w:t>Paragraphe 42</w:t>
      </w:r>
    </w:p>
    <w:p w14:paraId="2764D6D4" w14:textId="59A4ABDA" w:rsidR="00616F6C" w:rsidRPr="002E7F80" w:rsidRDefault="00616F6C" w:rsidP="00937B00">
      <w:pPr>
        <w:widowControl w:val="0"/>
        <w:spacing w:after="120"/>
        <w:rPr>
          <w:rFonts w:ascii="Times New Roman" w:hAnsi="Times New Roman"/>
          <w:bCs/>
          <w:iCs/>
          <w:szCs w:val="24"/>
        </w:rPr>
      </w:pPr>
      <w:r>
        <w:rPr>
          <w:rFonts w:ascii="Times New Roman" w:hAnsi="Times New Roman"/>
        </w:rPr>
        <w:t>La Commission prend note de la position du Parlement sur le rôle que le programme-cadre peut jouer pour promouvoir une plus grande diversité des carrières dans la recherche et favoriser un changement dans les pratiques de recrutement et de rétention des bénéficiaires. Elle prend également acte de l’appel du Parlement en faveur de nouvelles manières potentielles d’encourager de nouvelles formes de mécanismes de financement institutionnel dans le cadre d’Horizon Europe.</w:t>
      </w:r>
    </w:p>
    <w:p w14:paraId="38868BF3" w14:textId="5B682D5D" w:rsidR="004A4FD1" w:rsidRPr="002E7F80" w:rsidRDefault="007C3A18" w:rsidP="00937B00">
      <w:pPr>
        <w:widowControl w:val="0"/>
        <w:spacing w:after="120"/>
        <w:rPr>
          <w:rFonts w:ascii="Times New Roman" w:hAnsi="Times New Roman"/>
          <w:bCs/>
          <w:iCs/>
          <w:szCs w:val="24"/>
        </w:rPr>
      </w:pPr>
      <w:r>
        <w:rPr>
          <w:rFonts w:ascii="Times New Roman" w:hAnsi="Times New Roman"/>
        </w:rPr>
        <w:t>À cet égard, la Commission tient à souligner qu’un appel pilote au titre d’Horizon Europe est attendu en 2024 dans le but de constituer des consortiums intersectoriels au sein desquels les partenaires unissent leurs forces pour mettre en œuvre les aspects pertinents de la recommandation du Conseil et de la nouvelle charte du chercheur, en mettant particulièrement l’accent sur les chercheurs en début de carrière. L’idée est de favoriser la création d’«écosystèmes de talents» capables de garantir de bonnes conditions de travail et l’employabilité des jeunes chercheurs et des chercheurs en début de carrière, sur la base de l’interaction des partenaires et de leur application des principes de la nouvelle charte du chercheur. Sur la base des résultats du projet pilote, la Commission évaluera les futures pistes possibles.</w:t>
      </w:r>
    </w:p>
    <w:p w14:paraId="46A12625" w14:textId="40EEA688" w:rsidR="008D1E64" w:rsidRPr="002E7F80" w:rsidRDefault="008D1E64" w:rsidP="00937B00">
      <w:pPr>
        <w:widowControl w:val="0"/>
        <w:spacing w:after="120"/>
        <w:rPr>
          <w:rFonts w:ascii="Times New Roman" w:hAnsi="Times New Roman"/>
          <w:bCs/>
          <w:iCs/>
          <w:szCs w:val="24"/>
        </w:rPr>
      </w:pPr>
      <w:r>
        <w:rPr>
          <w:rFonts w:ascii="Times New Roman" w:hAnsi="Times New Roman"/>
        </w:rPr>
        <w:t>La Commission tient également à souligner l’importance de ResearchComp, le cadre européen des compétences pour les chercheurs. Cet outil, qui est désormais pleinement opérationnel avec un site web spécifique, encourage les chercheurs dotés des compétences transversales requises pour un large éventail de carrières dans tous les secteurs concernés de la société. Il est donc essentiel d’offrir aux chercheurs, en particulier dans la phase initiale de leur carrière, un large éventail de possibilités.</w:t>
      </w:r>
    </w:p>
    <w:sectPr w:rsidR="008D1E64" w:rsidRPr="002E7F80" w:rsidSect="000A07D2">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6" w:h="16838" w:code="9"/>
      <w:pgMar w:top="1021" w:right="1701"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D1DF1" w14:textId="77777777" w:rsidR="0017228E" w:rsidRDefault="0017228E">
      <w:r>
        <w:separator/>
      </w:r>
    </w:p>
  </w:endnote>
  <w:endnote w:type="continuationSeparator" w:id="0">
    <w:p w14:paraId="0CAE4DF2" w14:textId="77777777" w:rsidR="0017228E" w:rsidRDefault="00172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90A13"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1FA4258A" w14:textId="77777777" w:rsidR="005E6EC2" w:rsidRDefault="005E6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4C4F0"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246D">
      <w:rPr>
        <w:rStyle w:val="PageNumber"/>
      </w:rPr>
      <w:t>2</w:t>
    </w:r>
    <w:r>
      <w:rPr>
        <w:rStyle w:val="PageNumber"/>
      </w:rPr>
      <w:fldChar w:fldCharType="end"/>
    </w:r>
  </w:p>
  <w:p w14:paraId="7963F3A4" w14:textId="77777777" w:rsidR="005E6EC2" w:rsidRPr="008A6623" w:rsidRDefault="005E6EC2"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BB3E2" w14:textId="6EACB969" w:rsidR="005E6EC2" w:rsidRPr="00937B00" w:rsidRDefault="005E6EC2" w:rsidP="00937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CE208" w14:textId="77777777" w:rsidR="0017228E" w:rsidRDefault="0017228E">
      <w:r>
        <w:separator/>
      </w:r>
    </w:p>
  </w:footnote>
  <w:footnote w:type="continuationSeparator" w:id="0">
    <w:p w14:paraId="059B668C" w14:textId="77777777" w:rsidR="0017228E" w:rsidRDefault="0017228E">
      <w:r>
        <w:continuationSeparator/>
      </w:r>
    </w:p>
  </w:footnote>
  <w:footnote w:id="1">
    <w:p w14:paraId="44571E79" w14:textId="2CC315D7" w:rsidR="00291E58" w:rsidRPr="00291E58" w:rsidRDefault="003B3E5C" w:rsidP="00291E58">
      <w:pPr>
        <w:pStyle w:val="FootnoteText"/>
        <w:spacing w:after="0"/>
        <w:rPr>
          <w:rFonts w:ascii="Times New Roman" w:hAnsi="Times New Roman"/>
        </w:rPr>
      </w:pPr>
      <w:r>
        <w:rPr>
          <w:rStyle w:val="FootnoteReference"/>
        </w:rPr>
        <w:footnoteRef/>
      </w:r>
      <w:r>
        <w:t xml:space="preserve"> </w:t>
      </w:r>
      <w:r>
        <w:tab/>
      </w:r>
      <w:hyperlink r:id="rId1" w:history="1">
        <w:r>
          <w:rPr>
            <w:rStyle w:val="Hyperlink"/>
            <w:rFonts w:ascii="Times New Roman" w:hAnsi="Times New Roman"/>
          </w:rPr>
          <w:t>https://research-and-innovation.ec.europa.eu/funding/funding-opportunities/funding-programmes-and-open-calls/horizon-europe/widening-participation-and-spreading-excellence_fr</w:t>
        </w:r>
      </w:hyperlink>
    </w:p>
  </w:footnote>
  <w:footnote w:id="2">
    <w:p w14:paraId="5FF1A1D3" w14:textId="43301723" w:rsidR="00CF54CE" w:rsidRPr="00C241B5" w:rsidRDefault="00CF54CE" w:rsidP="002E7F80">
      <w:pPr>
        <w:pStyle w:val="FootnoteText"/>
        <w:spacing w:after="0"/>
        <w:rPr>
          <w:rFonts w:ascii="Times New Roman" w:hAnsi="Times New Roman"/>
        </w:rPr>
      </w:pPr>
      <w:r>
        <w:rPr>
          <w:rStyle w:val="FootnoteReference"/>
        </w:rPr>
        <w:footnoteRef/>
      </w:r>
      <w:r>
        <w:t xml:space="preserve"> </w:t>
      </w:r>
      <w:r>
        <w:tab/>
      </w:r>
      <w:r>
        <w:rPr>
          <w:rFonts w:ascii="Times New Roman" w:hAnsi="Times New Roman"/>
          <w:shd w:val="clear" w:color="auto" w:fill="FFFFFF"/>
        </w:rPr>
        <w:t xml:space="preserve">Commission européenne, direction générale de l’éducation, de la jeunesse, du sport et de la culture, Dėlkutė, R., Nikinmaa, J., Pupinis, M. et al., </w:t>
      </w:r>
      <w:r>
        <w:rPr>
          <w:rFonts w:ascii="Times New Roman" w:hAnsi="Times New Roman"/>
          <w:i/>
          <w:shd w:val="clear" w:color="auto" w:fill="FFFFFF"/>
        </w:rPr>
        <w:t>Étude sur les flux de mobilité des chercheurs dans le contexte des actions Marie Sklodowska-Curie — Analyse et recommandations pour une circulation des cerveaux plus équilibrée dans l’espace européen de la recherche</w:t>
      </w:r>
      <w:r>
        <w:rPr>
          <w:rFonts w:ascii="Times New Roman" w:hAnsi="Times New Roman"/>
          <w:shd w:val="clear" w:color="auto" w:fill="FFFFFF"/>
        </w:rPr>
        <w:t xml:space="preserve"> — Rapport final, Office des publications de l’Union européenne, 2022,</w:t>
      </w:r>
      <w:r>
        <w:t xml:space="preserve"> </w:t>
      </w:r>
      <w:hyperlink r:id="rId2" w:tgtFrame="_blank" w:history="1">
        <w:r>
          <w:rPr>
            <w:rStyle w:val="Hyperlink"/>
            <w:rFonts w:ascii="Times New Roman" w:hAnsi="Times New Roman"/>
            <w:color w:val="0E47CB"/>
            <w:shd w:val="clear" w:color="auto" w:fill="FFFFFF"/>
          </w:rPr>
          <w:t>https :// data.europa.eu/doi/10.2766/401134</w:t>
        </w:r>
      </w:hyperlink>
    </w:p>
  </w:footnote>
  <w:footnote w:id="3">
    <w:p w14:paraId="3CC9E241" w14:textId="359037B0" w:rsidR="00291E58" w:rsidRPr="00291E58" w:rsidRDefault="003B3E5C" w:rsidP="00291E58">
      <w:pPr>
        <w:pStyle w:val="FootnoteText"/>
        <w:spacing w:after="0"/>
        <w:rPr>
          <w:rFonts w:ascii="Times New Roman" w:hAnsi="Times New Roman"/>
        </w:rPr>
      </w:pPr>
      <w:r>
        <w:rPr>
          <w:rStyle w:val="FootnoteReference"/>
        </w:rPr>
        <w:footnoteRef/>
      </w:r>
      <w:r>
        <w:t xml:space="preserve"> </w:t>
      </w:r>
      <w:r>
        <w:tab/>
      </w:r>
      <w:hyperlink r:id="rId3" w:history="1">
        <w:r>
          <w:rPr>
            <w:rStyle w:val="Hyperlink"/>
            <w:rFonts w:ascii="Times New Roman" w:hAnsi="Times New Roman"/>
          </w:rPr>
          <w:t>https://eige.europa.eu/gender-mainstreaming/toolkits/gear?language_content_entity=en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C7BA6" w14:textId="77777777" w:rsidR="00937B00" w:rsidRDefault="00937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FCDA4" w14:textId="77777777" w:rsidR="00937B00" w:rsidRDefault="00937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C3AE9" w14:textId="77777777" w:rsidR="00937B00" w:rsidRDefault="00937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3C8321C"/>
    <w:multiLevelType w:val="hybridMultilevel"/>
    <w:tmpl w:val="E75EBFFA"/>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6"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7"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2973D2"/>
    <w:multiLevelType w:val="hybridMultilevel"/>
    <w:tmpl w:val="419A2060"/>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19D23947"/>
    <w:multiLevelType w:val="hybridMultilevel"/>
    <w:tmpl w:val="A4003DA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0"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1"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3" w15:restartNumberingAfterBreak="0">
    <w:nsid w:val="2BBE5D05"/>
    <w:multiLevelType w:val="hybridMultilevel"/>
    <w:tmpl w:val="F7FE6A86"/>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6"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18" w15:restartNumberingAfterBreak="0">
    <w:nsid w:val="4CB87C6D"/>
    <w:multiLevelType w:val="hybridMultilevel"/>
    <w:tmpl w:val="6ECC0A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1393755"/>
    <w:multiLevelType w:val="hybridMultilevel"/>
    <w:tmpl w:val="2046894C"/>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20"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3" w15:restartNumberingAfterBreak="0">
    <w:nsid w:val="641002BF"/>
    <w:multiLevelType w:val="hybridMultilevel"/>
    <w:tmpl w:val="F1CEEE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27" w15:restartNumberingAfterBreak="0">
    <w:nsid w:val="746C1691"/>
    <w:multiLevelType w:val="hybridMultilevel"/>
    <w:tmpl w:val="014C1D4E"/>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55933D9"/>
    <w:multiLevelType w:val="hybridMultilevel"/>
    <w:tmpl w:val="B9D46C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67545DE"/>
    <w:multiLevelType w:val="hybridMultilevel"/>
    <w:tmpl w:val="2E307808"/>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3"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4"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229392919">
    <w:abstractNumId w:val="6"/>
  </w:num>
  <w:num w:numId="2" w16cid:durableId="1219708511">
    <w:abstractNumId w:val="1"/>
  </w:num>
  <w:num w:numId="3" w16cid:durableId="2094818338">
    <w:abstractNumId w:val="33"/>
  </w:num>
  <w:num w:numId="4" w16cid:durableId="1318417368">
    <w:abstractNumId w:val="12"/>
  </w:num>
  <w:num w:numId="5" w16cid:durableId="1218322171">
    <w:abstractNumId w:val="26"/>
  </w:num>
  <w:num w:numId="6" w16cid:durableId="809135451">
    <w:abstractNumId w:val="10"/>
  </w:num>
  <w:num w:numId="7" w16cid:durableId="2108310428">
    <w:abstractNumId w:val="5"/>
  </w:num>
  <w:num w:numId="8" w16cid:durableId="1966040591">
    <w:abstractNumId w:val="15"/>
  </w:num>
  <w:num w:numId="9" w16cid:durableId="1598447002">
    <w:abstractNumId w:val="32"/>
  </w:num>
  <w:num w:numId="10" w16cid:durableId="725104671">
    <w:abstractNumId w:val="22"/>
  </w:num>
  <w:num w:numId="11" w16cid:durableId="1044866174">
    <w:abstractNumId w:val="24"/>
  </w:num>
  <w:num w:numId="12" w16cid:durableId="2075160758">
    <w:abstractNumId w:val="11"/>
  </w:num>
  <w:num w:numId="13" w16cid:durableId="850069378">
    <w:abstractNumId w:val="16"/>
  </w:num>
  <w:num w:numId="14" w16cid:durableId="807012379">
    <w:abstractNumId w:val="28"/>
  </w:num>
  <w:num w:numId="15" w16cid:durableId="2005349784">
    <w:abstractNumId w:val="14"/>
  </w:num>
  <w:num w:numId="16" w16cid:durableId="2071228207">
    <w:abstractNumId w:val="34"/>
  </w:num>
  <w:num w:numId="17" w16cid:durableId="49959140">
    <w:abstractNumId w:val="31"/>
  </w:num>
  <w:num w:numId="18" w16cid:durableId="253173142">
    <w:abstractNumId w:val="20"/>
  </w:num>
  <w:num w:numId="19" w16cid:durableId="1392924034">
    <w:abstractNumId w:val="21"/>
  </w:num>
  <w:num w:numId="20" w16cid:durableId="1171221184">
    <w:abstractNumId w:val="25"/>
  </w:num>
  <w:num w:numId="21" w16cid:durableId="1633320081">
    <w:abstractNumId w:val="3"/>
  </w:num>
  <w:num w:numId="22" w16cid:durableId="1625581786">
    <w:abstractNumId w:val="4"/>
  </w:num>
  <w:num w:numId="23" w16cid:durableId="966621174">
    <w:abstractNumId w:val="19"/>
  </w:num>
  <w:num w:numId="24" w16cid:durableId="117265550">
    <w:abstractNumId w:val="29"/>
  </w:num>
  <w:num w:numId="25" w16cid:durableId="191309146">
    <w:abstractNumId w:val="9"/>
  </w:num>
  <w:num w:numId="26" w16cid:durableId="2028677323">
    <w:abstractNumId w:val="30"/>
  </w:num>
  <w:num w:numId="27" w16cid:durableId="1308320244">
    <w:abstractNumId w:val="8"/>
  </w:num>
  <w:num w:numId="28" w16cid:durableId="2125463588">
    <w:abstractNumId w:val="2"/>
  </w:num>
  <w:num w:numId="29" w16cid:durableId="306281783">
    <w:abstractNumId w:val="13"/>
  </w:num>
  <w:num w:numId="30" w16cid:durableId="695807716">
    <w:abstractNumId w:val="23"/>
  </w:num>
  <w:num w:numId="31" w16cid:durableId="2029135121">
    <w:abstractNumId w:val="33"/>
  </w:num>
  <w:num w:numId="32" w16cid:durableId="89207690">
    <w:abstractNumId w:val="27"/>
  </w:num>
  <w:num w:numId="33" w16cid:durableId="1756170439">
    <w:abstractNumId w:val="17"/>
  </w:num>
  <w:num w:numId="34" w16cid:durableId="247542835">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TEL"/>
  </w:docVars>
  <w:rsids>
    <w:rsidRoot w:val="009A3DA0"/>
    <w:rsid w:val="00000080"/>
    <w:rsid w:val="000001DC"/>
    <w:rsid w:val="0000032F"/>
    <w:rsid w:val="00000397"/>
    <w:rsid w:val="00000486"/>
    <w:rsid w:val="0000050D"/>
    <w:rsid w:val="000005E9"/>
    <w:rsid w:val="000006FD"/>
    <w:rsid w:val="0000071A"/>
    <w:rsid w:val="00000795"/>
    <w:rsid w:val="000009FA"/>
    <w:rsid w:val="00000BE2"/>
    <w:rsid w:val="00000C13"/>
    <w:rsid w:val="00000C40"/>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8D8"/>
    <w:rsid w:val="00004C3F"/>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2E9"/>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35F"/>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3D"/>
    <w:rsid w:val="00036177"/>
    <w:rsid w:val="0003633B"/>
    <w:rsid w:val="00037004"/>
    <w:rsid w:val="00037224"/>
    <w:rsid w:val="000372EF"/>
    <w:rsid w:val="0003737B"/>
    <w:rsid w:val="0003745C"/>
    <w:rsid w:val="0003758E"/>
    <w:rsid w:val="000375BA"/>
    <w:rsid w:val="00037990"/>
    <w:rsid w:val="00040060"/>
    <w:rsid w:val="00040281"/>
    <w:rsid w:val="00040A13"/>
    <w:rsid w:val="00040C7A"/>
    <w:rsid w:val="00040E6E"/>
    <w:rsid w:val="0004105D"/>
    <w:rsid w:val="00041310"/>
    <w:rsid w:val="0004146E"/>
    <w:rsid w:val="000414BC"/>
    <w:rsid w:val="0004189C"/>
    <w:rsid w:val="0004193F"/>
    <w:rsid w:val="0004195A"/>
    <w:rsid w:val="00041A87"/>
    <w:rsid w:val="00041DA3"/>
    <w:rsid w:val="00041F1F"/>
    <w:rsid w:val="0004209B"/>
    <w:rsid w:val="000420DB"/>
    <w:rsid w:val="000421A1"/>
    <w:rsid w:val="00042508"/>
    <w:rsid w:val="00042A8B"/>
    <w:rsid w:val="00042F4E"/>
    <w:rsid w:val="000434BD"/>
    <w:rsid w:val="000436A8"/>
    <w:rsid w:val="00043B7B"/>
    <w:rsid w:val="00043E36"/>
    <w:rsid w:val="000443C3"/>
    <w:rsid w:val="0004455F"/>
    <w:rsid w:val="00044806"/>
    <w:rsid w:val="00044A42"/>
    <w:rsid w:val="00044AB8"/>
    <w:rsid w:val="000454B2"/>
    <w:rsid w:val="00045976"/>
    <w:rsid w:val="00045E41"/>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0C4"/>
    <w:rsid w:val="00051333"/>
    <w:rsid w:val="00051E3C"/>
    <w:rsid w:val="000520B1"/>
    <w:rsid w:val="00052241"/>
    <w:rsid w:val="0005261E"/>
    <w:rsid w:val="00052672"/>
    <w:rsid w:val="00052814"/>
    <w:rsid w:val="000529E9"/>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691"/>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ACB"/>
    <w:rsid w:val="00077B88"/>
    <w:rsid w:val="00077BFB"/>
    <w:rsid w:val="000800AF"/>
    <w:rsid w:val="00080191"/>
    <w:rsid w:val="0008029D"/>
    <w:rsid w:val="000804D5"/>
    <w:rsid w:val="000807AE"/>
    <w:rsid w:val="000807B5"/>
    <w:rsid w:val="00080AD9"/>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3EAD"/>
    <w:rsid w:val="00084044"/>
    <w:rsid w:val="00084211"/>
    <w:rsid w:val="00084419"/>
    <w:rsid w:val="0008449C"/>
    <w:rsid w:val="000845D7"/>
    <w:rsid w:val="000846F8"/>
    <w:rsid w:val="00084B71"/>
    <w:rsid w:val="00084D1E"/>
    <w:rsid w:val="00084DFB"/>
    <w:rsid w:val="0008526A"/>
    <w:rsid w:val="000853EB"/>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66A"/>
    <w:rsid w:val="000918B2"/>
    <w:rsid w:val="00091CE2"/>
    <w:rsid w:val="0009205D"/>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343"/>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D2"/>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0D3"/>
    <w:rsid w:val="000B6139"/>
    <w:rsid w:val="000B61F1"/>
    <w:rsid w:val="000B641A"/>
    <w:rsid w:val="000B64EA"/>
    <w:rsid w:val="000B66DF"/>
    <w:rsid w:val="000B67EE"/>
    <w:rsid w:val="000B6A5E"/>
    <w:rsid w:val="000B70BC"/>
    <w:rsid w:val="000B739A"/>
    <w:rsid w:val="000B73B7"/>
    <w:rsid w:val="000B7631"/>
    <w:rsid w:val="000B7735"/>
    <w:rsid w:val="000B776B"/>
    <w:rsid w:val="000B7A33"/>
    <w:rsid w:val="000B7AF5"/>
    <w:rsid w:val="000B7B36"/>
    <w:rsid w:val="000B7E37"/>
    <w:rsid w:val="000C0100"/>
    <w:rsid w:val="000C027E"/>
    <w:rsid w:val="000C0681"/>
    <w:rsid w:val="000C0999"/>
    <w:rsid w:val="000C0E3A"/>
    <w:rsid w:val="000C0EAA"/>
    <w:rsid w:val="000C0FF7"/>
    <w:rsid w:val="000C109C"/>
    <w:rsid w:val="000C16A2"/>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D3E"/>
    <w:rsid w:val="000C3E3B"/>
    <w:rsid w:val="000C4015"/>
    <w:rsid w:val="000C405D"/>
    <w:rsid w:val="000C4440"/>
    <w:rsid w:val="000C45D5"/>
    <w:rsid w:val="000C4733"/>
    <w:rsid w:val="000C4791"/>
    <w:rsid w:val="000C4804"/>
    <w:rsid w:val="000C486E"/>
    <w:rsid w:val="000C4BEC"/>
    <w:rsid w:val="000C4CD3"/>
    <w:rsid w:val="000C52B2"/>
    <w:rsid w:val="000C53D3"/>
    <w:rsid w:val="000C53D4"/>
    <w:rsid w:val="000C5518"/>
    <w:rsid w:val="000C5720"/>
    <w:rsid w:val="000C5898"/>
    <w:rsid w:val="000C61AB"/>
    <w:rsid w:val="000C628E"/>
    <w:rsid w:val="000C6577"/>
    <w:rsid w:val="000C6610"/>
    <w:rsid w:val="000C6902"/>
    <w:rsid w:val="000C69CA"/>
    <w:rsid w:val="000C71A3"/>
    <w:rsid w:val="000C728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414D"/>
    <w:rsid w:val="000D416D"/>
    <w:rsid w:val="000D4395"/>
    <w:rsid w:val="000D4534"/>
    <w:rsid w:val="000D45F1"/>
    <w:rsid w:val="000D46FC"/>
    <w:rsid w:val="000D47E4"/>
    <w:rsid w:val="000D4894"/>
    <w:rsid w:val="000D4E86"/>
    <w:rsid w:val="000D4EB1"/>
    <w:rsid w:val="000D51B6"/>
    <w:rsid w:val="000D5487"/>
    <w:rsid w:val="000D5579"/>
    <w:rsid w:val="000D5939"/>
    <w:rsid w:val="000D5BB3"/>
    <w:rsid w:val="000D5BD5"/>
    <w:rsid w:val="000D5F7A"/>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06"/>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5B4"/>
    <w:rsid w:val="000E18B0"/>
    <w:rsid w:val="000E198B"/>
    <w:rsid w:val="000E1A41"/>
    <w:rsid w:val="000E1A9E"/>
    <w:rsid w:val="000E1BF8"/>
    <w:rsid w:val="000E1D21"/>
    <w:rsid w:val="000E1EE0"/>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FD0"/>
    <w:rsid w:val="000F0118"/>
    <w:rsid w:val="000F0205"/>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20B"/>
    <w:rsid w:val="000F43EC"/>
    <w:rsid w:val="000F454E"/>
    <w:rsid w:val="000F46D8"/>
    <w:rsid w:val="000F47D5"/>
    <w:rsid w:val="000F48A0"/>
    <w:rsid w:val="000F49EA"/>
    <w:rsid w:val="000F4A60"/>
    <w:rsid w:val="000F4B0A"/>
    <w:rsid w:val="000F4D76"/>
    <w:rsid w:val="000F4E7E"/>
    <w:rsid w:val="000F514F"/>
    <w:rsid w:val="000F52C9"/>
    <w:rsid w:val="000F54AD"/>
    <w:rsid w:val="000F5A73"/>
    <w:rsid w:val="000F5F64"/>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4C"/>
    <w:rsid w:val="00111A81"/>
    <w:rsid w:val="00111D10"/>
    <w:rsid w:val="00112203"/>
    <w:rsid w:val="00112486"/>
    <w:rsid w:val="00112539"/>
    <w:rsid w:val="00112579"/>
    <w:rsid w:val="00112A00"/>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62"/>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B2B"/>
    <w:rsid w:val="00131B4D"/>
    <w:rsid w:val="00131BB3"/>
    <w:rsid w:val="001320D2"/>
    <w:rsid w:val="001322C9"/>
    <w:rsid w:val="001323E0"/>
    <w:rsid w:val="00132432"/>
    <w:rsid w:val="0013245F"/>
    <w:rsid w:val="00132665"/>
    <w:rsid w:val="001327A2"/>
    <w:rsid w:val="00132D6B"/>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1F1"/>
    <w:rsid w:val="001363F1"/>
    <w:rsid w:val="001364BC"/>
    <w:rsid w:val="00136660"/>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96A"/>
    <w:rsid w:val="00143061"/>
    <w:rsid w:val="00143335"/>
    <w:rsid w:val="00143391"/>
    <w:rsid w:val="001438FC"/>
    <w:rsid w:val="00143DDE"/>
    <w:rsid w:val="00143F3D"/>
    <w:rsid w:val="0014413D"/>
    <w:rsid w:val="00145AB8"/>
    <w:rsid w:val="00145BBD"/>
    <w:rsid w:val="00145D7D"/>
    <w:rsid w:val="001463CA"/>
    <w:rsid w:val="00146572"/>
    <w:rsid w:val="0014708A"/>
    <w:rsid w:val="00147197"/>
    <w:rsid w:val="001476D4"/>
    <w:rsid w:val="0014776E"/>
    <w:rsid w:val="00147784"/>
    <w:rsid w:val="00147791"/>
    <w:rsid w:val="001477F4"/>
    <w:rsid w:val="00147B3E"/>
    <w:rsid w:val="00147E95"/>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53D"/>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14D"/>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28E"/>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EE"/>
    <w:rsid w:val="00175520"/>
    <w:rsid w:val="001755D6"/>
    <w:rsid w:val="001755FC"/>
    <w:rsid w:val="00175895"/>
    <w:rsid w:val="00175935"/>
    <w:rsid w:val="00175A18"/>
    <w:rsid w:val="00175C34"/>
    <w:rsid w:val="0017633D"/>
    <w:rsid w:val="001763B3"/>
    <w:rsid w:val="0017648C"/>
    <w:rsid w:val="001764A5"/>
    <w:rsid w:val="00176697"/>
    <w:rsid w:val="001766DB"/>
    <w:rsid w:val="00176734"/>
    <w:rsid w:val="00176748"/>
    <w:rsid w:val="001767FB"/>
    <w:rsid w:val="00176AFC"/>
    <w:rsid w:val="00176E31"/>
    <w:rsid w:val="001772C8"/>
    <w:rsid w:val="00177404"/>
    <w:rsid w:val="001774B6"/>
    <w:rsid w:val="001774D3"/>
    <w:rsid w:val="00177510"/>
    <w:rsid w:val="001777B7"/>
    <w:rsid w:val="001777D3"/>
    <w:rsid w:val="00177816"/>
    <w:rsid w:val="00177996"/>
    <w:rsid w:val="001779AC"/>
    <w:rsid w:val="00177AE0"/>
    <w:rsid w:val="00177AFD"/>
    <w:rsid w:val="00177B86"/>
    <w:rsid w:val="00177CE2"/>
    <w:rsid w:val="00177CF4"/>
    <w:rsid w:val="00177F1E"/>
    <w:rsid w:val="00180116"/>
    <w:rsid w:val="0018050D"/>
    <w:rsid w:val="001807A9"/>
    <w:rsid w:val="00180812"/>
    <w:rsid w:val="0018082C"/>
    <w:rsid w:val="00180C02"/>
    <w:rsid w:val="00180C73"/>
    <w:rsid w:val="00180CA5"/>
    <w:rsid w:val="00180DB8"/>
    <w:rsid w:val="00180DD5"/>
    <w:rsid w:val="001810AC"/>
    <w:rsid w:val="00181350"/>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E17"/>
    <w:rsid w:val="00193FA0"/>
    <w:rsid w:val="0019484D"/>
    <w:rsid w:val="00194A0F"/>
    <w:rsid w:val="00194B51"/>
    <w:rsid w:val="00195512"/>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0D5"/>
    <w:rsid w:val="001A14A4"/>
    <w:rsid w:val="001A1572"/>
    <w:rsid w:val="001A183D"/>
    <w:rsid w:val="001A1CA7"/>
    <w:rsid w:val="001A1DC1"/>
    <w:rsid w:val="001A2019"/>
    <w:rsid w:val="001A2024"/>
    <w:rsid w:val="001A2787"/>
    <w:rsid w:val="001A2A80"/>
    <w:rsid w:val="001A2C40"/>
    <w:rsid w:val="001A2D05"/>
    <w:rsid w:val="001A2EA0"/>
    <w:rsid w:val="001A3205"/>
    <w:rsid w:val="001A332F"/>
    <w:rsid w:val="001A3653"/>
    <w:rsid w:val="001A3A1C"/>
    <w:rsid w:val="001A3A62"/>
    <w:rsid w:val="001A3C4B"/>
    <w:rsid w:val="001A4016"/>
    <w:rsid w:val="001A40E0"/>
    <w:rsid w:val="001A4259"/>
    <w:rsid w:val="001A446E"/>
    <w:rsid w:val="001A45AB"/>
    <w:rsid w:val="001A4C2D"/>
    <w:rsid w:val="001A4CFE"/>
    <w:rsid w:val="001A4D24"/>
    <w:rsid w:val="001A4FE4"/>
    <w:rsid w:val="001A5720"/>
    <w:rsid w:val="001A58FB"/>
    <w:rsid w:val="001A59BE"/>
    <w:rsid w:val="001A5EB0"/>
    <w:rsid w:val="001A5EFC"/>
    <w:rsid w:val="001A5FC1"/>
    <w:rsid w:val="001A602A"/>
    <w:rsid w:val="001A61A3"/>
    <w:rsid w:val="001A63A1"/>
    <w:rsid w:val="001A63A2"/>
    <w:rsid w:val="001A65C7"/>
    <w:rsid w:val="001A6768"/>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463"/>
    <w:rsid w:val="001C04FE"/>
    <w:rsid w:val="001C0985"/>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DB5"/>
    <w:rsid w:val="001C3EC5"/>
    <w:rsid w:val="001C4737"/>
    <w:rsid w:val="001C4833"/>
    <w:rsid w:val="001C48DA"/>
    <w:rsid w:val="001C4A99"/>
    <w:rsid w:val="001C580F"/>
    <w:rsid w:val="001C58C0"/>
    <w:rsid w:val="001C5C8A"/>
    <w:rsid w:val="001C6197"/>
    <w:rsid w:val="001C680C"/>
    <w:rsid w:val="001C68EB"/>
    <w:rsid w:val="001C6B35"/>
    <w:rsid w:val="001C6E36"/>
    <w:rsid w:val="001C6ECF"/>
    <w:rsid w:val="001C7433"/>
    <w:rsid w:val="001C77DB"/>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C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715"/>
    <w:rsid w:val="001E0259"/>
    <w:rsid w:val="001E035B"/>
    <w:rsid w:val="001E03CE"/>
    <w:rsid w:val="001E0A98"/>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C8D"/>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9E1"/>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709"/>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C8D"/>
    <w:rsid w:val="00210F5F"/>
    <w:rsid w:val="00210FDF"/>
    <w:rsid w:val="00210FF4"/>
    <w:rsid w:val="002111C6"/>
    <w:rsid w:val="00211279"/>
    <w:rsid w:val="002118CB"/>
    <w:rsid w:val="0021193D"/>
    <w:rsid w:val="0021199C"/>
    <w:rsid w:val="00211B2F"/>
    <w:rsid w:val="00211B32"/>
    <w:rsid w:val="00211D11"/>
    <w:rsid w:val="00211D71"/>
    <w:rsid w:val="00211FFF"/>
    <w:rsid w:val="00212222"/>
    <w:rsid w:val="00212706"/>
    <w:rsid w:val="002128AE"/>
    <w:rsid w:val="00212B11"/>
    <w:rsid w:val="00212FD8"/>
    <w:rsid w:val="0021304A"/>
    <w:rsid w:val="002130AE"/>
    <w:rsid w:val="002134DA"/>
    <w:rsid w:val="0021353E"/>
    <w:rsid w:val="002135B7"/>
    <w:rsid w:val="0021365E"/>
    <w:rsid w:val="002136AD"/>
    <w:rsid w:val="0021393D"/>
    <w:rsid w:val="00213A2B"/>
    <w:rsid w:val="00213AA0"/>
    <w:rsid w:val="00213D55"/>
    <w:rsid w:val="00213F32"/>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50"/>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3F0D"/>
    <w:rsid w:val="0024431C"/>
    <w:rsid w:val="0024456F"/>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B21"/>
    <w:rsid w:val="00253F47"/>
    <w:rsid w:val="00253F7D"/>
    <w:rsid w:val="00253FB8"/>
    <w:rsid w:val="00254470"/>
    <w:rsid w:val="002544C2"/>
    <w:rsid w:val="0025459C"/>
    <w:rsid w:val="002546A9"/>
    <w:rsid w:val="00254775"/>
    <w:rsid w:val="00255137"/>
    <w:rsid w:val="0025526A"/>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783"/>
    <w:rsid w:val="0026196C"/>
    <w:rsid w:val="00261B14"/>
    <w:rsid w:val="00261BF3"/>
    <w:rsid w:val="00261C78"/>
    <w:rsid w:val="00261D2F"/>
    <w:rsid w:val="00261DD1"/>
    <w:rsid w:val="00261FEE"/>
    <w:rsid w:val="002625B1"/>
    <w:rsid w:val="002625CD"/>
    <w:rsid w:val="0026269C"/>
    <w:rsid w:val="00262AC3"/>
    <w:rsid w:val="00262ACD"/>
    <w:rsid w:val="00262BA1"/>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7CA"/>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BAA"/>
    <w:rsid w:val="00275E50"/>
    <w:rsid w:val="00276574"/>
    <w:rsid w:val="00276944"/>
    <w:rsid w:val="00276AF9"/>
    <w:rsid w:val="00276CAD"/>
    <w:rsid w:val="00276CDF"/>
    <w:rsid w:val="00276F0F"/>
    <w:rsid w:val="0027701F"/>
    <w:rsid w:val="00277198"/>
    <w:rsid w:val="002772F2"/>
    <w:rsid w:val="00277399"/>
    <w:rsid w:val="002777D6"/>
    <w:rsid w:val="0027789B"/>
    <w:rsid w:val="00277C97"/>
    <w:rsid w:val="00277DBC"/>
    <w:rsid w:val="00277F8B"/>
    <w:rsid w:val="00280616"/>
    <w:rsid w:val="002806D9"/>
    <w:rsid w:val="0028080A"/>
    <w:rsid w:val="00280966"/>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1E58"/>
    <w:rsid w:val="002922CA"/>
    <w:rsid w:val="002924ED"/>
    <w:rsid w:val="0029256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2D8"/>
    <w:rsid w:val="00295404"/>
    <w:rsid w:val="00295489"/>
    <w:rsid w:val="002954EC"/>
    <w:rsid w:val="002957C4"/>
    <w:rsid w:val="0029582E"/>
    <w:rsid w:val="00295995"/>
    <w:rsid w:val="00295A12"/>
    <w:rsid w:val="00295A33"/>
    <w:rsid w:val="00295B63"/>
    <w:rsid w:val="00295D26"/>
    <w:rsid w:val="00296014"/>
    <w:rsid w:val="002962E6"/>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3EA2"/>
    <w:rsid w:val="002A4132"/>
    <w:rsid w:val="002A4221"/>
    <w:rsid w:val="002A466C"/>
    <w:rsid w:val="002A46B9"/>
    <w:rsid w:val="002A4EA4"/>
    <w:rsid w:val="002A5068"/>
    <w:rsid w:val="002A52D1"/>
    <w:rsid w:val="002A5B34"/>
    <w:rsid w:val="002A5BCC"/>
    <w:rsid w:val="002A648C"/>
    <w:rsid w:val="002A6A37"/>
    <w:rsid w:val="002A728E"/>
    <w:rsid w:val="002A7347"/>
    <w:rsid w:val="002A75AE"/>
    <w:rsid w:val="002A7744"/>
    <w:rsid w:val="002A7A3E"/>
    <w:rsid w:val="002A7B9D"/>
    <w:rsid w:val="002A7F12"/>
    <w:rsid w:val="002B038F"/>
    <w:rsid w:val="002B0486"/>
    <w:rsid w:val="002B0499"/>
    <w:rsid w:val="002B0BA4"/>
    <w:rsid w:val="002B0E1C"/>
    <w:rsid w:val="002B0FE7"/>
    <w:rsid w:val="002B1450"/>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5C23"/>
    <w:rsid w:val="002B606D"/>
    <w:rsid w:val="002B60CB"/>
    <w:rsid w:val="002B627D"/>
    <w:rsid w:val="002B649E"/>
    <w:rsid w:val="002B64A3"/>
    <w:rsid w:val="002B65C7"/>
    <w:rsid w:val="002B6882"/>
    <w:rsid w:val="002B6B4F"/>
    <w:rsid w:val="002B6C64"/>
    <w:rsid w:val="002B6CFB"/>
    <w:rsid w:val="002B6D3A"/>
    <w:rsid w:val="002B6E97"/>
    <w:rsid w:val="002B7AD5"/>
    <w:rsid w:val="002B7BAF"/>
    <w:rsid w:val="002B7BEB"/>
    <w:rsid w:val="002B7CCD"/>
    <w:rsid w:val="002C0046"/>
    <w:rsid w:val="002C00E0"/>
    <w:rsid w:val="002C05F0"/>
    <w:rsid w:val="002C0661"/>
    <w:rsid w:val="002C085E"/>
    <w:rsid w:val="002C089B"/>
    <w:rsid w:val="002C093A"/>
    <w:rsid w:val="002C0C05"/>
    <w:rsid w:val="002C0FF0"/>
    <w:rsid w:val="002C11A0"/>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0BD"/>
    <w:rsid w:val="002D032B"/>
    <w:rsid w:val="002D0428"/>
    <w:rsid w:val="002D05A0"/>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36B"/>
    <w:rsid w:val="002D6CF0"/>
    <w:rsid w:val="002D6FFE"/>
    <w:rsid w:val="002D7047"/>
    <w:rsid w:val="002D70C1"/>
    <w:rsid w:val="002D784E"/>
    <w:rsid w:val="002D7930"/>
    <w:rsid w:val="002D7B18"/>
    <w:rsid w:val="002D7B49"/>
    <w:rsid w:val="002E090F"/>
    <w:rsid w:val="002E0967"/>
    <w:rsid w:val="002E0F16"/>
    <w:rsid w:val="002E0FA2"/>
    <w:rsid w:val="002E13A0"/>
    <w:rsid w:val="002E185A"/>
    <w:rsid w:val="002E1C42"/>
    <w:rsid w:val="002E1E26"/>
    <w:rsid w:val="002E2748"/>
    <w:rsid w:val="002E2A70"/>
    <w:rsid w:val="002E2B77"/>
    <w:rsid w:val="002E33BF"/>
    <w:rsid w:val="002E37B5"/>
    <w:rsid w:val="002E380E"/>
    <w:rsid w:val="002E3B41"/>
    <w:rsid w:val="002E3DF0"/>
    <w:rsid w:val="002E4608"/>
    <w:rsid w:val="002E4671"/>
    <w:rsid w:val="002E4E82"/>
    <w:rsid w:val="002E4EE2"/>
    <w:rsid w:val="002E5335"/>
    <w:rsid w:val="002E5734"/>
    <w:rsid w:val="002E5811"/>
    <w:rsid w:val="002E5AF7"/>
    <w:rsid w:val="002E5CF2"/>
    <w:rsid w:val="002E5F3B"/>
    <w:rsid w:val="002E660A"/>
    <w:rsid w:val="002E6799"/>
    <w:rsid w:val="002E6C40"/>
    <w:rsid w:val="002E6CCF"/>
    <w:rsid w:val="002E6E72"/>
    <w:rsid w:val="002E706B"/>
    <w:rsid w:val="002E7523"/>
    <w:rsid w:val="002E7AA9"/>
    <w:rsid w:val="002E7ABC"/>
    <w:rsid w:val="002E7BCD"/>
    <w:rsid w:val="002E7D0A"/>
    <w:rsid w:val="002E7F80"/>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B8F"/>
    <w:rsid w:val="002F2EEA"/>
    <w:rsid w:val="002F3307"/>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44B"/>
    <w:rsid w:val="002F688E"/>
    <w:rsid w:val="002F6B0D"/>
    <w:rsid w:val="002F6B84"/>
    <w:rsid w:val="002F6D2F"/>
    <w:rsid w:val="002F6D5F"/>
    <w:rsid w:val="002F76CC"/>
    <w:rsid w:val="002F77DD"/>
    <w:rsid w:val="002F78D9"/>
    <w:rsid w:val="002F793B"/>
    <w:rsid w:val="002F7AC3"/>
    <w:rsid w:val="003001EC"/>
    <w:rsid w:val="00300379"/>
    <w:rsid w:val="003005E7"/>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5FD"/>
    <w:rsid w:val="0030679B"/>
    <w:rsid w:val="003067B0"/>
    <w:rsid w:val="00306914"/>
    <w:rsid w:val="00306DA0"/>
    <w:rsid w:val="00306FED"/>
    <w:rsid w:val="003076A7"/>
    <w:rsid w:val="003078FC"/>
    <w:rsid w:val="00307C81"/>
    <w:rsid w:val="003100B4"/>
    <w:rsid w:val="00310475"/>
    <w:rsid w:val="003107E7"/>
    <w:rsid w:val="00310AF2"/>
    <w:rsid w:val="00310CE4"/>
    <w:rsid w:val="0031100E"/>
    <w:rsid w:val="00311194"/>
    <w:rsid w:val="0031125F"/>
    <w:rsid w:val="0031136C"/>
    <w:rsid w:val="0031177F"/>
    <w:rsid w:val="00311B7B"/>
    <w:rsid w:val="00311F51"/>
    <w:rsid w:val="003122E8"/>
    <w:rsid w:val="00312635"/>
    <w:rsid w:val="00312B96"/>
    <w:rsid w:val="00312BA3"/>
    <w:rsid w:val="00313B7C"/>
    <w:rsid w:val="00313C32"/>
    <w:rsid w:val="00313EDB"/>
    <w:rsid w:val="00314017"/>
    <w:rsid w:val="00314034"/>
    <w:rsid w:val="00314397"/>
    <w:rsid w:val="003144BA"/>
    <w:rsid w:val="00314523"/>
    <w:rsid w:val="00314645"/>
    <w:rsid w:val="003149A3"/>
    <w:rsid w:val="00314B2A"/>
    <w:rsid w:val="00315000"/>
    <w:rsid w:val="003153D9"/>
    <w:rsid w:val="0031550B"/>
    <w:rsid w:val="00315540"/>
    <w:rsid w:val="00315A9D"/>
    <w:rsid w:val="00315E08"/>
    <w:rsid w:val="00316755"/>
    <w:rsid w:val="003169B6"/>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D0"/>
    <w:rsid w:val="00322ED9"/>
    <w:rsid w:val="00322FA3"/>
    <w:rsid w:val="00323450"/>
    <w:rsid w:val="0032350B"/>
    <w:rsid w:val="00323BC5"/>
    <w:rsid w:val="00323BEB"/>
    <w:rsid w:val="00324673"/>
    <w:rsid w:val="00324B9B"/>
    <w:rsid w:val="00324D46"/>
    <w:rsid w:val="00324DE1"/>
    <w:rsid w:val="003250DD"/>
    <w:rsid w:val="003257CD"/>
    <w:rsid w:val="00325B0D"/>
    <w:rsid w:val="00325B56"/>
    <w:rsid w:val="00325DF1"/>
    <w:rsid w:val="0032655A"/>
    <w:rsid w:val="003268E8"/>
    <w:rsid w:val="00326C01"/>
    <w:rsid w:val="00326D93"/>
    <w:rsid w:val="003273F4"/>
    <w:rsid w:val="0032744B"/>
    <w:rsid w:val="00327607"/>
    <w:rsid w:val="00327618"/>
    <w:rsid w:val="00327764"/>
    <w:rsid w:val="0032789C"/>
    <w:rsid w:val="003279D2"/>
    <w:rsid w:val="00327C5F"/>
    <w:rsid w:val="00327FFA"/>
    <w:rsid w:val="00330315"/>
    <w:rsid w:val="003308CB"/>
    <w:rsid w:val="00330F5F"/>
    <w:rsid w:val="003313FF"/>
    <w:rsid w:val="00331867"/>
    <w:rsid w:val="00331871"/>
    <w:rsid w:val="003319F5"/>
    <w:rsid w:val="00331AB5"/>
    <w:rsid w:val="00331DB9"/>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90"/>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2E"/>
    <w:rsid w:val="00347C45"/>
    <w:rsid w:val="00347D45"/>
    <w:rsid w:val="00347DF7"/>
    <w:rsid w:val="00347F2F"/>
    <w:rsid w:val="00347FD5"/>
    <w:rsid w:val="003502F1"/>
    <w:rsid w:val="003503E7"/>
    <w:rsid w:val="00350557"/>
    <w:rsid w:val="00350967"/>
    <w:rsid w:val="00350A35"/>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907"/>
    <w:rsid w:val="00353C8B"/>
    <w:rsid w:val="00353DCC"/>
    <w:rsid w:val="00353E7D"/>
    <w:rsid w:val="003542D4"/>
    <w:rsid w:val="003543DA"/>
    <w:rsid w:val="00354514"/>
    <w:rsid w:val="0035483F"/>
    <w:rsid w:val="00354B65"/>
    <w:rsid w:val="00354B6B"/>
    <w:rsid w:val="00354B7A"/>
    <w:rsid w:val="00354F05"/>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02E"/>
    <w:rsid w:val="00362166"/>
    <w:rsid w:val="003623F6"/>
    <w:rsid w:val="00362556"/>
    <w:rsid w:val="00362709"/>
    <w:rsid w:val="0036283F"/>
    <w:rsid w:val="00362CBC"/>
    <w:rsid w:val="00362F6B"/>
    <w:rsid w:val="00362F78"/>
    <w:rsid w:val="00363328"/>
    <w:rsid w:val="0036335B"/>
    <w:rsid w:val="0036357F"/>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10C"/>
    <w:rsid w:val="00373187"/>
    <w:rsid w:val="00373254"/>
    <w:rsid w:val="003733D9"/>
    <w:rsid w:val="003734B6"/>
    <w:rsid w:val="00373684"/>
    <w:rsid w:val="003738DA"/>
    <w:rsid w:val="00373990"/>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A2"/>
    <w:rsid w:val="00382ACB"/>
    <w:rsid w:val="00382B3E"/>
    <w:rsid w:val="00382DAE"/>
    <w:rsid w:val="00382E5F"/>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7DB"/>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9BE"/>
    <w:rsid w:val="00387AA7"/>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A69"/>
    <w:rsid w:val="00392E4E"/>
    <w:rsid w:val="003930EB"/>
    <w:rsid w:val="003931D8"/>
    <w:rsid w:val="00393229"/>
    <w:rsid w:val="00393509"/>
    <w:rsid w:val="00393569"/>
    <w:rsid w:val="00393C42"/>
    <w:rsid w:val="00393EFB"/>
    <w:rsid w:val="003942F1"/>
    <w:rsid w:val="00394705"/>
    <w:rsid w:val="0039480F"/>
    <w:rsid w:val="00394B28"/>
    <w:rsid w:val="00394B89"/>
    <w:rsid w:val="00395151"/>
    <w:rsid w:val="0039525E"/>
    <w:rsid w:val="00395514"/>
    <w:rsid w:val="0039554E"/>
    <w:rsid w:val="003957BB"/>
    <w:rsid w:val="00395C25"/>
    <w:rsid w:val="00395C2B"/>
    <w:rsid w:val="00395C4B"/>
    <w:rsid w:val="00395C7A"/>
    <w:rsid w:val="00395CC6"/>
    <w:rsid w:val="00395E22"/>
    <w:rsid w:val="00395FEF"/>
    <w:rsid w:val="003961B5"/>
    <w:rsid w:val="003962D6"/>
    <w:rsid w:val="0039638D"/>
    <w:rsid w:val="00396828"/>
    <w:rsid w:val="00396E02"/>
    <w:rsid w:val="00397119"/>
    <w:rsid w:val="0039723A"/>
    <w:rsid w:val="003975C0"/>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2F17"/>
    <w:rsid w:val="003B32F5"/>
    <w:rsid w:val="003B38CD"/>
    <w:rsid w:val="003B3A56"/>
    <w:rsid w:val="003B3D10"/>
    <w:rsid w:val="003B3E5C"/>
    <w:rsid w:val="003B3F0A"/>
    <w:rsid w:val="003B44FE"/>
    <w:rsid w:val="003B46B5"/>
    <w:rsid w:val="003B4849"/>
    <w:rsid w:val="003B4A40"/>
    <w:rsid w:val="003B4A70"/>
    <w:rsid w:val="003B4D62"/>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F26"/>
    <w:rsid w:val="003C40A4"/>
    <w:rsid w:val="003C44E3"/>
    <w:rsid w:val="003C45A6"/>
    <w:rsid w:val="003C4DC1"/>
    <w:rsid w:val="003C4ED1"/>
    <w:rsid w:val="003C4EEA"/>
    <w:rsid w:val="003C511B"/>
    <w:rsid w:val="003C53A9"/>
    <w:rsid w:val="003C53B5"/>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C7ADF"/>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4E8"/>
    <w:rsid w:val="003D37D4"/>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0AA"/>
    <w:rsid w:val="003D728F"/>
    <w:rsid w:val="003D7461"/>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860"/>
    <w:rsid w:val="003E39C5"/>
    <w:rsid w:val="003E3A1D"/>
    <w:rsid w:val="003E3A8B"/>
    <w:rsid w:val="003E3B82"/>
    <w:rsid w:val="003E3CC2"/>
    <w:rsid w:val="003E404F"/>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E7E8B"/>
    <w:rsid w:val="003F006A"/>
    <w:rsid w:val="003F01F6"/>
    <w:rsid w:val="003F020C"/>
    <w:rsid w:val="003F033C"/>
    <w:rsid w:val="003F03C4"/>
    <w:rsid w:val="003F04C5"/>
    <w:rsid w:val="003F05B1"/>
    <w:rsid w:val="003F066F"/>
    <w:rsid w:val="003F07C3"/>
    <w:rsid w:val="003F0C9B"/>
    <w:rsid w:val="003F110B"/>
    <w:rsid w:val="003F1299"/>
    <w:rsid w:val="003F1C0F"/>
    <w:rsid w:val="003F1F1D"/>
    <w:rsid w:val="003F2A8C"/>
    <w:rsid w:val="003F2CEF"/>
    <w:rsid w:val="003F2DEE"/>
    <w:rsid w:val="003F307C"/>
    <w:rsid w:val="003F31AE"/>
    <w:rsid w:val="003F325F"/>
    <w:rsid w:val="003F3282"/>
    <w:rsid w:val="003F34C8"/>
    <w:rsid w:val="003F3650"/>
    <w:rsid w:val="003F3733"/>
    <w:rsid w:val="003F3919"/>
    <w:rsid w:val="003F3982"/>
    <w:rsid w:val="003F39F1"/>
    <w:rsid w:val="003F3B8F"/>
    <w:rsid w:val="003F3CE3"/>
    <w:rsid w:val="003F416F"/>
    <w:rsid w:val="003F41F2"/>
    <w:rsid w:val="003F441C"/>
    <w:rsid w:val="003F443F"/>
    <w:rsid w:val="003F44C8"/>
    <w:rsid w:val="003F45EB"/>
    <w:rsid w:val="003F46B8"/>
    <w:rsid w:val="003F49CA"/>
    <w:rsid w:val="003F4D21"/>
    <w:rsid w:val="003F4DA7"/>
    <w:rsid w:val="003F5277"/>
    <w:rsid w:val="003F576C"/>
    <w:rsid w:val="003F57F4"/>
    <w:rsid w:val="003F5BB3"/>
    <w:rsid w:val="003F5C88"/>
    <w:rsid w:val="003F62DB"/>
    <w:rsid w:val="003F62DE"/>
    <w:rsid w:val="003F62ED"/>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FCB"/>
    <w:rsid w:val="0040203A"/>
    <w:rsid w:val="00402B30"/>
    <w:rsid w:val="00402C69"/>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E5B"/>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0F60"/>
    <w:rsid w:val="004112AE"/>
    <w:rsid w:val="00411903"/>
    <w:rsid w:val="00411CCB"/>
    <w:rsid w:val="00411E7E"/>
    <w:rsid w:val="00411F4F"/>
    <w:rsid w:val="00412042"/>
    <w:rsid w:val="004124B3"/>
    <w:rsid w:val="00412535"/>
    <w:rsid w:val="00412A7B"/>
    <w:rsid w:val="00412B5E"/>
    <w:rsid w:val="00412C90"/>
    <w:rsid w:val="00412D0B"/>
    <w:rsid w:val="0041303A"/>
    <w:rsid w:val="00413097"/>
    <w:rsid w:val="004134C0"/>
    <w:rsid w:val="00413C08"/>
    <w:rsid w:val="00413FFE"/>
    <w:rsid w:val="00414299"/>
    <w:rsid w:val="004145B4"/>
    <w:rsid w:val="00414967"/>
    <w:rsid w:val="00414B5B"/>
    <w:rsid w:val="00414C19"/>
    <w:rsid w:val="00414CAD"/>
    <w:rsid w:val="004150F4"/>
    <w:rsid w:val="00415BC5"/>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5DE"/>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38"/>
    <w:rsid w:val="00425987"/>
    <w:rsid w:val="00425A69"/>
    <w:rsid w:val="00425B72"/>
    <w:rsid w:val="00425E08"/>
    <w:rsid w:val="00425F1B"/>
    <w:rsid w:val="004260FD"/>
    <w:rsid w:val="004266A3"/>
    <w:rsid w:val="004266B1"/>
    <w:rsid w:val="00427696"/>
    <w:rsid w:val="00427865"/>
    <w:rsid w:val="00427876"/>
    <w:rsid w:val="004278E6"/>
    <w:rsid w:val="00430012"/>
    <w:rsid w:val="004302B7"/>
    <w:rsid w:val="0043054F"/>
    <w:rsid w:val="00430567"/>
    <w:rsid w:val="004308E5"/>
    <w:rsid w:val="004309DD"/>
    <w:rsid w:val="004309E8"/>
    <w:rsid w:val="00430DFD"/>
    <w:rsid w:val="00431096"/>
    <w:rsid w:val="004322D4"/>
    <w:rsid w:val="00432570"/>
    <w:rsid w:val="0043269D"/>
    <w:rsid w:val="00432A76"/>
    <w:rsid w:val="00432F05"/>
    <w:rsid w:val="004330BC"/>
    <w:rsid w:val="00433783"/>
    <w:rsid w:val="0043396B"/>
    <w:rsid w:val="00433C0B"/>
    <w:rsid w:val="00434174"/>
    <w:rsid w:val="0043417D"/>
    <w:rsid w:val="00434627"/>
    <w:rsid w:val="0043479C"/>
    <w:rsid w:val="00434A59"/>
    <w:rsid w:val="00434D4B"/>
    <w:rsid w:val="00434E88"/>
    <w:rsid w:val="00435099"/>
    <w:rsid w:val="004350A2"/>
    <w:rsid w:val="00435101"/>
    <w:rsid w:val="00435175"/>
    <w:rsid w:val="004351AE"/>
    <w:rsid w:val="00435632"/>
    <w:rsid w:val="00435734"/>
    <w:rsid w:val="0043584E"/>
    <w:rsid w:val="004358C5"/>
    <w:rsid w:val="0043594B"/>
    <w:rsid w:val="00435D10"/>
    <w:rsid w:val="004362BB"/>
    <w:rsid w:val="004368AE"/>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77EF"/>
    <w:rsid w:val="00447895"/>
    <w:rsid w:val="00447A16"/>
    <w:rsid w:val="00447A38"/>
    <w:rsid w:val="00447BCF"/>
    <w:rsid w:val="00450446"/>
    <w:rsid w:val="004504D6"/>
    <w:rsid w:val="00450573"/>
    <w:rsid w:val="004507E5"/>
    <w:rsid w:val="00450AC0"/>
    <w:rsid w:val="00450D71"/>
    <w:rsid w:val="00450D7B"/>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3FF4"/>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4D"/>
    <w:rsid w:val="00465877"/>
    <w:rsid w:val="00465A90"/>
    <w:rsid w:val="00465AEB"/>
    <w:rsid w:val="00465CC2"/>
    <w:rsid w:val="00466357"/>
    <w:rsid w:val="004665D2"/>
    <w:rsid w:val="0046689D"/>
    <w:rsid w:val="00466AB7"/>
    <w:rsid w:val="00466B35"/>
    <w:rsid w:val="00466C93"/>
    <w:rsid w:val="00466D14"/>
    <w:rsid w:val="00466DE0"/>
    <w:rsid w:val="00466DF8"/>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5C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8E5"/>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4FD1"/>
    <w:rsid w:val="004A537E"/>
    <w:rsid w:val="004A545D"/>
    <w:rsid w:val="004A5541"/>
    <w:rsid w:val="004A5660"/>
    <w:rsid w:val="004A5E07"/>
    <w:rsid w:val="004A5F03"/>
    <w:rsid w:val="004A5F07"/>
    <w:rsid w:val="004A6334"/>
    <w:rsid w:val="004A643D"/>
    <w:rsid w:val="004A6C66"/>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77F"/>
    <w:rsid w:val="004B28A2"/>
    <w:rsid w:val="004B2BFD"/>
    <w:rsid w:val="004B2C50"/>
    <w:rsid w:val="004B33B9"/>
    <w:rsid w:val="004B340E"/>
    <w:rsid w:val="004B3420"/>
    <w:rsid w:val="004B37E4"/>
    <w:rsid w:val="004B399F"/>
    <w:rsid w:val="004B39D5"/>
    <w:rsid w:val="004B39F4"/>
    <w:rsid w:val="004B42FD"/>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B7EC1"/>
    <w:rsid w:val="004C0571"/>
    <w:rsid w:val="004C093C"/>
    <w:rsid w:val="004C0BC9"/>
    <w:rsid w:val="004C0DF1"/>
    <w:rsid w:val="004C0DF8"/>
    <w:rsid w:val="004C0E96"/>
    <w:rsid w:val="004C0EF6"/>
    <w:rsid w:val="004C1479"/>
    <w:rsid w:val="004C14A0"/>
    <w:rsid w:val="004C1697"/>
    <w:rsid w:val="004C1747"/>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7B"/>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B8C"/>
    <w:rsid w:val="004C7F3E"/>
    <w:rsid w:val="004D05F3"/>
    <w:rsid w:val="004D08BF"/>
    <w:rsid w:val="004D0B9F"/>
    <w:rsid w:val="004D0C77"/>
    <w:rsid w:val="004D0DD6"/>
    <w:rsid w:val="004D0FF1"/>
    <w:rsid w:val="004D1027"/>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E24"/>
    <w:rsid w:val="004D3FDF"/>
    <w:rsid w:val="004D4312"/>
    <w:rsid w:val="004D4544"/>
    <w:rsid w:val="004D4647"/>
    <w:rsid w:val="004D4C47"/>
    <w:rsid w:val="004D5477"/>
    <w:rsid w:val="004D5745"/>
    <w:rsid w:val="004D5CD9"/>
    <w:rsid w:val="004D5E82"/>
    <w:rsid w:val="004D5F42"/>
    <w:rsid w:val="004D602D"/>
    <w:rsid w:val="004D6687"/>
    <w:rsid w:val="004D6CF4"/>
    <w:rsid w:val="004D6E44"/>
    <w:rsid w:val="004D6EDA"/>
    <w:rsid w:val="004D6EE2"/>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4C70"/>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ACA"/>
    <w:rsid w:val="00502D0D"/>
    <w:rsid w:val="00502D67"/>
    <w:rsid w:val="00502F22"/>
    <w:rsid w:val="0050310D"/>
    <w:rsid w:val="0050345A"/>
    <w:rsid w:val="005035BF"/>
    <w:rsid w:val="0050397D"/>
    <w:rsid w:val="0050461E"/>
    <w:rsid w:val="005049A3"/>
    <w:rsid w:val="0050505C"/>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267"/>
    <w:rsid w:val="00512314"/>
    <w:rsid w:val="005123D3"/>
    <w:rsid w:val="00512A6D"/>
    <w:rsid w:val="00512BA1"/>
    <w:rsid w:val="00513395"/>
    <w:rsid w:val="0051347D"/>
    <w:rsid w:val="0051349F"/>
    <w:rsid w:val="00513851"/>
    <w:rsid w:val="00513877"/>
    <w:rsid w:val="00513BF5"/>
    <w:rsid w:val="00513CF8"/>
    <w:rsid w:val="005140E6"/>
    <w:rsid w:val="0051411E"/>
    <w:rsid w:val="0051440E"/>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DBA"/>
    <w:rsid w:val="00516E9F"/>
    <w:rsid w:val="00516F49"/>
    <w:rsid w:val="00516FE4"/>
    <w:rsid w:val="0051702A"/>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209B"/>
    <w:rsid w:val="005221B2"/>
    <w:rsid w:val="005223A5"/>
    <w:rsid w:val="0052243A"/>
    <w:rsid w:val="0052299E"/>
    <w:rsid w:val="00522DDE"/>
    <w:rsid w:val="0052304E"/>
    <w:rsid w:val="00523157"/>
    <w:rsid w:val="0052349A"/>
    <w:rsid w:val="005235CB"/>
    <w:rsid w:val="005236AB"/>
    <w:rsid w:val="005237B8"/>
    <w:rsid w:val="005237BA"/>
    <w:rsid w:val="00523843"/>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4A"/>
    <w:rsid w:val="005273F0"/>
    <w:rsid w:val="00527995"/>
    <w:rsid w:val="00527B51"/>
    <w:rsid w:val="00527CA2"/>
    <w:rsid w:val="0053006E"/>
    <w:rsid w:val="005300DA"/>
    <w:rsid w:val="00530157"/>
    <w:rsid w:val="00530208"/>
    <w:rsid w:val="00530472"/>
    <w:rsid w:val="005308E1"/>
    <w:rsid w:val="00530A79"/>
    <w:rsid w:val="00530CAC"/>
    <w:rsid w:val="00530D36"/>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5D4D"/>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46"/>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671"/>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FED"/>
    <w:rsid w:val="00552C21"/>
    <w:rsid w:val="00552DB9"/>
    <w:rsid w:val="00552E5E"/>
    <w:rsid w:val="00553081"/>
    <w:rsid w:val="005535AA"/>
    <w:rsid w:val="0055362B"/>
    <w:rsid w:val="005536A7"/>
    <w:rsid w:val="005537A2"/>
    <w:rsid w:val="00553DAD"/>
    <w:rsid w:val="00554758"/>
    <w:rsid w:val="00554ACD"/>
    <w:rsid w:val="00554C20"/>
    <w:rsid w:val="00554D72"/>
    <w:rsid w:val="00554DAD"/>
    <w:rsid w:val="00554FA2"/>
    <w:rsid w:val="005550E6"/>
    <w:rsid w:val="0055520C"/>
    <w:rsid w:val="005554BC"/>
    <w:rsid w:val="005555D3"/>
    <w:rsid w:val="005558D9"/>
    <w:rsid w:val="00555B72"/>
    <w:rsid w:val="00555BD7"/>
    <w:rsid w:val="00555CF6"/>
    <w:rsid w:val="00556361"/>
    <w:rsid w:val="005564B8"/>
    <w:rsid w:val="005569FC"/>
    <w:rsid w:val="00556A21"/>
    <w:rsid w:val="00556CB1"/>
    <w:rsid w:val="00556E35"/>
    <w:rsid w:val="00556F11"/>
    <w:rsid w:val="00556FD5"/>
    <w:rsid w:val="005570F7"/>
    <w:rsid w:val="0055711F"/>
    <w:rsid w:val="00557270"/>
    <w:rsid w:val="00557359"/>
    <w:rsid w:val="00557827"/>
    <w:rsid w:val="00557B9E"/>
    <w:rsid w:val="00557DE4"/>
    <w:rsid w:val="00557F82"/>
    <w:rsid w:val="00560102"/>
    <w:rsid w:val="005606DA"/>
    <w:rsid w:val="005609D2"/>
    <w:rsid w:val="00560A3D"/>
    <w:rsid w:val="00560F0F"/>
    <w:rsid w:val="005610A0"/>
    <w:rsid w:val="005612D0"/>
    <w:rsid w:val="00561631"/>
    <w:rsid w:val="0056185C"/>
    <w:rsid w:val="00561E6D"/>
    <w:rsid w:val="00561F9C"/>
    <w:rsid w:val="005621A6"/>
    <w:rsid w:val="005623E8"/>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7DB"/>
    <w:rsid w:val="005648E4"/>
    <w:rsid w:val="00565272"/>
    <w:rsid w:val="00565921"/>
    <w:rsid w:val="00565D02"/>
    <w:rsid w:val="00565F56"/>
    <w:rsid w:val="0056610C"/>
    <w:rsid w:val="0056637F"/>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2E"/>
    <w:rsid w:val="00575284"/>
    <w:rsid w:val="0057546D"/>
    <w:rsid w:val="0057554A"/>
    <w:rsid w:val="00575822"/>
    <w:rsid w:val="00575973"/>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CCE"/>
    <w:rsid w:val="005814E6"/>
    <w:rsid w:val="0058172C"/>
    <w:rsid w:val="00581958"/>
    <w:rsid w:val="00581A42"/>
    <w:rsid w:val="00581C03"/>
    <w:rsid w:val="00581D7D"/>
    <w:rsid w:val="005821CC"/>
    <w:rsid w:val="00582D68"/>
    <w:rsid w:val="00582E7D"/>
    <w:rsid w:val="00582E8D"/>
    <w:rsid w:val="005833D3"/>
    <w:rsid w:val="00583454"/>
    <w:rsid w:val="00583944"/>
    <w:rsid w:val="00583E5F"/>
    <w:rsid w:val="00584205"/>
    <w:rsid w:val="00584757"/>
    <w:rsid w:val="00584838"/>
    <w:rsid w:val="00584BFE"/>
    <w:rsid w:val="00584D23"/>
    <w:rsid w:val="00584D98"/>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AF2"/>
    <w:rsid w:val="00586E61"/>
    <w:rsid w:val="00586F26"/>
    <w:rsid w:val="00587122"/>
    <w:rsid w:val="00587E8E"/>
    <w:rsid w:val="00590248"/>
    <w:rsid w:val="005903FA"/>
    <w:rsid w:val="005906DF"/>
    <w:rsid w:val="0059077C"/>
    <w:rsid w:val="00590885"/>
    <w:rsid w:val="00591000"/>
    <w:rsid w:val="0059119C"/>
    <w:rsid w:val="005911E2"/>
    <w:rsid w:val="005916D5"/>
    <w:rsid w:val="005918AF"/>
    <w:rsid w:val="00591940"/>
    <w:rsid w:val="00591C6E"/>
    <w:rsid w:val="00591CC1"/>
    <w:rsid w:val="00591EF0"/>
    <w:rsid w:val="005926E2"/>
    <w:rsid w:val="00592AA8"/>
    <w:rsid w:val="005931F5"/>
    <w:rsid w:val="00593202"/>
    <w:rsid w:val="0059340C"/>
    <w:rsid w:val="00593546"/>
    <w:rsid w:val="005940A3"/>
    <w:rsid w:val="00594376"/>
    <w:rsid w:val="00594451"/>
    <w:rsid w:val="0059465D"/>
    <w:rsid w:val="005949B6"/>
    <w:rsid w:val="00594A50"/>
    <w:rsid w:val="00594E6F"/>
    <w:rsid w:val="005951D7"/>
    <w:rsid w:val="0059526A"/>
    <w:rsid w:val="005958A4"/>
    <w:rsid w:val="00595993"/>
    <w:rsid w:val="00595CF0"/>
    <w:rsid w:val="00595ECA"/>
    <w:rsid w:val="0059622C"/>
    <w:rsid w:val="0059629E"/>
    <w:rsid w:val="005967D4"/>
    <w:rsid w:val="0059681A"/>
    <w:rsid w:val="00596B26"/>
    <w:rsid w:val="00596B65"/>
    <w:rsid w:val="00596CA5"/>
    <w:rsid w:val="00596DEF"/>
    <w:rsid w:val="00597096"/>
    <w:rsid w:val="0059734D"/>
    <w:rsid w:val="00597394"/>
    <w:rsid w:val="0059741D"/>
    <w:rsid w:val="0059783C"/>
    <w:rsid w:val="00597C14"/>
    <w:rsid w:val="005A00C3"/>
    <w:rsid w:val="005A03EA"/>
    <w:rsid w:val="005A049F"/>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487"/>
    <w:rsid w:val="005A464B"/>
    <w:rsid w:val="005A4977"/>
    <w:rsid w:val="005A4A3A"/>
    <w:rsid w:val="005A4ECB"/>
    <w:rsid w:val="005A5135"/>
    <w:rsid w:val="005A54D4"/>
    <w:rsid w:val="005A5B14"/>
    <w:rsid w:val="005A5BDE"/>
    <w:rsid w:val="005A602F"/>
    <w:rsid w:val="005A60E0"/>
    <w:rsid w:val="005A633C"/>
    <w:rsid w:val="005A6BF6"/>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63A"/>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74F"/>
    <w:rsid w:val="005B780A"/>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2C3"/>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8FD"/>
    <w:rsid w:val="005C5A7E"/>
    <w:rsid w:val="005C5B7B"/>
    <w:rsid w:val="005C5BE0"/>
    <w:rsid w:val="005C5DF6"/>
    <w:rsid w:val="005C5EE0"/>
    <w:rsid w:val="005C6425"/>
    <w:rsid w:val="005C65AB"/>
    <w:rsid w:val="005C6762"/>
    <w:rsid w:val="005C684A"/>
    <w:rsid w:val="005C69BE"/>
    <w:rsid w:val="005C6A03"/>
    <w:rsid w:val="005C6ADA"/>
    <w:rsid w:val="005C6C3D"/>
    <w:rsid w:val="005C6D7D"/>
    <w:rsid w:val="005C6DDF"/>
    <w:rsid w:val="005C71A6"/>
    <w:rsid w:val="005C71EA"/>
    <w:rsid w:val="005C730E"/>
    <w:rsid w:val="005C74DA"/>
    <w:rsid w:val="005C78FE"/>
    <w:rsid w:val="005C7BF3"/>
    <w:rsid w:val="005C7DFF"/>
    <w:rsid w:val="005D0215"/>
    <w:rsid w:val="005D027C"/>
    <w:rsid w:val="005D077F"/>
    <w:rsid w:val="005D10A9"/>
    <w:rsid w:val="005D1144"/>
    <w:rsid w:val="005D19AC"/>
    <w:rsid w:val="005D1C5B"/>
    <w:rsid w:val="005D1EF4"/>
    <w:rsid w:val="005D2072"/>
    <w:rsid w:val="005D221A"/>
    <w:rsid w:val="005D2333"/>
    <w:rsid w:val="005D234F"/>
    <w:rsid w:val="005D246D"/>
    <w:rsid w:val="005D24AF"/>
    <w:rsid w:val="005D289E"/>
    <w:rsid w:val="005D297B"/>
    <w:rsid w:val="005D2A4F"/>
    <w:rsid w:val="005D2A97"/>
    <w:rsid w:val="005D2F3A"/>
    <w:rsid w:val="005D3430"/>
    <w:rsid w:val="005D360C"/>
    <w:rsid w:val="005D36CE"/>
    <w:rsid w:val="005D39EF"/>
    <w:rsid w:val="005D3B50"/>
    <w:rsid w:val="005D3E72"/>
    <w:rsid w:val="005D4028"/>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98"/>
    <w:rsid w:val="005D660C"/>
    <w:rsid w:val="005D678B"/>
    <w:rsid w:val="005D6C8E"/>
    <w:rsid w:val="005D73A6"/>
    <w:rsid w:val="005D7574"/>
    <w:rsid w:val="005D77C7"/>
    <w:rsid w:val="005D790D"/>
    <w:rsid w:val="005D7951"/>
    <w:rsid w:val="005E018B"/>
    <w:rsid w:val="005E0660"/>
    <w:rsid w:val="005E07EA"/>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EC2"/>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1F"/>
    <w:rsid w:val="005F247D"/>
    <w:rsid w:val="005F26B1"/>
    <w:rsid w:val="005F2EF6"/>
    <w:rsid w:val="005F30BF"/>
    <w:rsid w:val="005F372C"/>
    <w:rsid w:val="005F3739"/>
    <w:rsid w:val="005F3E71"/>
    <w:rsid w:val="005F3FB8"/>
    <w:rsid w:val="005F4312"/>
    <w:rsid w:val="005F4523"/>
    <w:rsid w:val="005F4642"/>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5F7ECA"/>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BEF"/>
    <w:rsid w:val="00602E57"/>
    <w:rsid w:val="00603012"/>
    <w:rsid w:val="006030BB"/>
    <w:rsid w:val="006030BD"/>
    <w:rsid w:val="00603808"/>
    <w:rsid w:val="00603C02"/>
    <w:rsid w:val="00603C48"/>
    <w:rsid w:val="006047B1"/>
    <w:rsid w:val="006047D4"/>
    <w:rsid w:val="00604C70"/>
    <w:rsid w:val="00604DE8"/>
    <w:rsid w:val="00605261"/>
    <w:rsid w:val="0060548A"/>
    <w:rsid w:val="006054D2"/>
    <w:rsid w:val="006055B8"/>
    <w:rsid w:val="0060563D"/>
    <w:rsid w:val="00605BE0"/>
    <w:rsid w:val="00605BE6"/>
    <w:rsid w:val="00605FAA"/>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B"/>
    <w:rsid w:val="006160C4"/>
    <w:rsid w:val="00616265"/>
    <w:rsid w:val="006163CF"/>
    <w:rsid w:val="0061668C"/>
    <w:rsid w:val="00616B95"/>
    <w:rsid w:val="00616D92"/>
    <w:rsid w:val="00616F6C"/>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29"/>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89B"/>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83"/>
    <w:rsid w:val="006306A9"/>
    <w:rsid w:val="006307DF"/>
    <w:rsid w:val="00630A60"/>
    <w:rsid w:val="00630EB3"/>
    <w:rsid w:val="006312D6"/>
    <w:rsid w:val="0063139E"/>
    <w:rsid w:val="006314DF"/>
    <w:rsid w:val="00631605"/>
    <w:rsid w:val="0063165E"/>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6FE0"/>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D14"/>
    <w:rsid w:val="00660E89"/>
    <w:rsid w:val="00660EFE"/>
    <w:rsid w:val="00661804"/>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B90"/>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D6A"/>
    <w:rsid w:val="00672129"/>
    <w:rsid w:val="0067253E"/>
    <w:rsid w:val="00672583"/>
    <w:rsid w:val="00672736"/>
    <w:rsid w:val="006729B7"/>
    <w:rsid w:val="00672B6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28E"/>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6FB2"/>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32C"/>
    <w:rsid w:val="006945B4"/>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1C7"/>
    <w:rsid w:val="00697310"/>
    <w:rsid w:val="00697441"/>
    <w:rsid w:val="00697C1C"/>
    <w:rsid w:val="006A01DE"/>
    <w:rsid w:val="006A024D"/>
    <w:rsid w:val="006A04C6"/>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99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DBE"/>
    <w:rsid w:val="006A7F52"/>
    <w:rsid w:val="006A7FF0"/>
    <w:rsid w:val="006B028F"/>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2F96"/>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648C"/>
    <w:rsid w:val="006B6546"/>
    <w:rsid w:val="006B65A0"/>
    <w:rsid w:val="006B6728"/>
    <w:rsid w:val="006B6CB7"/>
    <w:rsid w:val="006B6D0B"/>
    <w:rsid w:val="006B6ED5"/>
    <w:rsid w:val="006B6F1F"/>
    <w:rsid w:val="006B6F7D"/>
    <w:rsid w:val="006B7082"/>
    <w:rsid w:val="006B709A"/>
    <w:rsid w:val="006B7122"/>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A31"/>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EE5"/>
    <w:rsid w:val="006D2145"/>
    <w:rsid w:val="006D2ED4"/>
    <w:rsid w:val="006D2FF8"/>
    <w:rsid w:val="006D302A"/>
    <w:rsid w:val="006D30B2"/>
    <w:rsid w:val="006D35FD"/>
    <w:rsid w:val="006D3811"/>
    <w:rsid w:val="006D3872"/>
    <w:rsid w:val="006D3F34"/>
    <w:rsid w:val="006D40E7"/>
    <w:rsid w:val="006D447B"/>
    <w:rsid w:val="006D46A4"/>
    <w:rsid w:val="006D4954"/>
    <w:rsid w:val="006D496A"/>
    <w:rsid w:val="006D49C4"/>
    <w:rsid w:val="006D4ACE"/>
    <w:rsid w:val="006D4BE1"/>
    <w:rsid w:val="006D4C73"/>
    <w:rsid w:val="006D4D3F"/>
    <w:rsid w:val="006D4F23"/>
    <w:rsid w:val="006D5154"/>
    <w:rsid w:val="006D517D"/>
    <w:rsid w:val="006D518F"/>
    <w:rsid w:val="006D5268"/>
    <w:rsid w:val="006D58DB"/>
    <w:rsid w:val="006D5B2F"/>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D7D40"/>
    <w:rsid w:val="006E0258"/>
    <w:rsid w:val="006E06B3"/>
    <w:rsid w:val="006E09ED"/>
    <w:rsid w:val="006E0BB8"/>
    <w:rsid w:val="006E0D37"/>
    <w:rsid w:val="006E0FB9"/>
    <w:rsid w:val="006E14B3"/>
    <w:rsid w:val="006E175D"/>
    <w:rsid w:val="006E191C"/>
    <w:rsid w:val="006E1963"/>
    <w:rsid w:val="006E1EAC"/>
    <w:rsid w:val="006E1F52"/>
    <w:rsid w:val="006E22E1"/>
    <w:rsid w:val="006E2653"/>
    <w:rsid w:val="006E27DA"/>
    <w:rsid w:val="006E2875"/>
    <w:rsid w:val="006E2D3E"/>
    <w:rsid w:val="006E329A"/>
    <w:rsid w:val="006E3477"/>
    <w:rsid w:val="006E358D"/>
    <w:rsid w:val="006E3A90"/>
    <w:rsid w:val="006E3CC7"/>
    <w:rsid w:val="006E4585"/>
    <w:rsid w:val="006E4900"/>
    <w:rsid w:val="006E4923"/>
    <w:rsid w:val="006E4960"/>
    <w:rsid w:val="006E4C15"/>
    <w:rsid w:val="006E4DC4"/>
    <w:rsid w:val="006E4FEC"/>
    <w:rsid w:val="006E5332"/>
    <w:rsid w:val="006E533F"/>
    <w:rsid w:val="006E53A3"/>
    <w:rsid w:val="006E5696"/>
    <w:rsid w:val="006E5BBA"/>
    <w:rsid w:val="006E6338"/>
    <w:rsid w:val="006E66A7"/>
    <w:rsid w:val="006E68C1"/>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608"/>
    <w:rsid w:val="006F560B"/>
    <w:rsid w:val="006F604B"/>
    <w:rsid w:val="006F6337"/>
    <w:rsid w:val="006F6502"/>
    <w:rsid w:val="006F6847"/>
    <w:rsid w:val="006F6A32"/>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3F9F"/>
    <w:rsid w:val="007040E6"/>
    <w:rsid w:val="007044BB"/>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83D"/>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0B5A"/>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7B"/>
    <w:rsid w:val="007460AE"/>
    <w:rsid w:val="00746214"/>
    <w:rsid w:val="007463AA"/>
    <w:rsid w:val="00746512"/>
    <w:rsid w:val="007468D5"/>
    <w:rsid w:val="007469E9"/>
    <w:rsid w:val="00746F46"/>
    <w:rsid w:val="007471F8"/>
    <w:rsid w:val="00747516"/>
    <w:rsid w:val="0074755D"/>
    <w:rsid w:val="007476F0"/>
    <w:rsid w:val="00747949"/>
    <w:rsid w:val="00747BB2"/>
    <w:rsid w:val="00747D86"/>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8D"/>
    <w:rsid w:val="00752E92"/>
    <w:rsid w:val="00752EC6"/>
    <w:rsid w:val="00752FB3"/>
    <w:rsid w:val="00752FD3"/>
    <w:rsid w:val="007532EE"/>
    <w:rsid w:val="007536E9"/>
    <w:rsid w:val="0075393B"/>
    <w:rsid w:val="00753A31"/>
    <w:rsid w:val="00754589"/>
    <w:rsid w:val="00754F4E"/>
    <w:rsid w:val="00754F9F"/>
    <w:rsid w:val="00755089"/>
    <w:rsid w:val="00755196"/>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2D0"/>
    <w:rsid w:val="007604D5"/>
    <w:rsid w:val="007604FB"/>
    <w:rsid w:val="007606EE"/>
    <w:rsid w:val="00760711"/>
    <w:rsid w:val="0076071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15F"/>
    <w:rsid w:val="00763648"/>
    <w:rsid w:val="007636BD"/>
    <w:rsid w:val="00763CB7"/>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2FCF"/>
    <w:rsid w:val="0077313D"/>
    <w:rsid w:val="007735A3"/>
    <w:rsid w:val="007735FD"/>
    <w:rsid w:val="0077367E"/>
    <w:rsid w:val="007736A6"/>
    <w:rsid w:val="00773830"/>
    <w:rsid w:val="007738D3"/>
    <w:rsid w:val="00773FF9"/>
    <w:rsid w:val="00774581"/>
    <w:rsid w:val="00774779"/>
    <w:rsid w:val="00774A0D"/>
    <w:rsid w:val="00774AAA"/>
    <w:rsid w:val="00774FCC"/>
    <w:rsid w:val="0077510C"/>
    <w:rsid w:val="00775284"/>
    <w:rsid w:val="00775886"/>
    <w:rsid w:val="00775934"/>
    <w:rsid w:val="00775974"/>
    <w:rsid w:val="00775CBC"/>
    <w:rsid w:val="00775F0A"/>
    <w:rsid w:val="00776257"/>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13F"/>
    <w:rsid w:val="00782305"/>
    <w:rsid w:val="00782599"/>
    <w:rsid w:val="0078262A"/>
    <w:rsid w:val="00782A7E"/>
    <w:rsid w:val="00782D4D"/>
    <w:rsid w:val="00782D7F"/>
    <w:rsid w:val="00782EE3"/>
    <w:rsid w:val="00783197"/>
    <w:rsid w:val="007834F3"/>
    <w:rsid w:val="00783A1E"/>
    <w:rsid w:val="00783B53"/>
    <w:rsid w:val="00784389"/>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B12"/>
    <w:rsid w:val="00786CE9"/>
    <w:rsid w:val="00786D0E"/>
    <w:rsid w:val="00786D77"/>
    <w:rsid w:val="00787634"/>
    <w:rsid w:val="0078784E"/>
    <w:rsid w:val="00787999"/>
    <w:rsid w:val="0079035A"/>
    <w:rsid w:val="007906A1"/>
    <w:rsid w:val="007906F9"/>
    <w:rsid w:val="007907BA"/>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4F74"/>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B0002"/>
    <w:rsid w:val="007B017D"/>
    <w:rsid w:val="007B01AF"/>
    <w:rsid w:val="007B075C"/>
    <w:rsid w:val="007B083D"/>
    <w:rsid w:val="007B09B4"/>
    <w:rsid w:val="007B09D1"/>
    <w:rsid w:val="007B1265"/>
    <w:rsid w:val="007B1A21"/>
    <w:rsid w:val="007B1ACD"/>
    <w:rsid w:val="007B1DF1"/>
    <w:rsid w:val="007B21B1"/>
    <w:rsid w:val="007B234D"/>
    <w:rsid w:val="007B2840"/>
    <w:rsid w:val="007B28B4"/>
    <w:rsid w:val="007B2980"/>
    <w:rsid w:val="007B2E6D"/>
    <w:rsid w:val="007B2E7A"/>
    <w:rsid w:val="007B2FDF"/>
    <w:rsid w:val="007B30EA"/>
    <w:rsid w:val="007B33D2"/>
    <w:rsid w:val="007B354B"/>
    <w:rsid w:val="007B3A86"/>
    <w:rsid w:val="007B3DE7"/>
    <w:rsid w:val="007B4246"/>
    <w:rsid w:val="007B43A1"/>
    <w:rsid w:val="007B4499"/>
    <w:rsid w:val="007B454B"/>
    <w:rsid w:val="007B473D"/>
    <w:rsid w:val="007B4BF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34BA"/>
    <w:rsid w:val="007C3946"/>
    <w:rsid w:val="007C3A18"/>
    <w:rsid w:val="007C3A53"/>
    <w:rsid w:val="007C3A83"/>
    <w:rsid w:val="007C3C2C"/>
    <w:rsid w:val="007C4201"/>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A42"/>
    <w:rsid w:val="007D1A5A"/>
    <w:rsid w:val="007D1AFC"/>
    <w:rsid w:val="007D1DE9"/>
    <w:rsid w:val="007D221D"/>
    <w:rsid w:val="007D269C"/>
    <w:rsid w:val="007D26D0"/>
    <w:rsid w:val="007D2B58"/>
    <w:rsid w:val="007D2B94"/>
    <w:rsid w:val="007D2CAF"/>
    <w:rsid w:val="007D31A0"/>
    <w:rsid w:val="007D34B9"/>
    <w:rsid w:val="007D35B2"/>
    <w:rsid w:val="007D3AEC"/>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7A4"/>
    <w:rsid w:val="007D69BC"/>
    <w:rsid w:val="007D6AFB"/>
    <w:rsid w:val="007D6BAA"/>
    <w:rsid w:val="007D6FC8"/>
    <w:rsid w:val="007D7043"/>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FC"/>
    <w:rsid w:val="007F142B"/>
    <w:rsid w:val="007F190C"/>
    <w:rsid w:val="007F1911"/>
    <w:rsid w:val="007F19AA"/>
    <w:rsid w:val="007F2272"/>
    <w:rsid w:val="007F2306"/>
    <w:rsid w:val="007F26DB"/>
    <w:rsid w:val="007F2C18"/>
    <w:rsid w:val="007F2DF4"/>
    <w:rsid w:val="007F2F43"/>
    <w:rsid w:val="007F2F4D"/>
    <w:rsid w:val="007F37AD"/>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A9"/>
    <w:rsid w:val="007F691E"/>
    <w:rsid w:val="007F6E0C"/>
    <w:rsid w:val="007F727C"/>
    <w:rsid w:val="007F73E2"/>
    <w:rsid w:val="007F748F"/>
    <w:rsid w:val="007F7624"/>
    <w:rsid w:val="007F76BB"/>
    <w:rsid w:val="007F7E2B"/>
    <w:rsid w:val="0080043A"/>
    <w:rsid w:val="00800555"/>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136"/>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FB9"/>
    <w:rsid w:val="00806141"/>
    <w:rsid w:val="00806932"/>
    <w:rsid w:val="00806B10"/>
    <w:rsid w:val="00806BF8"/>
    <w:rsid w:val="00807252"/>
    <w:rsid w:val="00807383"/>
    <w:rsid w:val="00807419"/>
    <w:rsid w:val="008076A5"/>
    <w:rsid w:val="008077B2"/>
    <w:rsid w:val="0080780B"/>
    <w:rsid w:val="008078B7"/>
    <w:rsid w:val="00807CE2"/>
    <w:rsid w:val="00807CE5"/>
    <w:rsid w:val="008111F2"/>
    <w:rsid w:val="0081147E"/>
    <w:rsid w:val="00812128"/>
    <w:rsid w:val="00812176"/>
    <w:rsid w:val="00812221"/>
    <w:rsid w:val="00812AF2"/>
    <w:rsid w:val="00812D5C"/>
    <w:rsid w:val="00812E06"/>
    <w:rsid w:val="00813274"/>
    <w:rsid w:val="00813288"/>
    <w:rsid w:val="00813315"/>
    <w:rsid w:val="008133B2"/>
    <w:rsid w:val="0081343F"/>
    <w:rsid w:val="008136B2"/>
    <w:rsid w:val="00813804"/>
    <w:rsid w:val="00813855"/>
    <w:rsid w:val="00813888"/>
    <w:rsid w:val="008141D2"/>
    <w:rsid w:val="0081445E"/>
    <w:rsid w:val="0081457A"/>
    <w:rsid w:val="008145BC"/>
    <w:rsid w:val="00814855"/>
    <w:rsid w:val="00814AC5"/>
    <w:rsid w:val="00814AF0"/>
    <w:rsid w:val="00814D42"/>
    <w:rsid w:val="00814F0E"/>
    <w:rsid w:val="00815556"/>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2F"/>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789"/>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AF4"/>
    <w:rsid w:val="00833BA9"/>
    <w:rsid w:val="00833CCA"/>
    <w:rsid w:val="00833D13"/>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F2C"/>
    <w:rsid w:val="00837848"/>
    <w:rsid w:val="008379C8"/>
    <w:rsid w:val="00837B0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48B"/>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6069"/>
    <w:rsid w:val="008460AE"/>
    <w:rsid w:val="008462C7"/>
    <w:rsid w:val="0084644F"/>
    <w:rsid w:val="008464D2"/>
    <w:rsid w:val="008465E1"/>
    <w:rsid w:val="008465E6"/>
    <w:rsid w:val="00846905"/>
    <w:rsid w:val="00846A7E"/>
    <w:rsid w:val="00847223"/>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BC0"/>
    <w:rsid w:val="00853D05"/>
    <w:rsid w:val="00853D12"/>
    <w:rsid w:val="00853F0F"/>
    <w:rsid w:val="00853F97"/>
    <w:rsid w:val="008540EB"/>
    <w:rsid w:val="0085431B"/>
    <w:rsid w:val="0085444A"/>
    <w:rsid w:val="008544B5"/>
    <w:rsid w:val="00854566"/>
    <w:rsid w:val="00854AC2"/>
    <w:rsid w:val="00854BC0"/>
    <w:rsid w:val="00854C05"/>
    <w:rsid w:val="008558EF"/>
    <w:rsid w:val="008559A4"/>
    <w:rsid w:val="008559FD"/>
    <w:rsid w:val="00855C66"/>
    <w:rsid w:val="00855D46"/>
    <w:rsid w:val="008560CE"/>
    <w:rsid w:val="008561F9"/>
    <w:rsid w:val="00856992"/>
    <w:rsid w:val="00856A09"/>
    <w:rsid w:val="00856AA3"/>
    <w:rsid w:val="00857DEE"/>
    <w:rsid w:val="00857DF4"/>
    <w:rsid w:val="008605A2"/>
    <w:rsid w:val="008607F2"/>
    <w:rsid w:val="00860AD4"/>
    <w:rsid w:val="00860C63"/>
    <w:rsid w:val="00860DB7"/>
    <w:rsid w:val="00860DD6"/>
    <w:rsid w:val="00860F8F"/>
    <w:rsid w:val="00860F9B"/>
    <w:rsid w:val="00861272"/>
    <w:rsid w:val="008612A3"/>
    <w:rsid w:val="00861477"/>
    <w:rsid w:val="008614CA"/>
    <w:rsid w:val="0086179E"/>
    <w:rsid w:val="00862226"/>
    <w:rsid w:val="00862902"/>
    <w:rsid w:val="00862C4F"/>
    <w:rsid w:val="00862CD3"/>
    <w:rsid w:val="00862DAC"/>
    <w:rsid w:val="00862F25"/>
    <w:rsid w:val="00863378"/>
    <w:rsid w:val="008637E9"/>
    <w:rsid w:val="00863958"/>
    <w:rsid w:val="00863D7C"/>
    <w:rsid w:val="00863DF7"/>
    <w:rsid w:val="00863E90"/>
    <w:rsid w:val="00863EF6"/>
    <w:rsid w:val="0086409B"/>
    <w:rsid w:val="00864287"/>
    <w:rsid w:val="00864660"/>
    <w:rsid w:val="00864B33"/>
    <w:rsid w:val="00864B88"/>
    <w:rsid w:val="0086511E"/>
    <w:rsid w:val="0086530E"/>
    <w:rsid w:val="008654CA"/>
    <w:rsid w:val="00865506"/>
    <w:rsid w:val="0086566F"/>
    <w:rsid w:val="008656F8"/>
    <w:rsid w:val="008658AA"/>
    <w:rsid w:val="00865D6C"/>
    <w:rsid w:val="00865DC7"/>
    <w:rsid w:val="00865FE9"/>
    <w:rsid w:val="00866341"/>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0C99"/>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2CA"/>
    <w:rsid w:val="00880355"/>
    <w:rsid w:val="0088051A"/>
    <w:rsid w:val="008807B4"/>
    <w:rsid w:val="00880834"/>
    <w:rsid w:val="00880CBB"/>
    <w:rsid w:val="00880FD7"/>
    <w:rsid w:val="0088127C"/>
    <w:rsid w:val="0088159C"/>
    <w:rsid w:val="00881887"/>
    <w:rsid w:val="008818E4"/>
    <w:rsid w:val="008819B2"/>
    <w:rsid w:val="00881D73"/>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A0E"/>
    <w:rsid w:val="00897ED1"/>
    <w:rsid w:val="00897F20"/>
    <w:rsid w:val="008A0301"/>
    <w:rsid w:val="008A0453"/>
    <w:rsid w:val="008A061D"/>
    <w:rsid w:val="008A07CE"/>
    <w:rsid w:val="008A07F0"/>
    <w:rsid w:val="008A0C6F"/>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B1"/>
    <w:rsid w:val="008A4F1E"/>
    <w:rsid w:val="008A529E"/>
    <w:rsid w:val="008A56DC"/>
    <w:rsid w:val="008A5771"/>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23D"/>
    <w:rsid w:val="008B76EE"/>
    <w:rsid w:val="008B7721"/>
    <w:rsid w:val="008B77E9"/>
    <w:rsid w:val="008B781A"/>
    <w:rsid w:val="008B7CB2"/>
    <w:rsid w:val="008C0597"/>
    <w:rsid w:val="008C081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55"/>
    <w:rsid w:val="008C4DF2"/>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DA5"/>
    <w:rsid w:val="008D1E64"/>
    <w:rsid w:val="008D204F"/>
    <w:rsid w:val="008D20E2"/>
    <w:rsid w:val="008D2521"/>
    <w:rsid w:val="008D2C41"/>
    <w:rsid w:val="008D3301"/>
    <w:rsid w:val="008D3347"/>
    <w:rsid w:val="008D394B"/>
    <w:rsid w:val="008D3AC8"/>
    <w:rsid w:val="008D48E9"/>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57"/>
    <w:rsid w:val="008D6CA4"/>
    <w:rsid w:val="008D6CCB"/>
    <w:rsid w:val="008D6EF6"/>
    <w:rsid w:val="008D71C6"/>
    <w:rsid w:val="008D754B"/>
    <w:rsid w:val="008D7579"/>
    <w:rsid w:val="008D7731"/>
    <w:rsid w:val="008D77CB"/>
    <w:rsid w:val="008D7B61"/>
    <w:rsid w:val="008D7FB4"/>
    <w:rsid w:val="008E05F9"/>
    <w:rsid w:val="008E0629"/>
    <w:rsid w:val="008E06C1"/>
    <w:rsid w:val="008E07DF"/>
    <w:rsid w:val="008E089A"/>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3F53"/>
    <w:rsid w:val="009040B5"/>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4A1"/>
    <w:rsid w:val="00923881"/>
    <w:rsid w:val="00923A7F"/>
    <w:rsid w:val="00923B39"/>
    <w:rsid w:val="00923CAC"/>
    <w:rsid w:val="00923D1C"/>
    <w:rsid w:val="00924208"/>
    <w:rsid w:val="009246EF"/>
    <w:rsid w:val="00924761"/>
    <w:rsid w:val="0092498B"/>
    <w:rsid w:val="009249A3"/>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9B7"/>
    <w:rsid w:val="00933BCC"/>
    <w:rsid w:val="00933D05"/>
    <w:rsid w:val="00933E0F"/>
    <w:rsid w:val="009342D9"/>
    <w:rsid w:val="009342F2"/>
    <w:rsid w:val="00934309"/>
    <w:rsid w:val="0093463D"/>
    <w:rsid w:val="00934709"/>
    <w:rsid w:val="00934800"/>
    <w:rsid w:val="0093481E"/>
    <w:rsid w:val="0093485C"/>
    <w:rsid w:val="00934C2A"/>
    <w:rsid w:val="00934E49"/>
    <w:rsid w:val="00934F9A"/>
    <w:rsid w:val="009353B9"/>
    <w:rsid w:val="00935410"/>
    <w:rsid w:val="009355EC"/>
    <w:rsid w:val="009355F5"/>
    <w:rsid w:val="00935B2B"/>
    <w:rsid w:val="00935B74"/>
    <w:rsid w:val="00935F85"/>
    <w:rsid w:val="00936658"/>
    <w:rsid w:val="00936CCE"/>
    <w:rsid w:val="00936CF4"/>
    <w:rsid w:val="00936D6F"/>
    <w:rsid w:val="00936E80"/>
    <w:rsid w:val="009370A1"/>
    <w:rsid w:val="00937175"/>
    <w:rsid w:val="00937760"/>
    <w:rsid w:val="009377E4"/>
    <w:rsid w:val="00937B00"/>
    <w:rsid w:val="00937BB5"/>
    <w:rsid w:val="0094008E"/>
    <w:rsid w:val="00940266"/>
    <w:rsid w:val="00940537"/>
    <w:rsid w:val="009406C9"/>
    <w:rsid w:val="009406DE"/>
    <w:rsid w:val="009407CC"/>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DE5"/>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10C4"/>
    <w:rsid w:val="0095114E"/>
    <w:rsid w:val="0095147A"/>
    <w:rsid w:val="009516C4"/>
    <w:rsid w:val="009519AD"/>
    <w:rsid w:val="009519DA"/>
    <w:rsid w:val="00951B64"/>
    <w:rsid w:val="00951CE5"/>
    <w:rsid w:val="00952202"/>
    <w:rsid w:val="009525CB"/>
    <w:rsid w:val="0095298C"/>
    <w:rsid w:val="009529F3"/>
    <w:rsid w:val="00952A1B"/>
    <w:rsid w:val="00952E5F"/>
    <w:rsid w:val="00952F3A"/>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793"/>
    <w:rsid w:val="00956827"/>
    <w:rsid w:val="009568F4"/>
    <w:rsid w:val="00956C96"/>
    <w:rsid w:val="00956E87"/>
    <w:rsid w:val="00956FD3"/>
    <w:rsid w:val="009571A6"/>
    <w:rsid w:val="00957C78"/>
    <w:rsid w:val="00957CEF"/>
    <w:rsid w:val="00957E04"/>
    <w:rsid w:val="0096018A"/>
    <w:rsid w:val="0096034D"/>
    <w:rsid w:val="009603BD"/>
    <w:rsid w:val="00960559"/>
    <w:rsid w:val="009606F6"/>
    <w:rsid w:val="00960972"/>
    <w:rsid w:val="00960A6A"/>
    <w:rsid w:val="00960B6F"/>
    <w:rsid w:val="00960C62"/>
    <w:rsid w:val="00960C9C"/>
    <w:rsid w:val="00960E62"/>
    <w:rsid w:val="00960FEE"/>
    <w:rsid w:val="009616EC"/>
    <w:rsid w:val="0096174B"/>
    <w:rsid w:val="00961909"/>
    <w:rsid w:val="00961B9A"/>
    <w:rsid w:val="00961D17"/>
    <w:rsid w:val="00961EA3"/>
    <w:rsid w:val="00961F76"/>
    <w:rsid w:val="00961FB0"/>
    <w:rsid w:val="00961FCD"/>
    <w:rsid w:val="0096203B"/>
    <w:rsid w:val="0096203D"/>
    <w:rsid w:val="00962117"/>
    <w:rsid w:val="0096215D"/>
    <w:rsid w:val="009621C5"/>
    <w:rsid w:val="00962243"/>
    <w:rsid w:val="00962362"/>
    <w:rsid w:val="00962A49"/>
    <w:rsid w:val="00962AF0"/>
    <w:rsid w:val="00962CC0"/>
    <w:rsid w:val="00962DA1"/>
    <w:rsid w:val="00962F80"/>
    <w:rsid w:val="00963025"/>
    <w:rsid w:val="00963187"/>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3EB3"/>
    <w:rsid w:val="00983FA8"/>
    <w:rsid w:val="0098408A"/>
    <w:rsid w:val="00984240"/>
    <w:rsid w:val="00984369"/>
    <w:rsid w:val="0098449E"/>
    <w:rsid w:val="0098464F"/>
    <w:rsid w:val="0098480B"/>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35D"/>
    <w:rsid w:val="0099168F"/>
    <w:rsid w:val="009918EC"/>
    <w:rsid w:val="00991D3C"/>
    <w:rsid w:val="00991D93"/>
    <w:rsid w:val="0099234E"/>
    <w:rsid w:val="00992394"/>
    <w:rsid w:val="0099264F"/>
    <w:rsid w:val="00992B2B"/>
    <w:rsid w:val="00992B68"/>
    <w:rsid w:val="00992D80"/>
    <w:rsid w:val="00993183"/>
    <w:rsid w:val="009932C9"/>
    <w:rsid w:val="00993329"/>
    <w:rsid w:val="0099366C"/>
    <w:rsid w:val="00993A2A"/>
    <w:rsid w:val="00993B08"/>
    <w:rsid w:val="00993B7C"/>
    <w:rsid w:val="00993CC2"/>
    <w:rsid w:val="00993DF8"/>
    <w:rsid w:val="0099414F"/>
    <w:rsid w:val="00994284"/>
    <w:rsid w:val="009945D8"/>
    <w:rsid w:val="0099470F"/>
    <w:rsid w:val="00994959"/>
    <w:rsid w:val="00994B76"/>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B3A"/>
    <w:rsid w:val="009B4268"/>
    <w:rsid w:val="009B433D"/>
    <w:rsid w:val="009B46AF"/>
    <w:rsid w:val="009B4797"/>
    <w:rsid w:val="009B47BE"/>
    <w:rsid w:val="009B4CFD"/>
    <w:rsid w:val="009B4D72"/>
    <w:rsid w:val="009B4E72"/>
    <w:rsid w:val="009B504B"/>
    <w:rsid w:val="009B52CB"/>
    <w:rsid w:val="009B53BD"/>
    <w:rsid w:val="009B57EC"/>
    <w:rsid w:val="009B5BA4"/>
    <w:rsid w:val="009B5E8D"/>
    <w:rsid w:val="009B5F42"/>
    <w:rsid w:val="009B5FC2"/>
    <w:rsid w:val="009B61B8"/>
    <w:rsid w:val="009B6596"/>
    <w:rsid w:val="009B65AD"/>
    <w:rsid w:val="009B6752"/>
    <w:rsid w:val="009B6B3D"/>
    <w:rsid w:val="009B6DA1"/>
    <w:rsid w:val="009B6F81"/>
    <w:rsid w:val="009B7003"/>
    <w:rsid w:val="009B730E"/>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2E7"/>
    <w:rsid w:val="009C235B"/>
    <w:rsid w:val="009C28FD"/>
    <w:rsid w:val="009C2E33"/>
    <w:rsid w:val="009C2F12"/>
    <w:rsid w:val="009C3222"/>
    <w:rsid w:val="009C33D9"/>
    <w:rsid w:val="009C34D0"/>
    <w:rsid w:val="009C3526"/>
    <w:rsid w:val="009C3623"/>
    <w:rsid w:val="009C3A20"/>
    <w:rsid w:val="009C3CD6"/>
    <w:rsid w:val="009C3E2F"/>
    <w:rsid w:val="009C3E4E"/>
    <w:rsid w:val="009C3E87"/>
    <w:rsid w:val="009C40AA"/>
    <w:rsid w:val="009C40EF"/>
    <w:rsid w:val="009C46AC"/>
    <w:rsid w:val="009C4B49"/>
    <w:rsid w:val="009C4BBB"/>
    <w:rsid w:val="009C4C6C"/>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0DF0"/>
    <w:rsid w:val="009D0EB3"/>
    <w:rsid w:val="009D15AE"/>
    <w:rsid w:val="009D17EA"/>
    <w:rsid w:val="009D17FA"/>
    <w:rsid w:val="009D18AC"/>
    <w:rsid w:val="009D1A01"/>
    <w:rsid w:val="009D1F0C"/>
    <w:rsid w:val="009D1F29"/>
    <w:rsid w:val="009D203F"/>
    <w:rsid w:val="009D268F"/>
    <w:rsid w:val="009D2740"/>
    <w:rsid w:val="009D28F4"/>
    <w:rsid w:val="009D2B9C"/>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BAE"/>
    <w:rsid w:val="009E2D74"/>
    <w:rsid w:val="009E2FE1"/>
    <w:rsid w:val="009E2FF2"/>
    <w:rsid w:val="009E3297"/>
    <w:rsid w:val="009E3E52"/>
    <w:rsid w:val="009E3EBA"/>
    <w:rsid w:val="009E402A"/>
    <w:rsid w:val="009E430F"/>
    <w:rsid w:val="009E449A"/>
    <w:rsid w:val="009E44BB"/>
    <w:rsid w:val="009E4A53"/>
    <w:rsid w:val="009E4CA1"/>
    <w:rsid w:val="009E4CC5"/>
    <w:rsid w:val="009E4F89"/>
    <w:rsid w:val="009E5394"/>
    <w:rsid w:val="009E5549"/>
    <w:rsid w:val="009E55D5"/>
    <w:rsid w:val="009E560C"/>
    <w:rsid w:val="009E57AD"/>
    <w:rsid w:val="009E592A"/>
    <w:rsid w:val="009E59B4"/>
    <w:rsid w:val="009E5B20"/>
    <w:rsid w:val="009E5B4D"/>
    <w:rsid w:val="009E5B90"/>
    <w:rsid w:val="009E5BF9"/>
    <w:rsid w:val="009E5DCF"/>
    <w:rsid w:val="009E5E35"/>
    <w:rsid w:val="009E5F36"/>
    <w:rsid w:val="009E5F3B"/>
    <w:rsid w:val="009E610E"/>
    <w:rsid w:val="009E634F"/>
    <w:rsid w:val="009E6426"/>
    <w:rsid w:val="009E6B48"/>
    <w:rsid w:val="009E6BAF"/>
    <w:rsid w:val="009E6CDE"/>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1E24"/>
    <w:rsid w:val="009F2269"/>
    <w:rsid w:val="009F27B5"/>
    <w:rsid w:val="009F28B5"/>
    <w:rsid w:val="009F2E5F"/>
    <w:rsid w:val="009F2F2C"/>
    <w:rsid w:val="009F3077"/>
    <w:rsid w:val="009F30A9"/>
    <w:rsid w:val="009F3581"/>
    <w:rsid w:val="009F3A71"/>
    <w:rsid w:val="009F3DD0"/>
    <w:rsid w:val="009F3DE5"/>
    <w:rsid w:val="009F3FB2"/>
    <w:rsid w:val="009F400A"/>
    <w:rsid w:val="009F410E"/>
    <w:rsid w:val="009F4261"/>
    <w:rsid w:val="009F4450"/>
    <w:rsid w:val="009F48C0"/>
    <w:rsid w:val="009F4955"/>
    <w:rsid w:val="009F4E2E"/>
    <w:rsid w:val="009F4E3D"/>
    <w:rsid w:val="009F50A4"/>
    <w:rsid w:val="009F52C4"/>
    <w:rsid w:val="009F5447"/>
    <w:rsid w:val="009F557B"/>
    <w:rsid w:val="009F568B"/>
    <w:rsid w:val="009F5828"/>
    <w:rsid w:val="009F5A25"/>
    <w:rsid w:val="009F5A79"/>
    <w:rsid w:val="009F5E73"/>
    <w:rsid w:val="009F6177"/>
    <w:rsid w:val="009F63CE"/>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80B"/>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598"/>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C50"/>
    <w:rsid w:val="00A15CF5"/>
    <w:rsid w:val="00A15F89"/>
    <w:rsid w:val="00A1649C"/>
    <w:rsid w:val="00A1660F"/>
    <w:rsid w:val="00A16616"/>
    <w:rsid w:val="00A16B1D"/>
    <w:rsid w:val="00A16C9D"/>
    <w:rsid w:val="00A16EBB"/>
    <w:rsid w:val="00A1735A"/>
    <w:rsid w:val="00A174E3"/>
    <w:rsid w:val="00A1785B"/>
    <w:rsid w:val="00A178CF"/>
    <w:rsid w:val="00A17926"/>
    <w:rsid w:val="00A17D9B"/>
    <w:rsid w:val="00A17DAE"/>
    <w:rsid w:val="00A203C1"/>
    <w:rsid w:val="00A203E2"/>
    <w:rsid w:val="00A20603"/>
    <w:rsid w:val="00A20A4E"/>
    <w:rsid w:val="00A20C1B"/>
    <w:rsid w:val="00A21277"/>
    <w:rsid w:val="00A212EF"/>
    <w:rsid w:val="00A21569"/>
    <w:rsid w:val="00A217EC"/>
    <w:rsid w:val="00A21900"/>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7D"/>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5FE1"/>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E01"/>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71E"/>
    <w:rsid w:val="00A668DD"/>
    <w:rsid w:val="00A66C3D"/>
    <w:rsid w:val="00A66C8C"/>
    <w:rsid w:val="00A671FA"/>
    <w:rsid w:val="00A67383"/>
    <w:rsid w:val="00A67710"/>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C6B"/>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734"/>
    <w:rsid w:val="00A81D11"/>
    <w:rsid w:val="00A81EFB"/>
    <w:rsid w:val="00A8210E"/>
    <w:rsid w:val="00A8212E"/>
    <w:rsid w:val="00A8236D"/>
    <w:rsid w:val="00A823E1"/>
    <w:rsid w:val="00A824B4"/>
    <w:rsid w:val="00A82730"/>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2C5"/>
    <w:rsid w:val="00A86418"/>
    <w:rsid w:val="00A86617"/>
    <w:rsid w:val="00A86E24"/>
    <w:rsid w:val="00A86F95"/>
    <w:rsid w:val="00A870D1"/>
    <w:rsid w:val="00A87180"/>
    <w:rsid w:val="00A87261"/>
    <w:rsid w:val="00A87648"/>
    <w:rsid w:val="00A878D1"/>
    <w:rsid w:val="00A87CC9"/>
    <w:rsid w:val="00A90272"/>
    <w:rsid w:val="00A90657"/>
    <w:rsid w:val="00A906FA"/>
    <w:rsid w:val="00A90944"/>
    <w:rsid w:val="00A90A7F"/>
    <w:rsid w:val="00A90AAD"/>
    <w:rsid w:val="00A90B82"/>
    <w:rsid w:val="00A91051"/>
    <w:rsid w:val="00A91215"/>
    <w:rsid w:val="00A9125F"/>
    <w:rsid w:val="00A9132A"/>
    <w:rsid w:val="00A9134F"/>
    <w:rsid w:val="00A917A9"/>
    <w:rsid w:val="00A91BCE"/>
    <w:rsid w:val="00A91E60"/>
    <w:rsid w:val="00A9216C"/>
    <w:rsid w:val="00A92480"/>
    <w:rsid w:val="00A928CC"/>
    <w:rsid w:val="00A92B1E"/>
    <w:rsid w:val="00A92DBF"/>
    <w:rsid w:val="00A933EC"/>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81B"/>
    <w:rsid w:val="00AA1907"/>
    <w:rsid w:val="00AA1B55"/>
    <w:rsid w:val="00AA2221"/>
    <w:rsid w:val="00AA2801"/>
    <w:rsid w:val="00AA29BD"/>
    <w:rsid w:val="00AA2BE2"/>
    <w:rsid w:val="00AA32B9"/>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163"/>
    <w:rsid w:val="00AA61F2"/>
    <w:rsid w:val="00AA6616"/>
    <w:rsid w:val="00AA667E"/>
    <w:rsid w:val="00AA68D2"/>
    <w:rsid w:val="00AA6AC1"/>
    <w:rsid w:val="00AA6AE7"/>
    <w:rsid w:val="00AA6B65"/>
    <w:rsid w:val="00AA6DD4"/>
    <w:rsid w:val="00AA7090"/>
    <w:rsid w:val="00AA70C5"/>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B3"/>
    <w:rsid w:val="00AB3A69"/>
    <w:rsid w:val="00AB3B56"/>
    <w:rsid w:val="00AB3E86"/>
    <w:rsid w:val="00AB4299"/>
    <w:rsid w:val="00AB44AC"/>
    <w:rsid w:val="00AB4865"/>
    <w:rsid w:val="00AB4D93"/>
    <w:rsid w:val="00AB4DA2"/>
    <w:rsid w:val="00AB52DD"/>
    <w:rsid w:val="00AB56A2"/>
    <w:rsid w:val="00AB58D2"/>
    <w:rsid w:val="00AB5AF8"/>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1AA"/>
    <w:rsid w:val="00AC0222"/>
    <w:rsid w:val="00AC04C8"/>
    <w:rsid w:val="00AC0AB1"/>
    <w:rsid w:val="00AC1217"/>
    <w:rsid w:val="00AC1346"/>
    <w:rsid w:val="00AC18D9"/>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B2B"/>
    <w:rsid w:val="00AC51E9"/>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A0"/>
    <w:rsid w:val="00AC7A16"/>
    <w:rsid w:val="00AC7B50"/>
    <w:rsid w:val="00AC7C5A"/>
    <w:rsid w:val="00AC7E54"/>
    <w:rsid w:val="00AD0009"/>
    <w:rsid w:val="00AD012E"/>
    <w:rsid w:val="00AD069D"/>
    <w:rsid w:val="00AD081B"/>
    <w:rsid w:val="00AD084B"/>
    <w:rsid w:val="00AD0A55"/>
    <w:rsid w:val="00AD101C"/>
    <w:rsid w:val="00AD1295"/>
    <w:rsid w:val="00AD14C1"/>
    <w:rsid w:val="00AD16FC"/>
    <w:rsid w:val="00AD1A5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1D"/>
    <w:rsid w:val="00AD6123"/>
    <w:rsid w:val="00AD6845"/>
    <w:rsid w:val="00AD68C1"/>
    <w:rsid w:val="00AD6C00"/>
    <w:rsid w:val="00AD6C74"/>
    <w:rsid w:val="00AD7053"/>
    <w:rsid w:val="00AD748B"/>
    <w:rsid w:val="00AD7659"/>
    <w:rsid w:val="00AD7895"/>
    <w:rsid w:val="00AD79F1"/>
    <w:rsid w:val="00AD79F4"/>
    <w:rsid w:val="00AD7B8E"/>
    <w:rsid w:val="00AE00E2"/>
    <w:rsid w:val="00AE01CF"/>
    <w:rsid w:val="00AE01E4"/>
    <w:rsid w:val="00AE0677"/>
    <w:rsid w:val="00AE0A3A"/>
    <w:rsid w:val="00AE0C87"/>
    <w:rsid w:val="00AE0DCC"/>
    <w:rsid w:val="00AE1315"/>
    <w:rsid w:val="00AE1842"/>
    <w:rsid w:val="00AE1C39"/>
    <w:rsid w:val="00AE2025"/>
    <w:rsid w:val="00AE2421"/>
    <w:rsid w:val="00AE26DD"/>
    <w:rsid w:val="00AE2A19"/>
    <w:rsid w:val="00AE2E4E"/>
    <w:rsid w:val="00AE2EA0"/>
    <w:rsid w:val="00AE368F"/>
    <w:rsid w:val="00AE386E"/>
    <w:rsid w:val="00AE41B1"/>
    <w:rsid w:val="00AE4240"/>
    <w:rsid w:val="00AE43E9"/>
    <w:rsid w:val="00AE45D5"/>
    <w:rsid w:val="00AE46C8"/>
    <w:rsid w:val="00AE4955"/>
    <w:rsid w:val="00AE4C04"/>
    <w:rsid w:val="00AE4C5C"/>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27"/>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23FD"/>
    <w:rsid w:val="00B0249F"/>
    <w:rsid w:val="00B02584"/>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4EA7"/>
    <w:rsid w:val="00B0510E"/>
    <w:rsid w:val="00B05139"/>
    <w:rsid w:val="00B052F6"/>
    <w:rsid w:val="00B05423"/>
    <w:rsid w:val="00B05D68"/>
    <w:rsid w:val="00B05FEC"/>
    <w:rsid w:val="00B06248"/>
    <w:rsid w:val="00B0627F"/>
    <w:rsid w:val="00B062B1"/>
    <w:rsid w:val="00B064DB"/>
    <w:rsid w:val="00B066FD"/>
    <w:rsid w:val="00B06898"/>
    <w:rsid w:val="00B0726C"/>
    <w:rsid w:val="00B0729A"/>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7A9"/>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4F0"/>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BC"/>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1AA"/>
    <w:rsid w:val="00B261DE"/>
    <w:rsid w:val="00B2621B"/>
    <w:rsid w:val="00B2623A"/>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5F7"/>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7757"/>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6B64"/>
    <w:rsid w:val="00B46BDD"/>
    <w:rsid w:val="00B46CC1"/>
    <w:rsid w:val="00B46DBE"/>
    <w:rsid w:val="00B470EA"/>
    <w:rsid w:val="00B47394"/>
    <w:rsid w:val="00B475A9"/>
    <w:rsid w:val="00B4799D"/>
    <w:rsid w:val="00B47A89"/>
    <w:rsid w:val="00B47D66"/>
    <w:rsid w:val="00B47E4F"/>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095"/>
    <w:rsid w:val="00B52323"/>
    <w:rsid w:val="00B5274E"/>
    <w:rsid w:val="00B52B71"/>
    <w:rsid w:val="00B52B80"/>
    <w:rsid w:val="00B52CCA"/>
    <w:rsid w:val="00B52D3E"/>
    <w:rsid w:val="00B52DCB"/>
    <w:rsid w:val="00B52E0E"/>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601AA"/>
    <w:rsid w:val="00B6050E"/>
    <w:rsid w:val="00B60670"/>
    <w:rsid w:val="00B60689"/>
    <w:rsid w:val="00B60950"/>
    <w:rsid w:val="00B609BB"/>
    <w:rsid w:val="00B60D86"/>
    <w:rsid w:val="00B60DEB"/>
    <w:rsid w:val="00B6111C"/>
    <w:rsid w:val="00B6114D"/>
    <w:rsid w:val="00B6132E"/>
    <w:rsid w:val="00B613EC"/>
    <w:rsid w:val="00B615D3"/>
    <w:rsid w:val="00B61650"/>
    <w:rsid w:val="00B61EB6"/>
    <w:rsid w:val="00B62148"/>
    <w:rsid w:val="00B62226"/>
    <w:rsid w:val="00B626A3"/>
    <w:rsid w:val="00B62746"/>
    <w:rsid w:val="00B62954"/>
    <w:rsid w:val="00B62DAF"/>
    <w:rsid w:val="00B62E1E"/>
    <w:rsid w:val="00B62FE1"/>
    <w:rsid w:val="00B6392E"/>
    <w:rsid w:val="00B63BA9"/>
    <w:rsid w:val="00B63C03"/>
    <w:rsid w:val="00B64103"/>
    <w:rsid w:val="00B641A2"/>
    <w:rsid w:val="00B6429C"/>
    <w:rsid w:val="00B6495C"/>
    <w:rsid w:val="00B64AB2"/>
    <w:rsid w:val="00B651B0"/>
    <w:rsid w:val="00B651FC"/>
    <w:rsid w:val="00B65207"/>
    <w:rsid w:val="00B6522F"/>
    <w:rsid w:val="00B65343"/>
    <w:rsid w:val="00B654FC"/>
    <w:rsid w:val="00B65BE6"/>
    <w:rsid w:val="00B65C8F"/>
    <w:rsid w:val="00B65EDD"/>
    <w:rsid w:val="00B65FEF"/>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965"/>
    <w:rsid w:val="00B72A38"/>
    <w:rsid w:val="00B72A3E"/>
    <w:rsid w:val="00B72DF7"/>
    <w:rsid w:val="00B72E6C"/>
    <w:rsid w:val="00B72F50"/>
    <w:rsid w:val="00B731DE"/>
    <w:rsid w:val="00B731EC"/>
    <w:rsid w:val="00B732C5"/>
    <w:rsid w:val="00B7354A"/>
    <w:rsid w:val="00B739B0"/>
    <w:rsid w:val="00B73A00"/>
    <w:rsid w:val="00B73AAF"/>
    <w:rsid w:val="00B73D41"/>
    <w:rsid w:val="00B73DE6"/>
    <w:rsid w:val="00B73DF3"/>
    <w:rsid w:val="00B73F25"/>
    <w:rsid w:val="00B7402A"/>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E18"/>
    <w:rsid w:val="00B76067"/>
    <w:rsid w:val="00B76260"/>
    <w:rsid w:val="00B76399"/>
    <w:rsid w:val="00B76706"/>
    <w:rsid w:val="00B76E0E"/>
    <w:rsid w:val="00B76EBD"/>
    <w:rsid w:val="00B76ECE"/>
    <w:rsid w:val="00B77545"/>
    <w:rsid w:val="00B775BE"/>
    <w:rsid w:val="00B776CD"/>
    <w:rsid w:val="00B77801"/>
    <w:rsid w:val="00B80197"/>
    <w:rsid w:val="00B801A8"/>
    <w:rsid w:val="00B80214"/>
    <w:rsid w:val="00B80476"/>
    <w:rsid w:val="00B804E8"/>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ED3"/>
    <w:rsid w:val="00B84F34"/>
    <w:rsid w:val="00B84F7F"/>
    <w:rsid w:val="00B853C7"/>
    <w:rsid w:val="00B85414"/>
    <w:rsid w:val="00B85465"/>
    <w:rsid w:val="00B85747"/>
    <w:rsid w:val="00B85D09"/>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5DC3"/>
    <w:rsid w:val="00B96316"/>
    <w:rsid w:val="00B963DB"/>
    <w:rsid w:val="00B964E1"/>
    <w:rsid w:val="00B9652D"/>
    <w:rsid w:val="00B965FD"/>
    <w:rsid w:val="00B96766"/>
    <w:rsid w:val="00B96C7F"/>
    <w:rsid w:val="00B96E51"/>
    <w:rsid w:val="00B970A0"/>
    <w:rsid w:val="00B97189"/>
    <w:rsid w:val="00B972E1"/>
    <w:rsid w:val="00B972F6"/>
    <w:rsid w:val="00B973EA"/>
    <w:rsid w:val="00B97429"/>
    <w:rsid w:val="00B977E4"/>
    <w:rsid w:val="00B97A18"/>
    <w:rsid w:val="00B97B3D"/>
    <w:rsid w:val="00BA015D"/>
    <w:rsid w:val="00BA0229"/>
    <w:rsid w:val="00BA0860"/>
    <w:rsid w:val="00BA0A8E"/>
    <w:rsid w:val="00BA0ECC"/>
    <w:rsid w:val="00BA139E"/>
    <w:rsid w:val="00BA17E4"/>
    <w:rsid w:val="00BA1A10"/>
    <w:rsid w:val="00BA1B35"/>
    <w:rsid w:val="00BA1B99"/>
    <w:rsid w:val="00BA1C72"/>
    <w:rsid w:val="00BA2652"/>
    <w:rsid w:val="00BA2914"/>
    <w:rsid w:val="00BA2B6F"/>
    <w:rsid w:val="00BA2DD7"/>
    <w:rsid w:val="00BA3072"/>
    <w:rsid w:val="00BA30C7"/>
    <w:rsid w:val="00BA35C5"/>
    <w:rsid w:val="00BA3857"/>
    <w:rsid w:val="00BA3A00"/>
    <w:rsid w:val="00BA3CB8"/>
    <w:rsid w:val="00BA3CFD"/>
    <w:rsid w:val="00BA3D55"/>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6F40"/>
    <w:rsid w:val="00BA7246"/>
    <w:rsid w:val="00BA7262"/>
    <w:rsid w:val="00BA7269"/>
    <w:rsid w:val="00BA757B"/>
    <w:rsid w:val="00BA7A42"/>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73C"/>
    <w:rsid w:val="00BC4B45"/>
    <w:rsid w:val="00BC4B7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7EF"/>
    <w:rsid w:val="00BC79A6"/>
    <w:rsid w:val="00BC79B3"/>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7E4"/>
    <w:rsid w:val="00BD4D9A"/>
    <w:rsid w:val="00BD4FEC"/>
    <w:rsid w:val="00BD503E"/>
    <w:rsid w:val="00BD5550"/>
    <w:rsid w:val="00BD559C"/>
    <w:rsid w:val="00BD56B8"/>
    <w:rsid w:val="00BD5802"/>
    <w:rsid w:val="00BD618C"/>
    <w:rsid w:val="00BD6441"/>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BD8"/>
    <w:rsid w:val="00BE1CB8"/>
    <w:rsid w:val="00BE1EB7"/>
    <w:rsid w:val="00BE2334"/>
    <w:rsid w:val="00BE2550"/>
    <w:rsid w:val="00BE2748"/>
    <w:rsid w:val="00BE2A26"/>
    <w:rsid w:val="00BE2A83"/>
    <w:rsid w:val="00BE2A90"/>
    <w:rsid w:val="00BE2B6A"/>
    <w:rsid w:val="00BE2C59"/>
    <w:rsid w:val="00BE3137"/>
    <w:rsid w:val="00BE3459"/>
    <w:rsid w:val="00BE3651"/>
    <w:rsid w:val="00BE37FF"/>
    <w:rsid w:val="00BE39B4"/>
    <w:rsid w:val="00BE39DE"/>
    <w:rsid w:val="00BE3AD1"/>
    <w:rsid w:val="00BE3D57"/>
    <w:rsid w:val="00BE3DB9"/>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0B"/>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D5"/>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3DC"/>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C18"/>
    <w:rsid w:val="00C03F43"/>
    <w:rsid w:val="00C03F48"/>
    <w:rsid w:val="00C03FD8"/>
    <w:rsid w:val="00C04513"/>
    <w:rsid w:val="00C04557"/>
    <w:rsid w:val="00C04DD1"/>
    <w:rsid w:val="00C0502A"/>
    <w:rsid w:val="00C05121"/>
    <w:rsid w:val="00C05248"/>
    <w:rsid w:val="00C056C9"/>
    <w:rsid w:val="00C057EB"/>
    <w:rsid w:val="00C05900"/>
    <w:rsid w:val="00C05AE7"/>
    <w:rsid w:val="00C05EFF"/>
    <w:rsid w:val="00C05FFB"/>
    <w:rsid w:val="00C06179"/>
    <w:rsid w:val="00C06186"/>
    <w:rsid w:val="00C0645D"/>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E3"/>
    <w:rsid w:val="00C154CD"/>
    <w:rsid w:val="00C15507"/>
    <w:rsid w:val="00C15671"/>
    <w:rsid w:val="00C158D3"/>
    <w:rsid w:val="00C158DA"/>
    <w:rsid w:val="00C160CD"/>
    <w:rsid w:val="00C165B2"/>
    <w:rsid w:val="00C16703"/>
    <w:rsid w:val="00C16AB2"/>
    <w:rsid w:val="00C16C05"/>
    <w:rsid w:val="00C17036"/>
    <w:rsid w:val="00C17215"/>
    <w:rsid w:val="00C173AD"/>
    <w:rsid w:val="00C1758F"/>
    <w:rsid w:val="00C176CB"/>
    <w:rsid w:val="00C178E2"/>
    <w:rsid w:val="00C17B66"/>
    <w:rsid w:val="00C17DE5"/>
    <w:rsid w:val="00C17E68"/>
    <w:rsid w:val="00C17F3E"/>
    <w:rsid w:val="00C208D5"/>
    <w:rsid w:val="00C20B43"/>
    <w:rsid w:val="00C20CAB"/>
    <w:rsid w:val="00C20F7A"/>
    <w:rsid w:val="00C21163"/>
    <w:rsid w:val="00C2128A"/>
    <w:rsid w:val="00C214C5"/>
    <w:rsid w:val="00C214E6"/>
    <w:rsid w:val="00C2151A"/>
    <w:rsid w:val="00C219FD"/>
    <w:rsid w:val="00C21A38"/>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40BF"/>
    <w:rsid w:val="00C241B5"/>
    <w:rsid w:val="00C24245"/>
    <w:rsid w:val="00C2479D"/>
    <w:rsid w:val="00C247BF"/>
    <w:rsid w:val="00C24BE2"/>
    <w:rsid w:val="00C24ED1"/>
    <w:rsid w:val="00C24F1D"/>
    <w:rsid w:val="00C24F6C"/>
    <w:rsid w:val="00C25159"/>
    <w:rsid w:val="00C253E2"/>
    <w:rsid w:val="00C25D5F"/>
    <w:rsid w:val="00C26040"/>
    <w:rsid w:val="00C2662E"/>
    <w:rsid w:val="00C267C6"/>
    <w:rsid w:val="00C26CC7"/>
    <w:rsid w:val="00C27030"/>
    <w:rsid w:val="00C271E2"/>
    <w:rsid w:val="00C27518"/>
    <w:rsid w:val="00C2784F"/>
    <w:rsid w:val="00C27D1D"/>
    <w:rsid w:val="00C27F17"/>
    <w:rsid w:val="00C27F24"/>
    <w:rsid w:val="00C301B8"/>
    <w:rsid w:val="00C3023F"/>
    <w:rsid w:val="00C30438"/>
    <w:rsid w:val="00C304C5"/>
    <w:rsid w:val="00C30873"/>
    <w:rsid w:val="00C30902"/>
    <w:rsid w:val="00C30E82"/>
    <w:rsid w:val="00C3105A"/>
    <w:rsid w:val="00C31313"/>
    <w:rsid w:val="00C313F4"/>
    <w:rsid w:val="00C3143C"/>
    <w:rsid w:val="00C31610"/>
    <w:rsid w:val="00C31810"/>
    <w:rsid w:val="00C3184B"/>
    <w:rsid w:val="00C318E5"/>
    <w:rsid w:val="00C31D95"/>
    <w:rsid w:val="00C31DE4"/>
    <w:rsid w:val="00C31FBA"/>
    <w:rsid w:val="00C323D1"/>
    <w:rsid w:val="00C32576"/>
    <w:rsid w:val="00C325F9"/>
    <w:rsid w:val="00C32AFA"/>
    <w:rsid w:val="00C32C12"/>
    <w:rsid w:val="00C32C39"/>
    <w:rsid w:val="00C32E32"/>
    <w:rsid w:val="00C33DAD"/>
    <w:rsid w:val="00C348C9"/>
    <w:rsid w:val="00C34A49"/>
    <w:rsid w:val="00C34BAA"/>
    <w:rsid w:val="00C34C55"/>
    <w:rsid w:val="00C34F1C"/>
    <w:rsid w:val="00C35415"/>
    <w:rsid w:val="00C354E3"/>
    <w:rsid w:val="00C355EB"/>
    <w:rsid w:val="00C35967"/>
    <w:rsid w:val="00C359A9"/>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CDB"/>
    <w:rsid w:val="00C40F89"/>
    <w:rsid w:val="00C41695"/>
    <w:rsid w:val="00C41819"/>
    <w:rsid w:val="00C41B04"/>
    <w:rsid w:val="00C41D69"/>
    <w:rsid w:val="00C41F7A"/>
    <w:rsid w:val="00C42042"/>
    <w:rsid w:val="00C423DB"/>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A2C"/>
    <w:rsid w:val="00C47AA1"/>
    <w:rsid w:val="00C47C2D"/>
    <w:rsid w:val="00C50676"/>
    <w:rsid w:val="00C50A03"/>
    <w:rsid w:val="00C5100D"/>
    <w:rsid w:val="00C51307"/>
    <w:rsid w:val="00C51415"/>
    <w:rsid w:val="00C5156D"/>
    <w:rsid w:val="00C517CA"/>
    <w:rsid w:val="00C51864"/>
    <w:rsid w:val="00C51878"/>
    <w:rsid w:val="00C51A6C"/>
    <w:rsid w:val="00C51F06"/>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BD9"/>
    <w:rsid w:val="00C54C19"/>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0C90"/>
    <w:rsid w:val="00C612E0"/>
    <w:rsid w:val="00C61516"/>
    <w:rsid w:val="00C61646"/>
    <w:rsid w:val="00C616E3"/>
    <w:rsid w:val="00C61856"/>
    <w:rsid w:val="00C618C3"/>
    <w:rsid w:val="00C61916"/>
    <w:rsid w:val="00C619ED"/>
    <w:rsid w:val="00C61E6A"/>
    <w:rsid w:val="00C62091"/>
    <w:rsid w:val="00C62171"/>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7CC"/>
    <w:rsid w:val="00C6492D"/>
    <w:rsid w:val="00C64AF1"/>
    <w:rsid w:val="00C64B75"/>
    <w:rsid w:val="00C64CA8"/>
    <w:rsid w:val="00C64E07"/>
    <w:rsid w:val="00C652DA"/>
    <w:rsid w:val="00C65572"/>
    <w:rsid w:val="00C65655"/>
    <w:rsid w:val="00C657DD"/>
    <w:rsid w:val="00C65A5E"/>
    <w:rsid w:val="00C65A69"/>
    <w:rsid w:val="00C65A6A"/>
    <w:rsid w:val="00C65D4F"/>
    <w:rsid w:val="00C6607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6787B"/>
    <w:rsid w:val="00C70017"/>
    <w:rsid w:val="00C7026C"/>
    <w:rsid w:val="00C7031D"/>
    <w:rsid w:val="00C704C0"/>
    <w:rsid w:val="00C704C9"/>
    <w:rsid w:val="00C70720"/>
    <w:rsid w:val="00C70A1C"/>
    <w:rsid w:val="00C70BC1"/>
    <w:rsid w:val="00C70ED2"/>
    <w:rsid w:val="00C71189"/>
    <w:rsid w:val="00C714B8"/>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BB9"/>
    <w:rsid w:val="00C76C31"/>
    <w:rsid w:val="00C76E57"/>
    <w:rsid w:val="00C770CE"/>
    <w:rsid w:val="00C7724F"/>
    <w:rsid w:val="00C77281"/>
    <w:rsid w:val="00C777A7"/>
    <w:rsid w:val="00C777E9"/>
    <w:rsid w:val="00C77804"/>
    <w:rsid w:val="00C805D9"/>
    <w:rsid w:val="00C80A72"/>
    <w:rsid w:val="00C80AF3"/>
    <w:rsid w:val="00C8110D"/>
    <w:rsid w:val="00C81331"/>
    <w:rsid w:val="00C81975"/>
    <w:rsid w:val="00C81BF0"/>
    <w:rsid w:val="00C82166"/>
    <w:rsid w:val="00C82540"/>
    <w:rsid w:val="00C82624"/>
    <w:rsid w:val="00C82EBF"/>
    <w:rsid w:val="00C82ED3"/>
    <w:rsid w:val="00C82FB5"/>
    <w:rsid w:val="00C83405"/>
    <w:rsid w:val="00C83613"/>
    <w:rsid w:val="00C83958"/>
    <w:rsid w:val="00C83F9A"/>
    <w:rsid w:val="00C83FEA"/>
    <w:rsid w:val="00C84324"/>
    <w:rsid w:val="00C8434D"/>
    <w:rsid w:val="00C84898"/>
    <w:rsid w:val="00C848A0"/>
    <w:rsid w:val="00C84A98"/>
    <w:rsid w:val="00C84AE5"/>
    <w:rsid w:val="00C84D61"/>
    <w:rsid w:val="00C850F8"/>
    <w:rsid w:val="00C85145"/>
    <w:rsid w:val="00C85608"/>
    <w:rsid w:val="00C859B5"/>
    <w:rsid w:val="00C85B6F"/>
    <w:rsid w:val="00C86183"/>
    <w:rsid w:val="00C86245"/>
    <w:rsid w:val="00C86370"/>
    <w:rsid w:val="00C867AE"/>
    <w:rsid w:val="00C867E1"/>
    <w:rsid w:val="00C86D7B"/>
    <w:rsid w:val="00C86EEC"/>
    <w:rsid w:val="00C87318"/>
    <w:rsid w:val="00C875F0"/>
    <w:rsid w:val="00C8771A"/>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579"/>
    <w:rsid w:val="00C937E9"/>
    <w:rsid w:val="00C93A91"/>
    <w:rsid w:val="00C93CB0"/>
    <w:rsid w:val="00C941E2"/>
    <w:rsid w:val="00C942CD"/>
    <w:rsid w:val="00C945E1"/>
    <w:rsid w:val="00C95083"/>
    <w:rsid w:val="00C953CB"/>
    <w:rsid w:val="00C95639"/>
    <w:rsid w:val="00C95761"/>
    <w:rsid w:val="00C95ED5"/>
    <w:rsid w:val="00C9653E"/>
    <w:rsid w:val="00C966AC"/>
    <w:rsid w:val="00C969DE"/>
    <w:rsid w:val="00C96B91"/>
    <w:rsid w:val="00C96FE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6C"/>
    <w:rsid w:val="00CA1C94"/>
    <w:rsid w:val="00CA23ED"/>
    <w:rsid w:val="00CA24D9"/>
    <w:rsid w:val="00CA2EE2"/>
    <w:rsid w:val="00CA326D"/>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633D"/>
    <w:rsid w:val="00CA63D9"/>
    <w:rsid w:val="00CA6759"/>
    <w:rsid w:val="00CA6CB0"/>
    <w:rsid w:val="00CA76F9"/>
    <w:rsid w:val="00CA7700"/>
    <w:rsid w:val="00CA7755"/>
    <w:rsid w:val="00CA776B"/>
    <w:rsid w:val="00CA7A40"/>
    <w:rsid w:val="00CA7AA0"/>
    <w:rsid w:val="00CA7BAC"/>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2B6"/>
    <w:rsid w:val="00CB334B"/>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73"/>
    <w:rsid w:val="00CC5280"/>
    <w:rsid w:val="00CC52A6"/>
    <w:rsid w:val="00CC554A"/>
    <w:rsid w:val="00CC5C70"/>
    <w:rsid w:val="00CC5DBC"/>
    <w:rsid w:val="00CC6139"/>
    <w:rsid w:val="00CC6282"/>
    <w:rsid w:val="00CC67AF"/>
    <w:rsid w:val="00CC6897"/>
    <w:rsid w:val="00CC68DC"/>
    <w:rsid w:val="00CC6A7E"/>
    <w:rsid w:val="00CC6F8F"/>
    <w:rsid w:val="00CC7328"/>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18B"/>
    <w:rsid w:val="00CE0627"/>
    <w:rsid w:val="00CE091F"/>
    <w:rsid w:val="00CE09C2"/>
    <w:rsid w:val="00CE0A3E"/>
    <w:rsid w:val="00CE0A50"/>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7412"/>
    <w:rsid w:val="00CE7572"/>
    <w:rsid w:val="00CE76EE"/>
    <w:rsid w:val="00CE7B52"/>
    <w:rsid w:val="00CE7E70"/>
    <w:rsid w:val="00CF0243"/>
    <w:rsid w:val="00CF02A7"/>
    <w:rsid w:val="00CF02FB"/>
    <w:rsid w:val="00CF0607"/>
    <w:rsid w:val="00CF0E85"/>
    <w:rsid w:val="00CF0FAC"/>
    <w:rsid w:val="00CF0FFE"/>
    <w:rsid w:val="00CF101F"/>
    <w:rsid w:val="00CF132F"/>
    <w:rsid w:val="00CF1390"/>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5003"/>
    <w:rsid w:val="00CF547E"/>
    <w:rsid w:val="00CF54C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248F"/>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9C"/>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555"/>
    <w:rsid w:val="00D1788B"/>
    <w:rsid w:val="00D178EB"/>
    <w:rsid w:val="00D17923"/>
    <w:rsid w:val="00D179CA"/>
    <w:rsid w:val="00D17DB7"/>
    <w:rsid w:val="00D202EB"/>
    <w:rsid w:val="00D20878"/>
    <w:rsid w:val="00D2089A"/>
    <w:rsid w:val="00D208BA"/>
    <w:rsid w:val="00D20933"/>
    <w:rsid w:val="00D209FF"/>
    <w:rsid w:val="00D20C9E"/>
    <w:rsid w:val="00D20D3D"/>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1BF"/>
    <w:rsid w:val="00D256E6"/>
    <w:rsid w:val="00D25773"/>
    <w:rsid w:val="00D257D5"/>
    <w:rsid w:val="00D25CBB"/>
    <w:rsid w:val="00D25CCA"/>
    <w:rsid w:val="00D26150"/>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26"/>
    <w:rsid w:val="00D32151"/>
    <w:rsid w:val="00D324FC"/>
    <w:rsid w:val="00D32558"/>
    <w:rsid w:val="00D32912"/>
    <w:rsid w:val="00D32A27"/>
    <w:rsid w:val="00D32BBE"/>
    <w:rsid w:val="00D32F54"/>
    <w:rsid w:val="00D3320F"/>
    <w:rsid w:val="00D33236"/>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844"/>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89B"/>
    <w:rsid w:val="00D45EFB"/>
    <w:rsid w:val="00D460EB"/>
    <w:rsid w:val="00D463E2"/>
    <w:rsid w:val="00D4659C"/>
    <w:rsid w:val="00D46635"/>
    <w:rsid w:val="00D468D0"/>
    <w:rsid w:val="00D46AE2"/>
    <w:rsid w:val="00D46C8F"/>
    <w:rsid w:val="00D47073"/>
    <w:rsid w:val="00D479E4"/>
    <w:rsid w:val="00D47AEB"/>
    <w:rsid w:val="00D47CBD"/>
    <w:rsid w:val="00D47FFE"/>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68F"/>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96"/>
    <w:rsid w:val="00D576BC"/>
    <w:rsid w:val="00D579A6"/>
    <w:rsid w:val="00D579CC"/>
    <w:rsid w:val="00D57A73"/>
    <w:rsid w:val="00D57D22"/>
    <w:rsid w:val="00D60235"/>
    <w:rsid w:val="00D60339"/>
    <w:rsid w:val="00D6035A"/>
    <w:rsid w:val="00D6053E"/>
    <w:rsid w:val="00D60564"/>
    <w:rsid w:val="00D6083C"/>
    <w:rsid w:val="00D60870"/>
    <w:rsid w:val="00D6088B"/>
    <w:rsid w:val="00D60C5B"/>
    <w:rsid w:val="00D60EED"/>
    <w:rsid w:val="00D60F21"/>
    <w:rsid w:val="00D615AD"/>
    <w:rsid w:val="00D617CC"/>
    <w:rsid w:val="00D6183D"/>
    <w:rsid w:val="00D61A02"/>
    <w:rsid w:val="00D62208"/>
    <w:rsid w:val="00D625F2"/>
    <w:rsid w:val="00D62AAF"/>
    <w:rsid w:val="00D62B8A"/>
    <w:rsid w:val="00D634A7"/>
    <w:rsid w:val="00D634E9"/>
    <w:rsid w:val="00D636AA"/>
    <w:rsid w:val="00D63CDA"/>
    <w:rsid w:val="00D643C5"/>
    <w:rsid w:val="00D64791"/>
    <w:rsid w:val="00D64A46"/>
    <w:rsid w:val="00D64B5A"/>
    <w:rsid w:val="00D64CE8"/>
    <w:rsid w:val="00D64F53"/>
    <w:rsid w:val="00D65064"/>
    <w:rsid w:val="00D6563A"/>
    <w:rsid w:val="00D656B9"/>
    <w:rsid w:val="00D65BA6"/>
    <w:rsid w:val="00D65E4D"/>
    <w:rsid w:val="00D66132"/>
    <w:rsid w:val="00D66287"/>
    <w:rsid w:val="00D662C9"/>
    <w:rsid w:val="00D665A3"/>
    <w:rsid w:val="00D66C87"/>
    <w:rsid w:val="00D66CDA"/>
    <w:rsid w:val="00D66CDB"/>
    <w:rsid w:val="00D66EFF"/>
    <w:rsid w:val="00D66F39"/>
    <w:rsid w:val="00D67151"/>
    <w:rsid w:val="00D67710"/>
    <w:rsid w:val="00D677CA"/>
    <w:rsid w:val="00D67C18"/>
    <w:rsid w:val="00D70039"/>
    <w:rsid w:val="00D70174"/>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4ED"/>
    <w:rsid w:val="00D83753"/>
    <w:rsid w:val="00D83BC6"/>
    <w:rsid w:val="00D84278"/>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BE"/>
    <w:rsid w:val="00D86CDC"/>
    <w:rsid w:val="00D86D0A"/>
    <w:rsid w:val="00D870FF"/>
    <w:rsid w:val="00D874B9"/>
    <w:rsid w:val="00D879F1"/>
    <w:rsid w:val="00D87A6E"/>
    <w:rsid w:val="00D87EAA"/>
    <w:rsid w:val="00D900EF"/>
    <w:rsid w:val="00D901A4"/>
    <w:rsid w:val="00D90555"/>
    <w:rsid w:val="00D907B3"/>
    <w:rsid w:val="00D9089A"/>
    <w:rsid w:val="00D90932"/>
    <w:rsid w:val="00D90C91"/>
    <w:rsid w:val="00D90CD2"/>
    <w:rsid w:val="00D912E6"/>
    <w:rsid w:val="00D913F5"/>
    <w:rsid w:val="00D915EE"/>
    <w:rsid w:val="00D91D74"/>
    <w:rsid w:val="00D91E68"/>
    <w:rsid w:val="00D9201D"/>
    <w:rsid w:val="00D925AB"/>
    <w:rsid w:val="00D92877"/>
    <w:rsid w:val="00D9294C"/>
    <w:rsid w:val="00D92A24"/>
    <w:rsid w:val="00D92AB6"/>
    <w:rsid w:val="00D92BFF"/>
    <w:rsid w:val="00D92DE5"/>
    <w:rsid w:val="00D92F09"/>
    <w:rsid w:val="00D930B9"/>
    <w:rsid w:val="00D93630"/>
    <w:rsid w:val="00D937F1"/>
    <w:rsid w:val="00D93FD0"/>
    <w:rsid w:val="00D940D6"/>
    <w:rsid w:val="00D941A4"/>
    <w:rsid w:val="00D942BE"/>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815"/>
    <w:rsid w:val="00DA08BB"/>
    <w:rsid w:val="00DA09AF"/>
    <w:rsid w:val="00DA09D2"/>
    <w:rsid w:val="00DA0B44"/>
    <w:rsid w:val="00DA10CD"/>
    <w:rsid w:val="00DA14F6"/>
    <w:rsid w:val="00DA1801"/>
    <w:rsid w:val="00DA1803"/>
    <w:rsid w:val="00DA1F2D"/>
    <w:rsid w:val="00DA1F83"/>
    <w:rsid w:val="00DA2176"/>
    <w:rsid w:val="00DA2223"/>
    <w:rsid w:val="00DA22ED"/>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446"/>
    <w:rsid w:val="00DA5E4B"/>
    <w:rsid w:val="00DA6189"/>
    <w:rsid w:val="00DA6A3D"/>
    <w:rsid w:val="00DA7520"/>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8A6"/>
    <w:rsid w:val="00DB499D"/>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1FC"/>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13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0BCA"/>
    <w:rsid w:val="00DD1017"/>
    <w:rsid w:val="00DD1042"/>
    <w:rsid w:val="00DD1105"/>
    <w:rsid w:val="00DD1213"/>
    <w:rsid w:val="00DD12B1"/>
    <w:rsid w:val="00DD14EB"/>
    <w:rsid w:val="00DD1511"/>
    <w:rsid w:val="00DD168F"/>
    <w:rsid w:val="00DD16DB"/>
    <w:rsid w:val="00DD17AC"/>
    <w:rsid w:val="00DD1B07"/>
    <w:rsid w:val="00DD1CDB"/>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3C23"/>
    <w:rsid w:val="00DD4022"/>
    <w:rsid w:val="00DD419B"/>
    <w:rsid w:val="00DD42BA"/>
    <w:rsid w:val="00DD42F2"/>
    <w:rsid w:val="00DD453D"/>
    <w:rsid w:val="00DD4556"/>
    <w:rsid w:val="00DD473F"/>
    <w:rsid w:val="00DD478F"/>
    <w:rsid w:val="00DD4901"/>
    <w:rsid w:val="00DD49C0"/>
    <w:rsid w:val="00DD49E2"/>
    <w:rsid w:val="00DD4BE6"/>
    <w:rsid w:val="00DD513E"/>
    <w:rsid w:val="00DD5458"/>
    <w:rsid w:val="00DD55DE"/>
    <w:rsid w:val="00DD577E"/>
    <w:rsid w:val="00DD5812"/>
    <w:rsid w:val="00DD58DE"/>
    <w:rsid w:val="00DD59C0"/>
    <w:rsid w:val="00DD5ABC"/>
    <w:rsid w:val="00DD60CD"/>
    <w:rsid w:val="00DD65EF"/>
    <w:rsid w:val="00DD6C24"/>
    <w:rsid w:val="00DD70F4"/>
    <w:rsid w:val="00DD786C"/>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462"/>
    <w:rsid w:val="00DE4561"/>
    <w:rsid w:val="00DE4976"/>
    <w:rsid w:val="00DE4C64"/>
    <w:rsid w:val="00DE4ED8"/>
    <w:rsid w:val="00DE5337"/>
    <w:rsid w:val="00DE534B"/>
    <w:rsid w:val="00DE5DAE"/>
    <w:rsid w:val="00DE5F9A"/>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5AF"/>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320"/>
    <w:rsid w:val="00DF7433"/>
    <w:rsid w:val="00DF7465"/>
    <w:rsid w:val="00DF7560"/>
    <w:rsid w:val="00DF7682"/>
    <w:rsid w:val="00DF78DE"/>
    <w:rsid w:val="00DF7CA7"/>
    <w:rsid w:val="00DF7D59"/>
    <w:rsid w:val="00DF7F6D"/>
    <w:rsid w:val="00DF7F9B"/>
    <w:rsid w:val="00E003DE"/>
    <w:rsid w:val="00E00427"/>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49"/>
    <w:rsid w:val="00E03709"/>
    <w:rsid w:val="00E0370A"/>
    <w:rsid w:val="00E03898"/>
    <w:rsid w:val="00E038F6"/>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12A"/>
    <w:rsid w:val="00E07179"/>
    <w:rsid w:val="00E07511"/>
    <w:rsid w:val="00E07955"/>
    <w:rsid w:val="00E07B62"/>
    <w:rsid w:val="00E07C2D"/>
    <w:rsid w:val="00E07DD8"/>
    <w:rsid w:val="00E07E9C"/>
    <w:rsid w:val="00E07EB8"/>
    <w:rsid w:val="00E07F78"/>
    <w:rsid w:val="00E1015B"/>
    <w:rsid w:val="00E10385"/>
    <w:rsid w:val="00E103F8"/>
    <w:rsid w:val="00E10429"/>
    <w:rsid w:val="00E10DDF"/>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742"/>
    <w:rsid w:val="00E139C9"/>
    <w:rsid w:val="00E13D6C"/>
    <w:rsid w:val="00E13EF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692"/>
    <w:rsid w:val="00E26852"/>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DFF"/>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5BB9"/>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824"/>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99E"/>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5C5"/>
    <w:rsid w:val="00E55679"/>
    <w:rsid w:val="00E55F2E"/>
    <w:rsid w:val="00E561B5"/>
    <w:rsid w:val="00E5640A"/>
    <w:rsid w:val="00E56599"/>
    <w:rsid w:val="00E568A7"/>
    <w:rsid w:val="00E568C4"/>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DE"/>
    <w:rsid w:val="00E635A3"/>
    <w:rsid w:val="00E6372E"/>
    <w:rsid w:val="00E637E2"/>
    <w:rsid w:val="00E63EE0"/>
    <w:rsid w:val="00E63FEC"/>
    <w:rsid w:val="00E64107"/>
    <w:rsid w:val="00E6462F"/>
    <w:rsid w:val="00E64C05"/>
    <w:rsid w:val="00E64EF3"/>
    <w:rsid w:val="00E64F2A"/>
    <w:rsid w:val="00E65083"/>
    <w:rsid w:val="00E653A1"/>
    <w:rsid w:val="00E65564"/>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21B"/>
    <w:rsid w:val="00E67357"/>
    <w:rsid w:val="00E674BF"/>
    <w:rsid w:val="00E678AD"/>
    <w:rsid w:val="00E67998"/>
    <w:rsid w:val="00E67BA0"/>
    <w:rsid w:val="00E67E01"/>
    <w:rsid w:val="00E70014"/>
    <w:rsid w:val="00E701EB"/>
    <w:rsid w:val="00E7034D"/>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082"/>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C86"/>
    <w:rsid w:val="00E75FC2"/>
    <w:rsid w:val="00E76202"/>
    <w:rsid w:val="00E762C5"/>
    <w:rsid w:val="00E763A2"/>
    <w:rsid w:val="00E7641C"/>
    <w:rsid w:val="00E7642C"/>
    <w:rsid w:val="00E764AC"/>
    <w:rsid w:val="00E765E8"/>
    <w:rsid w:val="00E77057"/>
    <w:rsid w:val="00E7732E"/>
    <w:rsid w:val="00E773E4"/>
    <w:rsid w:val="00E7740C"/>
    <w:rsid w:val="00E77432"/>
    <w:rsid w:val="00E776BB"/>
    <w:rsid w:val="00E777E4"/>
    <w:rsid w:val="00E77B4C"/>
    <w:rsid w:val="00E77CAD"/>
    <w:rsid w:val="00E77FA8"/>
    <w:rsid w:val="00E80015"/>
    <w:rsid w:val="00E8026D"/>
    <w:rsid w:val="00E8030A"/>
    <w:rsid w:val="00E80500"/>
    <w:rsid w:val="00E8094F"/>
    <w:rsid w:val="00E80A2B"/>
    <w:rsid w:val="00E80C42"/>
    <w:rsid w:val="00E813C0"/>
    <w:rsid w:val="00E81459"/>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3126"/>
    <w:rsid w:val="00E93279"/>
    <w:rsid w:val="00E93799"/>
    <w:rsid w:val="00E93D4E"/>
    <w:rsid w:val="00E93FE0"/>
    <w:rsid w:val="00E940B2"/>
    <w:rsid w:val="00E946BB"/>
    <w:rsid w:val="00E9543D"/>
    <w:rsid w:val="00E95626"/>
    <w:rsid w:val="00E95723"/>
    <w:rsid w:val="00E95859"/>
    <w:rsid w:val="00E95AE1"/>
    <w:rsid w:val="00E95B16"/>
    <w:rsid w:val="00E95BFB"/>
    <w:rsid w:val="00E95C9A"/>
    <w:rsid w:val="00E95CBA"/>
    <w:rsid w:val="00E95D68"/>
    <w:rsid w:val="00E95E51"/>
    <w:rsid w:val="00E95EC2"/>
    <w:rsid w:val="00E95F2C"/>
    <w:rsid w:val="00E95FB8"/>
    <w:rsid w:val="00E96035"/>
    <w:rsid w:val="00E9619A"/>
    <w:rsid w:val="00E9629C"/>
    <w:rsid w:val="00E962BC"/>
    <w:rsid w:val="00E96DD1"/>
    <w:rsid w:val="00E96E58"/>
    <w:rsid w:val="00E96E77"/>
    <w:rsid w:val="00E96F2D"/>
    <w:rsid w:val="00E972C9"/>
    <w:rsid w:val="00E97485"/>
    <w:rsid w:val="00E97584"/>
    <w:rsid w:val="00E9772C"/>
    <w:rsid w:val="00E97795"/>
    <w:rsid w:val="00E977AA"/>
    <w:rsid w:val="00E977DB"/>
    <w:rsid w:val="00E97864"/>
    <w:rsid w:val="00E97D5E"/>
    <w:rsid w:val="00E97E68"/>
    <w:rsid w:val="00EA0241"/>
    <w:rsid w:val="00EA045F"/>
    <w:rsid w:val="00EA04DA"/>
    <w:rsid w:val="00EA0616"/>
    <w:rsid w:val="00EA0667"/>
    <w:rsid w:val="00EA0B1E"/>
    <w:rsid w:val="00EA0B68"/>
    <w:rsid w:val="00EA0D59"/>
    <w:rsid w:val="00EA0E76"/>
    <w:rsid w:val="00EA135B"/>
    <w:rsid w:val="00EA1460"/>
    <w:rsid w:val="00EA16CF"/>
    <w:rsid w:val="00EA196E"/>
    <w:rsid w:val="00EA1A07"/>
    <w:rsid w:val="00EA1A27"/>
    <w:rsid w:val="00EA1B8C"/>
    <w:rsid w:val="00EA2194"/>
    <w:rsid w:val="00EA2267"/>
    <w:rsid w:val="00EA2441"/>
    <w:rsid w:val="00EA2903"/>
    <w:rsid w:val="00EA298F"/>
    <w:rsid w:val="00EA2B7A"/>
    <w:rsid w:val="00EA2F75"/>
    <w:rsid w:val="00EA3018"/>
    <w:rsid w:val="00EA3324"/>
    <w:rsid w:val="00EA33A6"/>
    <w:rsid w:val="00EA3A5E"/>
    <w:rsid w:val="00EA3E2B"/>
    <w:rsid w:val="00EA4240"/>
    <w:rsid w:val="00EA42F1"/>
    <w:rsid w:val="00EA4682"/>
    <w:rsid w:val="00EA4794"/>
    <w:rsid w:val="00EA487F"/>
    <w:rsid w:val="00EA49CD"/>
    <w:rsid w:val="00EA4A6D"/>
    <w:rsid w:val="00EA4EA4"/>
    <w:rsid w:val="00EA4EA8"/>
    <w:rsid w:val="00EA50D8"/>
    <w:rsid w:val="00EA522B"/>
    <w:rsid w:val="00EA5A22"/>
    <w:rsid w:val="00EA5A4F"/>
    <w:rsid w:val="00EA5AFA"/>
    <w:rsid w:val="00EA5B6F"/>
    <w:rsid w:val="00EA6602"/>
    <w:rsid w:val="00EA6ECA"/>
    <w:rsid w:val="00EA7007"/>
    <w:rsid w:val="00EA73A2"/>
    <w:rsid w:val="00EA75DC"/>
    <w:rsid w:val="00EA7828"/>
    <w:rsid w:val="00EA7A72"/>
    <w:rsid w:val="00EA7C4C"/>
    <w:rsid w:val="00EB0340"/>
    <w:rsid w:val="00EB077B"/>
    <w:rsid w:val="00EB0B6C"/>
    <w:rsid w:val="00EB0EB9"/>
    <w:rsid w:val="00EB0EEC"/>
    <w:rsid w:val="00EB190B"/>
    <w:rsid w:val="00EB1CD5"/>
    <w:rsid w:val="00EB1CE6"/>
    <w:rsid w:val="00EB1DAC"/>
    <w:rsid w:val="00EB1E29"/>
    <w:rsid w:val="00EB2769"/>
    <w:rsid w:val="00EB2874"/>
    <w:rsid w:val="00EB28DB"/>
    <w:rsid w:val="00EB29DD"/>
    <w:rsid w:val="00EB2A0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B9D"/>
    <w:rsid w:val="00EB68EF"/>
    <w:rsid w:val="00EB6B54"/>
    <w:rsid w:val="00EB6BB7"/>
    <w:rsid w:val="00EB6BF9"/>
    <w:rsid w:val="00EB7333"/>
    <w:rsid w:val="00EB749E"/>
    <w:rsid w:val="00EB74A6"/>
    <w:rsid w:val="00EB76E7"/>
    <w:rsid w:val="00EB7788"/>
    <w:rsid w:val="00EB797E"/>
    <w:rsid w:val="00EB7AE0"/>
    <w:rsid w:val="00EB7EDD"/>
    <w:rsid w:val="00EB7EF5"/>
    <w:rsid w:val="00EB7F52"/>
    <w:rsid w:val="00EB7FF5"/>
    <w:rsid w:val="00EC01B0"/>
    <w:rsid w:val="00EC02E9"/>
    <w:rsid w:val="00EC0667"/>
    <w:rsid w:val="00EC0743"/>
    <w:rsid w:val="00EC094E"/>
    <w:rsid w:val="00EC0A27"/>
    <w:rsid w:val="00EC0B35"/>
    <w:rsid w:val="00EC0EB6"/>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49E"/>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B00"/>
    <w:rsid w:val="00EE442F"/>
    <w:rsid w:val="00EE4465"/>
    <w:rsid w:val="00EE45B8"/>
    <w:rsid w:val="00EE4A2C"/>
    <w:rsid w:val="00EE4AA2"/>
    <w:rsid w:val="00EE4BBF"/>
    <w:rsid w:val="00EE4EC1"/>
    <w:rsid w:val="00EE5154"/>
    <w:rsid w:val="00EE56C9"/>
    <w:rsid w:val="00EE5ADD"/>
    <w:rsid w:val="00EE5D24"/>
    <w:rsid w:val="00EE5F0D"/>
    <w:rsid w:val="00EE623A"/>
    <w:rsid w:val="00EE664D"/>
    <w:rsid w:val="00EE67DD"/>
    <w:rsid w:val="00EE6C68"/>
    <w:rsid w:val="00EE6F30"/>
    <w:rsid w:val="00EE72D1"/>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3D1"/>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EF7F06"/>
    <w:rsid w:val="00F009AF"/>
    <w:rsid w:val="00F00A8E"/>
    <w:rsid w:val="00F00ABB"/>
    <w:rsid w:val="00F00AD5"/>
    <w:rsid w:val="00F00B17"/>
    <w:rsid w:val="00F012B2"/>
    <w:rsid w:val="00F0135A"/>
    <w:rsid w:val="00F01A65"/>
    <w:rsid w:val="00F02197"/>
    <w:rsid w:val="00F0219B"/>
    <w:rsid w:val="00F023D8"/>
    <w:rsid w:val="00F02440"/>
    <w:rsid w:val="00F02465"/>
    <w:rsid w:val="00F02500"/>
    <w:rsid w:val="00F027C0"/>
    <w:rsid w:val="00F02862"/>
    <w:rsid w:val="00F02901"/>
    <w:rsid w:val="00F037F9"/>
    <w:rsid w:val="00F03837"/>
    <w:rsid w:val="00F03934"/>
    <w:rsid w:val="00F03A90"/>
    <w:rsid w:val="00F03B2B"/>
    <w:rsid w:val="00F03B5F"/>
    <w:rsid w:val="00F03DB0"/>
    <w:rsid w:val="00F045F1"/>
    <w:rsid w:val="00F0480B"/>
    <w:rsid w:val="00F0481A"/>
    <w:rsid w:val="00F049E6"/>
    <w:rsid w:val="00F049E8"/>
    <w:rsid w:val="00F04EBA"/>
    <w:rsid w:val="00F04F72"/>
    <w:rsid w:val="00F050D8"/>
    <w:rsid w:val="00F0544C"/>
    <w:rsid w:val="00F054F5"/>
    <w:rsid w:val="00F05602"/>
    <w:rsid w:val="00F059C8"/>
    <w:rsid w:val="00F05A7F"/>
    <w:rsid w:val="00F05A8D"/>
    <w:rsid w:val="00F05C9A"/>
    <w:rsid w:val="00F05D80"/>
    <w:rsid w:val="00F06830"/>
    <w:rsid w:val="00F06A6B"/>
    <w:rsid w:val="00F06D2A"/>
    <w:rsid w:val="00F06E36"/>
    <w:rsid w:val="00F07501"/>
    <w:rsid w:val="00F07789"/>
    <w:rsid w:val="00F102C5"/>
    <w:rsid w:val="00F103DC"/>
    <w:rsid w:val="00F104E1"/>
    <w:rsid w:val="00F10541"/>
    <w:rsid w:val="00F109AA"/>
    <w:rsid w:val="00F10DA5"/>
    <w:rsid w:val="00F110EE"/>
    <w:rsid w:val="00F11159"/>
    <w:rsid w:val="00F11195"/>
    <w:rsid w:val="00F11230"/>
    <w:rsid w:val="00F11A18"/>
    <w:rsid w:val="00F11C38"/>
    <w:rsid w:val="00F11F62"/>
    <w:rsid w:val="00F12941"/>
    <w:rsid w:val="00F12BFC"/>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41"/>
    <w:rsid w:val="00F338BB"/>
    <w:rsid w:val="00F33B7B"/>
    <w:rsid w:val="00F33BD4"/>
    <w:rsid w:val="00F34561"/>
    <w:rsid w:val="00F34AA8"/>
    <w:rsid w:val="00F34ADB"/>
    <w:rsid w:val="00F35160"/>
    <w:rsid w:val="00F351CA"/>
    <w:rsid w:val="00F35587"/>
    <w:rsid w:val="00F35A7F"/>
    <w:rsid w:val="00F35FE0"/>
    <w:rsid w:val="00F36149"/>
    <w:rsid w:val="00F3623A"/>
    <w:rsid w:val="00F36674"/>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490"/>
    <w:rsid w:val="00F426B7"/>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159"/>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1502"/>
    <w:rsid w:val="00F61505"/>
    <w:rsid w:val="00F619A9"/>
    <w:rsid w:val="00F61CC0"/>
    <w:rsid w:val="00F61DDA"/>
    <w:rsid w:val="00F62114"/>
    <w:rsid w:val="00F623A6"/>
    <w:rsid w:val="00F623D5"/>
    <w:rsid w:val="00F624BA"/>
    <w:rsid w:val="00F62577"/>
    <w:rsid w:val="00F62583"/>
    <w:rsid w:val="00F6269C"/>
    <w:rsid w:val="00F62986"/>
    <w:rsid w:val="00F62A20"/>
    <w:rsid w:val="00F62CC8"/>
    <w:rsid w:val="00F63311"/>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661"/>
    <w:rsid w:val="00F7381F"/>
    <w:rsid w:val="00F742FE"/>
    <w:rsid w:val="00F74427"/>
    <w:rsid w:val="00F7480D"/>
    <w:rsid w:val="00F74B21"/>
    <w:rsid w:val="00F74BC8"/>
    <w:rsid w:val="00F7520F"/>
    <w:rsid w:val="00F756D4"/>
    <w:rsid w:val="00F75F2B"/>
    <w:rsid w:val="00F7615F"/>
    <w:rsid w:val="00F762ED"/>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434"/>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2E1"/>
    <w:rsid w:val="00F84779"/>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75D2"/>
    <w:rsid w:val="00F8769A"/>
    <w:rsid w:val="00F8769C"/>
    <w:rsid w:val="00F876CC"/>
    <w:rsid w:val="00F876E5"/>
    <w:rsid w:val="00F87AA6"/>
    <w:rsid w:val="00F87F8A"/>
    <w:rsid w:val="00F90144"/>
    <w:rsid w:val="00F90229"/>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C45"/>
    <w:rsid w:val="00F92E01"/>
    <w:rsid w:val="00F93288"/>
    <w:rsid w:val="00F93304"/>
    <w:rsid w:val="00F934D3"/>
    <w:rsid w:val="00F93733"/>
    <w:rsid w:val="00F937B7"/>
    <w:rsid w:val="00F939CB"/>
    <w:rsid w:val="00F94395"/>
    <w:rsid w:val="00F945E0"/>
    <w:rsid w:val="00F94837"/>
    <w:rsid w:val="00F9484E"/>
    <w:rsid w:val="00F94BDC"/>
    <w:rsid w:val="00F950B8"/>
    <w:rsid w:val="00F954AB"/>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1E72"/>
    <w:rsid w:val="00FA2708"/>
    <w:rsid w:val="00FA2727"/>
    <w:rsid w:val="00FA2771"/>
    <w:rsid w:val="00FA28AA"/>
    <w:rsid w:val="00FA2A3D"/>
    <w:rsid w:val="00FA2B96"/>
    <w:rsid w:val="00FA2E23"/>
    <w:rsid w:val="00FA31E3"/>
    <w:rsid w:val="00FA35E8"/>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B23"/>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87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934"/>
    <w:rsid w:val="00FB7B97"/>
    <w:rsid w:val="00FB7EF3"/>
    <w:rsid w:val="00FB7F6F"/>
    <w:rsid w:val="00FC0004"/>
    <w:rsid w:val="00FC0013"/>
    <w:rsid w:val="00FC00FE"/>
    <w:rsid w:val="00FC0193"/>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608"/>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F6"/>
    <w:rsid w:val="00FC656F"/>
    <w:rsid w:val="00FC672F"/>
    <w:rsid w:val="00FC6C6D"/>
    <w:rsid w:val="00FC6C8E"/>
    <w:rsid w:val="00FC6CCF"/>
    <w:rsid w:val="00FC720C"/>
    <w:rsid w:val="00FC73EB"/>
    <w:rsid w:val="00FD0BB7"/>
    <w:rsid w:val="00FD0CD2"/>
    <w:rsid w:val="00FD0E43"/>
    <w:rsid w:val="00FD0F39"/>
    <w:rsid w:val="00FD1555"/>
    <w:rsid w:val="00FD15B5"/>
    <w:rsid w:val="00FD1856"/>
    <w:rsid w:val="00FD1BD1"/>
    <w:rsid w:val="00FD1EA3"/>
    <w:rsid w:val="00FD1FBF"/>
    <w:rsid w:val="00FD2054"/>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1B9"/>
    <w:rsid w:val="00FD7445"/>
    <w:rsid w:val="00FD7AF4"/>
    <w:rsid w:val="00FD7B19"/>
    <w:rsid w:val="00FD7FD1"/>
    <w:rsid w:val="00FE00A5"/>
    <w:rsid w:val="00FE00B6"/>
    <w:rsid w:val="00FE00BC"/>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761"/>
    <w:rsid w:val="00FE7B92"/>
    <w:rsid w:val="00FF0004"/>
    <w:rsid w:val="00FF0264"/>
    <w:rsid w:val="00FF037E"/>
    <w:rsid w:val="00FF04A0"/>
    <w:rsid w:val="00FF082C"/>
    <w:rsid w:val="00FF0A08"/>
    <w:rsid w:val="00FF0BD3"/>
    <w:rsid w:val="00FF0FD8"/>
    <w:rsid w:val="00FF100D"/>
    <w:rsid w:val="00FF1015"/>
    <w:rsid w:val="00FF1171"/>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5FA3"/>
    <w:rsid w:val="00FF6037"/>
    <w:rsid w:val="00FF6664"/>
    <w:rsid w:val="00FF6832"/>
    <w:rsid w:val="00FF6A9D"/>
    <w:rsid w:val="00FF6BB9"/>
    <w:rsid w:val="00FF6F78"/>
    <w:rsid w:val="00FF6FBA"/>
    <w:rsid w:val="00FF7211"/>
    <w:rsid w:val="00FF7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0949D"/>
  <w15:docId w15:val="{D8E72ABB-9DD3-4C50-B0E9-591CA4B3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lang w:eastAsia="en-GB"/>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lang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uiPriority w:val="99"/>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eastAsia="en-GB"/>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semiHidden/>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eastAsia="en-US"/>
    </w:rPr>
  </w:style>
  <w:style w:type="paragraph" w:customStyle="1" w:styleId="normal12hanging0">
    <w:name w:val="normal12hanging"/>
    <w:basedOn w:val="Normal"/>
    <w:rsid w:val="00E709A0"/>
    <w:pPr>
      <w:ind w:left="357" w:hanging="357"/>
      <w:jc w:val="left"/>
    </w:pPr>
    <w:rPr>
      <w:rFonts w:ascii="Times New Roman" w:hAnsi="Times New Roman"/>
      <w:szCs w:val="24"/>
      <w:lang w:eastAsia="en-US"/>
    </w:rPr>
  </w:style>
  <w:style w:type="paragraph" w:customStyle="1" w:styleId="CharCharChar">
    <w:name w:val="Char Char Char"/>
    <w:basedOn w:val="Normal"/>
    <w:next w:val="Normal"/>
    <w:rsid w:val="00E709A0"/>
    <w:pPr>
      <w:spacing w:after="160" w:line="240" w:lineRule="exact"/>
      <w:jc w:val="left"/>
    </w:pPr>
    <w:rPr>
      <w:rFonts w:ascii="Tahoma" w:hAnsi="Tahoma"/>
      <w:lang w:eastAsia="en-US"/>
    </w:rPr>
  </w:style>
  <w:style w:type="paragraph" w:customStyle="1" w:styleId="CharCharChar0">
    <w:name w:val="Char Char Char"/>
    <w:basedOn w:val="Normal"/>
    <w:uiPriority w:val="99"/>
    <w:rsid w:val="0092510C"/>
    <w:pPr>
      <w:spacing w:after="160" w:line="240" w:lineRule="exact"/>
      <w:jc w:val="left"/>
    </w:pPr>
    <w:rPr>
      <w:rFonts w:ascii="Tahoma" w:hAnsi="Tahoma"/>
      <w:sz w:val="20"/>
      <w:lang w:eastAsia="en-US"/>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eastAsia="en-US"/>
    </w:rPr>
  </w:style>
  <w:style w:type="paragraph" w:customStyle="1" w:styleId="Char1">
    <w:name w:val="Char1"/>
    <w:basedOn w:val="Normal"/>
    <w:rsid w:val="00F47B73"/>
    <w:pPr>
      <w:spacing w:after="160" w:line="240" w:lineRule="exact"/>
      <w:jc w:val="left"/>
    </w:pPr>
    <w:rPr>
      <w:rFonts w:ascii="Tahoma" w:hAnsi="Tahoma"/>
      <w:sz w:val="20"/>
      <w:lang w:eastAsia="en-US"/>
    </w:rPr>
  </w:style>
  <w:style w:type="paragraph" w:customStyle="1" w:styleId="Char">
    <w:name w:val="Char"/>
    <w:basedOn w:val="Normal"/>
    <w:rsid w:val="00124A7A"/>
    <w:pPr>
      <w:spacing w:after="160" w:line="240" w:lineRule="exact"/>
      <w:jc w:val="left"/>
    </w:pPr>
    <w:rPr>
      <w:rFonts w:ascii="Tahoma" w:hAnsi="Tahoma"/>
      <w:sz w:val="20"/>
      <w:lang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eastAsia="en-US"/>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eastAsia="en-US"/>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lang w:eastAsia="en-US"/>
    </w:rPr>
  </w:style>
  <w:style w:type="paragraph" w:customStyle="1" w:styleId="Car">
    <w:name w:val="Car"/>
    <w:basedOn w:val="Normal"/>
    <w:rsid w:val="00F02465"/>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uiPriority w:val="99"/>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eastAsia="en-US"/>
    </w:rPr>
  </w:style>
  <w:style w:type="paragraph" w:customStyle="1" w:styleId="Znak">
    <w:name w:val="Znak"/>
    <w:basedOn w:val="Normal"/>
    <w:rsid w:val="00A76EE9"/>
    <w:pPr>
      <w:spacing w:after="160" w:line="240" w:lineRule="exact"/>
      <w:jc w:val="left"/>
    </w:pPr>
    <w:rPr>
      <w:rFonts w:ascii="Tahoma" w:hAnsi="Tahoma"/>
      <w:sz w:val="20"/>
      <w:lang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eastAsia="en-US"/>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lang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Char1 Char"/>
    <w:uiPriority w:val="99"/>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lang w:eastAsia="en-GB"/>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BA139E"/>
  </w:style>
  <w:style w:type="character" w:customStyle="1" w:styleId="playersrapportertext">
    <w:name w:val="players_rapporter_text"/>
    <w:rsid w:val="003F006A"/>
  </w:style>
  <w:style w:type="character" w:styleId="UnresolvedMention">
    <w:name w:val="Unresolved Mention"/>
    <w:basedOn w:val="DefaultParagraphFont"/>
    <w:uiPriority w:val="99"/>
    <w:semiHidden/>
    <w:unhideWhenUsed/>
    <w:rsid w:val="00291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88274">
      <w:bodyDiv w:val="1"/>
      <w:marLeft w:val="0"/>
      <w:marRight w:val="0"/>
      <w:marTop w:val="0"/>
      <w:marBottom w:val="0"/>
      <w:divBdr>
        <w:top w:val="none" w:sz="0" w:space="0" w:color="auto"/>
        <w:left w:val="none" w:sz="0" w:space="0" w:color="auto"/>
        <w:bottom w:val="none" w:sz="0" w:space="0" w:color="auto"/>
        <w:right w:val="none" w:sz="0" w:space="0" w:color="auto"/>
      </w:divBdr>
    </w:div>
    <w:div w:id="851838698">
      <w:bodyDiv w:val="1"/>
      <w:marLeft w:val="0"/>
      <w:marRight w:val="0"/>
      <w:marTop w:val="0"/>
      <w:marBottom w:val="0"/>
      <w:divBdr>
        <w:top w:val="none" w:sz="0" w:space="0" w:color="auto"/>
        <w:left w:val="none" w:sz="0" w:space="0" w:color="auto"/>
        <w:bottom w:val="none" w:sz="0" w:space="0" w:color="auto"/>
        <w:right w:val="none" w:sz="0" w:space="0" w:color="auto"/>
      </w:divBdr>
    </w:div>
    <w:div w:id="1205487843">
      <w:bodyDiv w:val="1"/>
      <w:marLeft w:val="0"/>
      <w:marRight w:val="0"/>
      <w:marTop w:val="0"/>
      <w:marBottom w:val="0"/>
      <w:divBdr>
        <w:top w:val="none" w:sz="0" w:space="0" w:color="auto"/>
        <w:left w:val="none" w:sz="0" w:space="0" w:color="auto"/>
        <w:bottom w:val="none" w:sz="0" w:space="0" w:color="auto"/>
        <w:right w:val="none" w:sz="0" w:space="0" w:color="auto"/>
      </w:divBdr>
    </w:div>
    <w:div w:id="1340932113">
      <w:bodyDiv w:val="1"/>
      <w:marLeft w:val="0"/>
      <w:marRight w:val="0"/>
      <w:marTop w:val="0"/>
      <w:marBottom w:val="0"/>
      <w:divBdr>
        <w:top w:val="none" w:sz="0" w:space="0" w:color="auto"/>
        <w:left w:val="none" w:sz="0" w:space="0" w:color="auto"/>
        <w:bottom w:val="none" w:sz="0" w:space="0" w:color="auto"/>
        <w:right w:val="none" w:sz="0" w:space="0" w:color="auto"/>
      </w:divBdr>
    </w:div>
    <w:div w:id="194040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file:///C:\Users\delbage\Downloads\https%20:\%20eige.europa.eu\gender-mainstreaming\toolkits\gear%3flanguage_content_entity=en" TargetMode="External"/><Relationship Id="rId2" Type="http://schemas.openxmlformats.org/officeDocument/2006/relationships/hyperlink" Target="https://data.europa.eu/doi/10.2766/401134" TargetMode="External"/><Relationship Id="rId1" Type="http://schemas.openxmlformats.org/officeDocument/2006/relationships/hyperlink" Target="https://research-and-innovation.ec.europa.eu/funding/funding-opportunities/funding-programmes-and-open-calls/horizon-europe/widening-participation-and-spreading-excellence_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59425-B64B-438E-BF7F-B63175A47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TEL.DOTM</Template>
  <TotalTime>2</TotalTime>
  <Pages>9</Pages>
  <Words>4802</Words>
  <Characters>26508</Characters>
  <Application>Microsoft Office Word</Application>
  <DocSecurity>0</DocSecurity>
  <PresentationFormat>Microsoft Word 8.0b</PresentationFormat>
  <Lines>407</Lines>
  <Paragraphs>93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31217</CharactersWithSpaces>
  <SharedDoc>false</SharedDoc>
  <HLinks>
    <vt:vector size="6" baseType="variant">
      <vt:variant>
        <vt:i4>4587526</vt:i4>
      </vt:variant>
      <vt:variant>
        <vt:i4>0</vt:i4>
      </vt:variant>
      <vt:variant>
        <vt:i4>0</vt:i4>
      </vt:variant>
      <vt:variant>
        <vt:i4>5</vt:i4>
      </vt:variant>
      <vt:variant>
        <vt:lpwstr>http://www.europarl.europa.eu/oeil/popups/ficheprocedure.do?lang=en&amp;reference=2016/2891(RSP)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WERKER</dc:creator>
  <cp:keywords>EL4</cp:keywords>
  <cp:lastModifiedBy>DELBAER Gerda (SG)</cp:lastModifiedBy>
  <cp:revision>2</cp:revision>
  <cp:lastPrinted>2017-11-23T08:32:00Z</cp:lastPrinted>
  <dcterms:created xsi:type="dcterms:W3CDTF">2024-04-12T08:11:00Z</dcterms:created>
  <dcterms:modified xsi:type="dcterms:W3CDTF">2024-04-12T08:11:00Z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2024-01-09T08:37:04Z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b617e0ff-094c-4e50-8033-49b4eaded0b4</vt:lpwstr>
  </property>
  <property fmtid="{D5CDD505-2E9C-101B-9397-08002B2CF9AE}" pid="19" name="MSIP_Label_6bd9ddd1-4d20-43f6-abfa-fc3c07406f94_ContentBits">
    <vt:lpwstr>0</vt:lpwstr>
  </property>
</Properties>
</file>