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107F" w14:textId="34737053" w:rsidR="001F071E" w:rsidRDefault="001F071E" w:rsidP="001F071E">
      <w:pPr>
        <w:spacing w:after="600"/>
        <w:jc w:val="center"/>
        <w:rPr>
          <w:rFonts w:ascii="Times New Roman" w:hAnsi="Times New Roman"/>
          <w:b/>
        </w:rPr>
      </w:pPr>
      <w:bookmarkStart w:id="0" w:name="Istambul"/>
      <w:r>
        <w:rPr>
          <w:rFonts w:ascii="Times New Roman" w:hAnsi="Times New Roman"/>
          <w:b/>
        </w:rPr>
        <w:t>Suite donnée à la résolution non législative du Parlement européen sur la nouvelle stratégie européenne pour un internet mieux adapté aux enfants (BIK+)</w:t>
      </w:r>
    </w:p>
    <w:bookmarkEnd w:id="0"/>
    <w:p w14:paraId="6446B44C" w14:textId="7E885692" w:rsidR="001F071E" w:rsidRPr="0027299E" w:rsidRDefault="0027299E" w:rsidP="001F071E">
      <w:pPr>
        <w:numPr>
          <w:ilvl w:val="0"/>
          <w:numId w:val="1"/>
        </w:numPr>
        <w:ind w:left="567" w:hanging="567"/>
        <w:rPr>
          <w:rFonts w:ascii="Times New Roman" w:hAnsi="Times New Roman"/>
          <w:i/>
          <w:szCs w:val="24"/>
        </w:rPr>
      </w:pPr>
      <w:r>
        <w:rPr>
          <w:rFonts w:ascii="Times New Roman" w:hAnsi="Times New Roman"/>
          <w:b/>
          <w:color w:val="000000" w:themeColor="text1"/>
        </w:rPr>
        <w:t>Résolution présentée conformément à l’article 136, paragraphe 5, du règlement intérieur du Parlement européen</w:t>
      </w:r>
    </w:p>
    <w:p w14:paraId="077FB17D" w14:textId="31115A30" w:rsidR="001F071E" w:rsidRPr="00F479D2" w:rsidRDefault="001F071E" w:rsidP="00B6078F">
      <w:pPr>
        <w:numPr>
          <w:ilvl w:val="0"/>
          <w:numId w:val="1"/>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2023/2670 (RSP) / B9-0386/2023 / P9_TA(2023)0358</w:t>
      </w:r>
    </w:p>
    <w:p w14:paraId="48C8AEC6" w14:textId="43FCAC3A" w:rsidR="001F071E" w:rsidRPr="00E07C2D" w:rsidRDefault="001F071E" w:rsidP="001F071E">
      <w:pPr>
        <w:numPr>
          <w:ilvl w:val="0"/>
          <w:numId w:val="1"/>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5 octobre 2023</w:t>
      </w:r>
    </w:p>
    <w:p w14:paraId="55E5BBC5" w14:textId="4DD2F4C7" w:rsidR="001F071E" w:rsidRPr="00F479D2" w:rsidRDefault="001F071E" w:rsidP="001F071E">
      <w:pPr>
        <w:numPr>
          <w:ilvl w:val="0"/>
          <w:numId w:val="1"/>
        </w:numPr>
        <w:ind w:left="567" w:hanging="567"/>
        <w:rPr>
          <w:rFonts w:ascii="Times New Roman" w:hAnsi="Times New Roman"/>
          <w:i/>
          <w:szCs w:val="24"/>
        </w:rPr>
      </w:pPr>
      <w:r>
        <w:rPr>
          <w:rFonts w:ascii="Times New Roman" w:hAnsi="Times New Roman"/>
          <w:b/>
        </w:rPr>
        <w:t>Commission parlementaire compétente:</w:t>
      </w:r>
      <w:r>
        <w:rPr>
          <w:rFonts w:ascii="Times New Roman" w:hAnsi="Times New Roman"/>
        </w:rPr>
        <w:t xml:space="preserve"> commission de la culture et de l’éducation (CULT)</w:t>
      </w:r>
    </w:p>
    <w:p w14:paraId="53D06B8C" w14:textId="5E5A2E3A" w:rsidR="001F071E" w:rsidRPr="001B07AC" w:rsidRDefault="001F071E" w:rsidP="00483427">
      <w:pPr>
        <w:widowControl w:val="0"/>
        <w:numPr>
          <w:ilvl w:val="0"/>
          <w:numId w:val="1"/>
        </w:numPr>
        <w:ind w:left="567" w:hanging="567"/>
        <w:rPr>
          <w:rFonts w:ascii="Times New Roman" w:hAnsi="Times New Roman"/>
          <w:szCs w:val="24"/>
        </w:rPr>
      </w:pPr>
      <w:r>
        <w:rPr>
          <w:rFonts w:ascii="Times New Roman" w:hAnsi="Times New Roman"/>
          <w:b/>
        </w:rPr>
        <w:t xml:space="preserve">Analyse/évaluation succincte de la résolution et des demandes qu’elle contient: </w:t>
      </w:r>
    </w:p>
    <w:p w14:paraId="0D9A184F" w14:textId="7C88D2BF" w:rsidR="001B07AC" w:rsidRPr="001B07AC" w:rsidRDefault="001B07AC" w:rsidP="001B07AC">
      <w:pPr>
        <w:spacing w:after="120"/>
        <w:rPr>
          <w:rFonts w:ascii="Times New Roman" w:hAnsi="Times New Roman"/>
          <w:bCs/>
          <w:szCs w:val="24"/>
        </w:rPr>
      </w:pPr>
      <w:r>
        <w:rPr>
          <w:rFonts w:ascii="Times New Roman" w:hAnsi="Times New Roman"/>
        </w:rPr>
        <w:t>Le Parlement européen salue et approuve l’ensemble des trois piliers de la stratégie pour un internet mieux adapté aux enfants (BIK+): protection, autonomisation et participation.</w:t>
      </w:r>
    </w:p>
    <w:p w14:paraId="6BA33B6E" w14:textId="20670B30" w:rsidR="001B07AC" w:rsidRPr="001B07AC" w:rsidRDefault="001B07AC" w:rsidP="001B07AC">
      <w:pPr>
        <w:autoSpaceDE w:val="0"/>
        <w:autoSpaceDN w:val="0"/>
        <w:spacing w:after="120"/>
        <w:rPr>
          <w:rFonts w:ascii="Times New Roman" w:hAnsi="Times New Roman"/>
          <w:bCs/>
          <w:szCs w:val="24"/>
        </w:rPr>
      </w:pPr>
      <w:r>
        <w:rPr>
          <w:rFonts w:ascii="Times New Roman" w:hAnsi="Times New Roman"/>
        </w:rPr>
        <w:t>La résolution invite la Commission à veiller à ce que:</w:t>
      </w:r>
    </w:p>
    <w:p w14:paraId="702BD5A8" w14:textId="5C8A52C9" w:rsidR="001B07AC" w:rsidRPr="001B07AC" w:rsidRDefault="001B07AC" w:rsidP="001B07AC">
      <w:pPr>
        <w:pStyle w:val="ListParagraph"/>
        <w:numPr>
          <w:ilvl w:val="0"/>
          <w:numId w:val="6"/>
        </w:numPr>
        <w:autoSpaceDE w:val="0"/>
        <w:autoSpaceDN w:val="0"/>
        <w:spacing w:after="120"/>
        <w:contextualSpacing w:val="0"/>
        <w:rPr>
          <w:rFonts w:ascii="Times New Roman" w:hAnsi="Times New Roman"/>
          <w:bCs/>
          <w:szCs w:val="24"/>
        </w:rPr>
      </w:pPr>
      <w:r>
        <w:rPr>
          <w:rFonts w:ascii="Times New Roman" w:hAnsi="Times New Roman"/>
        </w:rPr>
        <w:t>BIK+ soit compatible avec d’autres priorités et propositions législatives (paragraphe 14);</w:t>
      </w:r>
    </w:p>
    <w:p w14:paraId="5CB0810B" w14:textId="4196C34F" w:rsidR="001B07AC" w:rsidRPr="001B07AC" w:rsidRDefault="001B07AC" w:rsidP="001B07AC">
      <w:pPr>
        <w:pStyle w:val="ListParagraph"/>
        <w:numPr>
          <w:ilvl w:val="0"/>
          <w:numId w:val="6"/>
        </w:numPr>
        <w:autoSpaceDE w:val="0"/>
        <w:autoSpaceDN w:val="0"/>
        <w:spacing w:after="120"/>
        <w:contextualSpacing w:val="0"/>
        <w:rPr>
          <w:rFonts w:ascii="Times New Roman" w:hAnsi="Times New Roman"/>
          <w:bCs/>
          <w:szCs w:val="24"/>
        </w:rPr>
      </w:pPr>
      <w:r>
        <w:rPr>
          <w:rFonts w:ascii="Times New Roman" w:hAnsi="Times New Roman"/>
        </w:rPr>
        <w:t>la communication avec les enfants soit adaptée aux enfants (paragraphe 14);</w:t>
      </w:r>
    </w:p>
    <w:p w14:paraId="7A537C4D" w14:textId="4344F39B" w:rsidR="001B07AC" w:rsidRPr="001B07AC" w:rsidRDefault="001B07AC" w:rsidP="001B07AC">
      <w:pPr>
        <w:pStyle w:val="ListParagraph"/>
        <w:numPr>
          <w:ilvl w:val="0"/>
          <w:numId w:val="6"/>
        </w:numPr>
        <w:spacing w:after="120"/>
        <w:contextualSpacing w:val="0"/>
        <w:rPr>
          <w:rFonts w:ascii="Times New Roman" w:hAnsi="Times New Roman"/>
          <w:bCs/>
          <w:szCs w:val="24"/>
        </w:rPr>
      </w:pPr>
      <w:r>
        <w:rPr>
          <w:rFonts w:ascii="Times New Roman" w:hAnsi="Times New Roman"/>
        </w:rPr>
        <w:t xml:space="preserve">des recherches plus comparables soient disponibles (paragraphe 12); </w:t>
      </w:r>
    </w:p>
    <w:p w14:paraId="6FD49918" w14:textId="34F3F4C8" w:rsidR="001B07AC" w:rsidRPr="001B07AC" w:rsidRDefault="001B07AC" w:rsidP="001B07AC">
      <w:pPr>
        <w:pStyle w:val="ListParagraph"/>
        <w:numPr>
          <w:ilvl w:val="0"/>
          <w:numId w:val="6"/>
        </w:numPr>
        <w:autoSpaceDE w:val="0"/>
        <w:autoSpaceDN w:val="0"/>
        <w:spacing w:after="120"/>
        <w:contextualSpacing w:val="0"/>
        <w:rPr>
          <w:rFonts w:ascii="Times New Roman" w:hAnsi="Times New Roman"/>
          <w:bCs/>
          <w:szCs w:val="24"/>
        </w:rPr>
      </w:pPr>
      <w:r>
        <w:rPr>
          <w:rFonts w:ascii="Times New Roman" w:hAnsi="Times New Roman"/>
        </w:rPr>
        <w:t xml:space="preserve">les enfants de tous âges participent au processus de suivi et à la mise en œuvre effective (paragraphe 14); </w:t>
      </w:r>
    </w:p>
    <w:p w14:paraId="4A022920" w14:textId="41607CC1" w:rsidR="001B07AC" w:rsidRPr="001B07AC" w:rsidRDefault="001B07AC" w:rsidP="001B07AC">
      <w:pPr>
        <w:pStyle w:val="ListParagraph"/>
        <w:numPr>
          <w:ilvl w:val="0"/>
          <w:numId w:val="6"/>
        </w:numPr>
        <w:autoSpaceDE w:val="0"/>
        <w:autoSpaceDN w:val="0"/>
        <w:spacing w:after="120"/>
        <w:contextualSpacing w:val="0"/>
        <w:rPr>
          <w:rFonts w:ascii="Times New Roman" w:hAnsi="Times New Roman"/>
          <w:bCs/>
          <w:szCs w:val="24"/>
        </w:rPr>
      </w:pPr>
      <w:r>
        <w:rPr>
          <w:rFonts w:ascii="Times New Roman" w:hAnsi="Times New Roman"/>
        </w:rPr>
        <w:t>tous les enfants, y compris ceux qui se trouvent en situation de vulnérabilité, bénéficient de BIK+ (paragraphes 2 et 5).</w:t>
      </w:r>
    </w:p>
    <w:p w14:paraId="4FF090C2" w14:textId="43417C30" w:rsidR="001B07AC" w:rsidRPr="001B07AC" w:rsidRDefault="001B07AC" w:rsidP="001B07AC">
      <w:pPr>
        <w:spacing w:after="120"/>
        <w:rPr>
          <w:rFonts w:ascii="Times New Roman" w:hAnsi="Times New Roman"/>
          <w:bCs/>
          <w:szCs w:val="24"/>
        </w:rPr>
      </w:pPr>
      <w:r>
        <w:rPr>
          <w:rFonts w:ascii="Times New Roman" w:hAnsi="Times New Roman"/>
        </w:rPr>
        <w:t>Le Parlement européen invite les États membres à mettre davantage de ressources à la disposition des centres pour un internet plus sûr, à soutenir l’identité numérique européenne et à collecter davantage de données pour la prévention et la sensibilisation fondées sur des données probantes (paragraphes 5, 7 et 12). La dimension de l’autonomisation est également fortement soulignée (paragraphe 6). Les États membres sont invités à investir davantage dans l’habileté numérique, y compris les possibilités d’apprentissage entre pairs et tout au long de la vie (paragraphes 5 et 6). La participation des jeunes est également une priorité dans le cadre de la résolution. Le Parlement européen invite la Commission à inclure les enfants dans les différents axes de travail (paragraphe 14).</w:t>
      </w:r>
    </w:p>
    <w:p w14:paraId="555B3A03" w14:textId="011ADD54" w:rsidR="001B07AC" w:rsidRPr="00947BEB" w:rsidRDefault="001B07AC" w:rsidP="00947BEB">
      <w:pPr>
        <w:autoSpaceDE w:val="0"/>
        <w:autoSpaceDN w:val="0"/>
        <w:spacing w:after="120"/>
        <w:rPr>
          <w:rFonts w:ascii="Times New Roman" w:hAnsi="Times New Roman"/>
          <w:bCs/>
          <w:szCs w:val="24"/>
        </w:rPr>
      </w:pPr>
      <w:r>
        <w:rPr>
          <w:rFonts w:ascii="Times New Roman" w:hAnsi="Times New Roman"/>
        </w:rPr>
        <w:t>En outre, la santé mentale est également mentionnée. Le Parlement européen estime qu’il est nécessaire que la stratégie de l’UE actualise le cadre existant de l’Union en matière de santé mentale et de bien-être et garantisse une inclusion totale (paragraphes 9 et 11).</w:t>
      </w:r>
    </w:p>
    <w:p w14:paraId="7EAAA143" w14:textId="44AC50DE" w:rsidR="00383954" w:rsidRPr="00947BEB" w:rsidRDefault="001F071E" w:rsidP="008F0B62">
      <w:pPr>
        <w:widowControl w:val="0"/>
        <w:numPr>
          <w:ilvl w:val="0"/>
          <w:numId w:val="1"/>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10482772" w14:textId="3AE6F3CD" w:rsidR="00947BEB" w:rsidRDefault="007045C7" w:rsidP="0027299E">
      <w:pPr>
        <w:pStyle w:val="Text2"/>
        <w:tabs>
          <w:tab w:val="clear" w:pos="2302"/>
        </w:tabs>
        <w:spacing w:after="120"/>
        <w:ind w:left="0"/>
      </w:pPr>
      <w:r>
        <w:t>La Commission a pour priorité de veiller à ce que les enfants soient protégés, autonomes et respectés en ligne. Afin d’améliorer le bien-être des enfants en ligne, dans le cadre de BIK+, la Commission a élaboré une approche globale fondée sur 3 piliers: 1) un environnement numérique sûr et adapté à l’âge des utilisateurs; 2) l’autonomisation numérique; 3) la participation active des enfants.</w:t>
      </w:r>
    </w:p>
    <w:p w14:paraId="015758B1" w14:textId="4923DA23" w:rsidR="00EF7F31" w:rsidRDefault="00EF7F31" w:rsidP="0027299E">
      <w:pPr>
        <w:pStyle w:val="Text2"/>
        <w:tabs>
          <w:tab w:val="clear" w:pos="2302"/>
        </w:tabs>
        <w:spacing w:after="120"/>
        <w:ind w:left="0"/>
      </w:pPr>
      <w:r>
        <w:lastRenderedPageBreak/>
        <w:t>En réponse à la demande formulée au paragraphe 5, la plateforme «Un internet mieux adapté aux enfantss» (BIK)</w:t>
      </w:r>
      <w:r w:rsidR="0006445D" w:rsidRPr="00E6134E">
        <w:rPr>
          <w:rStyle w:val="FootnoteReference"/>
          <w:color w:val="000000" w:themeColor="text1"/>
        </w:rPr>
        <w:footnoteReference w:id="1"/>
      </w:r>
      <w:r>
        <w:t xml:space="preserve">, financée par l’UE, et le réseau de centres pour un internet plus sûr aident les enfants, en tenant particulièrement compte de ceux issus de milieux défavorisés, à devenir des utilisateurs et des consommateurs numériques autonomes et responsables. Ils contribuent à sensibiliser aux </w:t>
      </w:r>
      <w:r>
        <w:rPr>
          <w:rStyle w:val="Emphasis"/>
          <w:i w:val="0"/>
        </w:rPr>
        <w:t>problèmes et possibilités en ligne</w:t>
      </w:r>
      <w:r>
        <w:t xml:space="preserve"> en offrant une multitude de ressources et de soutiens aux parents, aux enseignants et au grand public, y compris des services d’assistance téléphonique et des formations.</w:t>
      </w:r>
    </w:p>
    <w:p w14:paraId="42730940" w14:textId="276DD8CB" w:rsidR="009A7EB1" w:rsidRDefault="00EF7F31" w:rsidP="0027299E">
      <w:pPr>
        <w:pStyle w:val="Text2"/>
        <w:tabs>
          <w:tab w:val="clear" w:pos="2302"/>
        </w:tabs>
        <w:spacing w:after="120"/>
        <w:ind w:left="0"/>
      </w:pPr>
      <w:r>
        <w:t>En outre, BIK+ complète le plan d’action en matière d’éducation numérique 2021-2027</w:t>
      </w:r>
      <w:r>
        <w:rPr>
          <w:rStyle w:val="FootnoteReference"/>
        </w:rPr>
        <w:footnoteReference w:id="2"/>
      </w:r>
      <w:r>
        <w:t>, qui présente une vision stratégique pour parvenir à une éducation numérique efficace et de qualité pour tous. Dans ce contexte, la Commission a adopté deux propositions de recommandation du Conseil, l’une sur les principaux facteurs favorisant la réussite de l’éducation et de la formation numériques</w:t>
      </w:r>
      <w:r>
        <w:rPr>
          <w:rStyle w:val="FootnoteReference"/>
        </w:rPr>
        <w:footnoteReference w:id="3"/>
      </w:r>
      <w:r>
        <w:t xml:space="preserve"> et l’autre sur l’amélioration de l’offre de compétences numériques par l’éducation et la formation</w:t>
      </w:r>
      <w:r>
        <w:rPr>
          <w:rStyle w:val="FootnoteReference"/>
        </w:rPr>
        <w:footnoteReference w:id="4"/>
      </w:r>
      <w:r>
        <w:t>. La Commission a également publié un ensemble de lignes directrices pour les enseignants et les éducateurs en matière de lutte contre la désinformation et de promotion de l’habileté numérique par l’éducation et la formation</w:t>
      </w:r>
      <w:r w:rsidR="005972BD">
        <w:rPr>
          <w:rStyle w:val="FootnoteReference"/>
        </w:rPr>
        <w:footnoteReference w:id="5"/>
      </w:r>
      <w:r>
        <w:t>.</w:t>
      </w:r>
    </w:p>
    <w:p w14:paraId="252270A6" w14:textId="0274A742" w:rsidR="00BE19FD" w:rsidRDefault="007045C7" w:rsidP="0027299E">
      <w:pPr>
        <w:pStyle w:val="Text2"/>
        <w:tabs>
          <w:tab w:val="clear" w:pos="2302"/>
        </w:tabs>
        <w:spacing w:after="120"/>
        <w:ind w:left="0"/>
      </w:pPr>
      <w:r>
        <w:t>La stratégie BIK+ s’appuie également sur le cadre législatif prévu par la législation sur les services numériques, dont la principale priorité en matière d’application est la protection des mineurs. Le code de conduite de l’UE sur la conception adaptée à l’âge (paragraphe 10), annoncé dans la stratégie BIK+, sera élaboré dans le but d’être reconnu comme un code de conduite au sens de l’article 45 du règlement sur les services numériques. Le code sera également aligné sur la directive «Services de médias audiovisuels» (directive SMA) et soutiendra sa mise en œuvre.</w:t>
      </w:r>
    </w:p>
    <w:p w14:paraId="416B7530" w14:textId="4B4E539B" w:rsidR="009A7EB1" w:rsidRDefault="006076E3" w:rsidP="0027299E">
      <w:pPr>
        <w:pStyle w:val="Text2"/>
        <w:tabs>
          <w:tab w:val="clear" w:pos="2302"/>
        </w:tabs>
        <w:spacing w:after="120"/>
        <w:ind w:left="0"/>
      </w:pPr>
      <w:r>
        <w:t>En ce qui concerne le cyberharcèlement (paragraphe 7), les centres pour un internet plus sûr cofinancés jouent un rôle important dans le soutien à la santé mentale des enfants dans l’environnement en ligne grâce à des ressources spécifiques dans tous les États membres, par exemple un kit de cyberharcèlement destiné aux personnes souffrant de handicaps intellectuels à partir de l’âge de 12 ans pour les aidants et la police au Luxembourg, une application mobile spécifique permettant aux jeunes de signaler le cyberharcèlement en France, des cours en ligne pour les enseignants en Pologne et des cours fondés sur la «loi Coco» en Irlande.</w:t>
      </w:r>
    </w:p>
    <w:p w14:paraId="793D38DE" w14:textId="181B0D59" w:rsidR="00BE19FD" w:rsidRDefault="00BE19FD" w:rsidP="0027299E">
      <w:pPr>
        <w:pStyle w:val="Text2"/>
        <w:tabs>
          <w:tab w:val="clear" w:pos="2302"/>
        </w:tabs>
        <w:spacing w:after="120"/>
        <w:ind w:left="0"/>
      </w:pPr>
      <w:r>
        <w:t>Les centres pour un internet plus sûr contribuent également à la mise en œuvre de l’«initiative des référents scolaires» dans le cadre du règlement sur les services numérique, qui vise à rapprocher la législation sur les services numériques des citoyens, en particulier des enfants. Cette initiative a été présentée lors de la session du Conseil «Éducation, jeunesse, culture et sport» (EJCS) du 23 novembre et vise à créer, sur une base volontaire, des points de contact dans chaque école pour les questions liées à la sécurité en ligne, dans le plein respect des compétences nationales en matière d’éducation. L’objectif de cette initiative est de faire en sorte que les enfants et leurs aidants connaissent leurs droits, tout en sensibilisant les écoles de toute l’Europe à la sécurité des enfants en ligne. Concrètement, des dossiers d’information et des formations visant à soutenir les mesures nationales de mise en œuvre ont été mis à disposition par la Commission via les centres pour un internet plus sûr et le portail BIK.</w:t>
      </w:r>
    </w:p>
    <w:p w14:paraId="40A5D840" w14:textId="131576E0" w:rsidR="009A7EB1" w:rsidRPr="009A7EB1" w:rsidRDefault="009A7EB1" w:rsidP="0027299E">
      <w:pPr>
        <w:pStyle w:val="Text2"/>
        <w:tabs>
          <w:tab w:val="clear" w:pos="2302"/>
        </w:tabs>
        <w:spacing w:after="120"/>
        <w:ind w:left="0"/>
      </w:pPr>
      <w:r>
        <w:lastRenderedPageBreak/>
        <w:t>La Commission veillera également à ce que le numéro 116 111 harmonisé couvre le cyberharcèlement, en coopération avec les lignes d’assistance des centres pour un internet plus sûr. La Commission a également adopté une proposition sur la lutte contre la violence à l’égard des femmes et la violence domestique</w:t>
      </w:r>
      <w:r w:rsidR="008E06B2">
        <w:rPr>
          <w:rStyle w:val="FootnoteReference"/>
        </w:rPr>
        <w:footnoteReference w:id="6"/>
      </w:r>
      <w:r>
        <w:t>, qui prévoit la criminalisation, à l’échelle de l’UE, de certaines formes de violence à l’égard des femmes, y compris la cyberviolence.</w:t>
      </w:r>
    </w:p>
    <w:p w14:paraId="73B3475A" w14:textId="064ADBB2" w:rsidR="008E06B2" w:rsidRDefault="00AF779F" w:rsidP="0027299E">
      <w:pPr>
        <w:pStyle w:val="Text2"/>
        <w:tabs>
          <w:tab w:val="clear" w:pos="2302"/>
        </w:tabs>
        <w:spacing w:after="120"/>
        <w:ind w:left="0"/>
      </w:pPr>
      <w:r>
        <w:t>En ce qui concerne le paragraphe 12, la Commission a proposé une révision de la directive sur les droits des victimes</w:t>
      </w:r>
      <w:r w:rsidR="008E06B2">
        <w:rPr>
          <w:rStyle w:val="FootnoteReference"/>
        </w:rPr>
        <w:footnoteReference w:id="7"/>
      </w:r>
      <w:r>
        <w:t>, qui vise à garantir que les États membres créent des systèmes de collecte, de production et de diffusion de statistiques sur les victimes de la criminalité. En outre, par l’intermédiaire du réseau des centres pour un internet plus sûr, en particulier des lignes d’assistance téléphonique et des lignes d’urgence, la Commission recueille des données sur les risques en ligne et les signalements de matériel pédopornographique. De nouveaux indicateurs clés de performance ont été introduits dans les conventions de subvention des centres pour un internet plus sûr et sur le portail BIK afin de suivre le rayonnement du réseau auprès des enfants issus de groupes vulnérables.</w:t>
      </w:r>
    </w:p>
    <w:p w14:paraId="4B63F3C7" w14:textId="6383B996" w:rsidR="006076E3" w:rsidRPr="009A7EB1" w:rsidRDefault="008E06B2" w:rsidP="0027299E">
      <w:pPr>
        <w:pStyle w:val="Text2"/>
        <w:tabs>
          <w:tab w:val="clear" w:pos="2302"/>
        </w:tabs>
        <w:spacing w:after="120"/>
        <w:ind w:left="0"/>
      </w:pPr>
      <w:r>
        <w:t>En outre, dans le cadre de la plateforme BIK, un pôle de connaissances BIK+ sera mis au point afin de mettre en place un point d’accès central aux informations, aux données probantes, aux politiques et aux pratiques à l’appui du suivi de l’incidence de la transformation numérique sur le bien-être des enfants. La Commission a également financé le projet CO:RE</w:t>
      </w:r>
      <w:r w:rsidR="006076E3" w:rsidRPr="008E06B2">
        <w:rPr>
          <w:vertAlign w:val="superscript"/>
        </w:rPr>
        <w:footnoteReference w:id="8"/>
      </w:r>
      <w:r>
        <w:t xml:space="preserve">, une base de données en ligne gratuite de recherches et de données probantes sur la vie numérique des enfants et des jeunes, comprenant plus de </w:t>
      </w:r>
      <w:hyperlink r:id="rId11" w:history="1">
        <w:r>
          <w:t>1 700 publications</w:t>
        </w:r>
      </w:hyperlink>
      <w:r>
        <w:t xml:space="preserve"> et </w:t>
      </w:r>
      <w:hyperlink r:id="rId12" w:history="1">
        <w:r>
          <w:t>1 300 études</w:t>
        </w:r>
      </w:hyperlink>
      <w:r>
        <w:t xml:space="preserve"> provenant de différentes sources de toute l’Europe.</w:t>
      </w:r>
    </w:p>
    <w:p w14:paraId="223E826F" w14:textId="00DAEA0D" w:rsidR="009A7EB1" w:rsidRDefault="005972BD" w:rsidP="0027299E">
      <w:pPr>
        <w:pStyle w:val="Text2"/>
        <w:tabs>
          <w:tab w:val="clear" w:pos="2302"/>
        </w:tabs>
        <w:spacing w:after="120"/>
        <w:ind w:left="0"/>
      </w:pPr>
      <w:r>
        <w:t>La nouvelle communication sur une approche globale de la santé mentale</w:t>
      </w:r>
      <w:r w:rsidR="008E06B2">
        <w:rPr>
          <w:rStyle w:val="FootnoteReference"/>
        </w:rPr>
        <w:footnoteReference w:id="9"/>
      </w:r>
      <w:r>
        <w:t xml:space="preserve"> a également été adoptée avec des initiatives ciblant spécifiquement les enfants et les enfants victimes répondant aux demandes formulées aux paragraphes 9 et 11. La Commission va maintenant se concentrer sur les résultats qu’elle peut atteindre.</w:t>
      </w:r>
    </w:p>
    <w:p w14:paraId="6C13D3A4" w14:textId="7EC79E48" w:rsidR="006076E3" w:rsidRDefault="004546A4" w:rsidP="0027299E">
      <w:pPr>
        <w:pStyle w:val="Text2"/>
        <w:tabs>
          <w:tab w:val="clear" w:pos="2302"/>
        </w:tabs>
        <w:spacing w:after="120"/>
        <w:ind w:left="0"/>
      </w:pPr>
      <w:r>
        <w:t>En outre, la Commission souligne que les activités de participation des enfants et des jeunes sont au cœur du programme BIK Jeunesse</w:t>
      </w:r>
      <w:r w:rsidR="006076E3" w:rsidRPr="008E06B2">
        <w:rPr>
          <w:vertAlign w:val="superscript"/>
        </w:rPr>
        <w:footnoteReference w:id="10"/>
      </w:r>
      <w:r>
        <w:t>. En particulier, les ambassadeurs de la jeunesse de BIK soutiennent l’éducation et la formation par les pairs et l’éducation et la formation des adultes par les enfants, au niveau national et au niveau de l’UE. Les enfants et les jeunes seront associés à l’élaboration du code de conduite de BIK+ sur la conception adaptée à l’âge et sur l’évaluation de la mise en œuvre de la stratégie BIK+. La Commission utilisera le réseau existant d’ambassadeurs de la jeunesse et de panels de jeunes de BIK pour toucher divers groupes d’enfants et de jeunes — en termes d’âge, de sexe, de handicap, de nationalité, de statut social et économique — et recueillera leurs contributions. La participation des enfants est également au cœur de la stratégie de l’UE sur les droits de l’enfant</w:t>
      </w:r>
      <w:r w:rsidR="008E06B2">
        <w:rPr>
          <w:rStyle w:val="FootnoteReference"/>
        </w:rPr>
        <w:footnoteReference w:id="11"/>
      </w:r>
      <w:r>
        <w:t>, avec la plateforme européenne de participation des enfants, mise en place en partenariat avec le Parlement européen et les organisations de défense des droits de l’enfant.</w:t>
      </w:r>
    </w:p>
    <w:p w14:paraId="32A8C988" w14:textId="04B51F61" w:rsidR="00947BEB" w:rsidRPr="00F077A2" w:rsidRDefault="006076E3" w:rsidP="0027299E">
      <w:pPr>
        <w:pStyle w:val="Text1"/>
        <w:spacing w:after="120"/>
        <w:ind w:left="0"/>
      </w:pPr>
      <w:r>
        <w:t>Des documents adaptés aux enfants sont également produits régulièrement, par exemple la version accessible et adaptée aux enfants de BIK+</w:t>
      </w:r>
      <w:r>
        <w:rPr>
          <w:rStyle w:val="FootnoteReference"/>
        </w:rPr>
        <w:footnoteReference w:id="12"/>
      </w:r>
      <w:r>
        <w:t xml:space="preserve"> est disponible dans les langues officielles </w:t>
      </w:r>
      <w:r>
        <w:lastRenderedPageBreak/>
        <w:t>de l’UE et dans d’autres langues, dont l’ukrainien. En outre, la brochure intitulée «Le règlement sur les services numériques (Digital Services Act - DSA) en bref», qui met l’accent sur les mesures visant à protéger les enfants et les jeunes en ligne, a été publiée en novembre 2023</w:t>
      </w:r>
      <w:r w:rsidR="004546A4">
        <w:rPr>
          <w:rStyle w:val="FootnoteReference"/>
        </w:rPr>
        <w:footnoteReference w:id="13"/>
      </w:r>
      <w:r>
        <w:t>.</w:t>
      </w:r>
    </w:p>
    <w:sectPr w:rsidR="00947BEB" w:rsidRPr="00F077A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6FE0" w14:textId="77777777" w:rsidR="001A4D4F" w:rsidRDefault="001A4D4F" w:rsidP="001F071E">
      <w:pPr>
        <w:spacing w:after="0"/>
      </w:pPr>
      <w:r>
        <w:separator/>
      </w:r>
    </w:p>
  </w:endnote>
  <w:endnote w:type="continuationSeparator" w:id="0">
    <w:p w14:paraId="0BA5D89D" w14:textId="77777777" w:rsidR="001A4D4F" w:rsidRDefault="001A4D4F" w:rsidP="001F0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3B42" w14:textId="77777777" w:rsidR="00B434C6" w:rsidRDefault="00B4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21462"/>
      <w:docPartObj>
        <w:docPartGallery w:val="Page Numbers (Bottom of Page)"/>
        <w:docPartUnique/>
      </w:docPartObj>
    </w:sdtPr>
    <w:sdtEndPr>
      <w:rPr>
        <w:noProof/>
      </w:rPr>
    </w:sdtEndPr>
    <w:sdtContent>
      <w:p w14:paraId="17D771BE" w14:textId="6F310A11" w:rsidR="008347FC" w:rsidRDefault="008347FC">
        <w:pPr>
          <w:pStyle w:val="Footer"/>
          <w:jc w:val="center"/>
        </w:pPr>
        <w:r>
          <w:fldChar w:fldCharType="begin"/>
        </w:r>
        <w:r>
          <w:instrText xml:space="preserve"> PAGE   \* MERGEFORMAT </w:instrText>
        </w:r>
        <w:r>
          <w:fldChar w:fldCharType="separate"/>
        </w:r>
        <w:r w:rsidR="00B12D95">
          <w:t>5</w:t>
        </w:r>
        <w:r>
          <w:fldChar w:fldCharType="end"/>
        </w:r>
      </w:p>
    </w:sdtContent>
  </w:sdt>
  <w:p w14:paraId="015C8DE8" w14:textId="77777777" w:rsidR="008347FC" w:rsidRDefault="00834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7251" w14:textId="77777777" w:rsidR="00B434C6" w:rsidRDefault="00B4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CAD6" w14:textId="77777777" w:rsidR="001A4D4F" w:rsidRDefault="001A4D4F" w:rsidP="001F071E">
      <w:pPr>
        <w:spacing w:after="0"/>
      </w:pPr>
      <w:r>
        <w:separator/>
      </w:r>
    </w:p>
  </w:footnote>
  <w:footnote w:type="continuationSeparator" w:id="0">
    <w:p w14:paraId="2820C396" w14:textId="77777777" w:rsidR="001A4D4F" w:rsidRDefault="001A4D4F" w:rsidP="001F071E">
      <w:pPr>
        <w:spacing w:after="0"/>
      </w:pPr>
      <w:r>
        <w:continuationSeparator/>
      </w:r>
    </w:p>
  </w:footnote>
  <w:footnote w:id="1">
    <w:p w14:paraId="5D170786" w14:textId="683AC276" w:rsidR="0006445D" w:rsidRPr="004546A4" w:rsidRDefault="0006445D" w:rsidP="008E06B2">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Plateforme «Un internet mieux adapté aux enfants»</w:t>
        </w:r>
      </w:hyperlink>
    </w:p>
  </w:footnote>
  <w:footnote w:id="2">
    <w:p w14:paraId="6BA5C4AA" w14:textId="56E4A7DD" w:rsidR="00EF7F31" w:rsidRPr="008E06B2" w:rsidRDefault="00EF7F31" w:rsidP="0027299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Plan d’action en matière d’éducation numérique (2021-2027) |</w:t>
        </w:r>
      </w:hyperlink>
      <w:hyperlink r:id="rId3" w:history="1">
        <w:r>
          <w:rPr>
            <w:rStyle w:val="Hyperlink"/>
            <w:rFonts w:ascii="Times New Roman" w:hAnsi="Times New Roman"/>
          </w:rPr>
          <w:t>Espace européen de l’éducation (europa.eu)</w:t>
        </w:r>
      </w:hyperlink>
    </w:p>
  </w:footnote>
  <w:footnote w:id="3">
    <w:p w14:paraId="5176AABD" w14:textId="1D08A4ED" w:rsidR="00EF7F31" w:rsidRPr="008E06B2" w:rsidRDefault="00EF7F31" w:rsidP="0027299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4" w:history="1">
        <w:r>
          <w:rPr>
            <w:rStyle w:val="Hyperlink"/>
            <w:rFonts w:ascii="Times New Roman" w:hAnsi="Times New Roman"/>
          </w:rPr>
          <w:t>Proposition de recommandation du Conseil relative aux principaux facteurs favorisant la réussite de l’éducation et de la formation numériques</w:t>
        </w:r>
      </w:hyperlink>
    </w:p>
  </w:footnote>
  <w:footnote w:id="4">
    <w:p w14:paraId="5080ED99" w14:textId="6FABD131" w:rsidR="00EF7F31" w:rsidRPr="008E06B2" w:rsidRDefault="00EF7F31" w:rsidP="0027299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5" w:history="1">
        <w:r>
          <w:rPr>
            <w:rStyle w:val="Hyperlink"/>
            <w:rFonts w:ascii="Times New Roman" w:hAnsi="Times New Roman"/>
          </w:rPr>
          <w:t>Proposition de recommandation du Conseil sur l’amélioration de l’enseignement des compétences numériques dans le domaine de l’éducation et de la formation</w:t>
        </w:r>
      </w:hyperlink>
    </w:p>
  </w:footnote>
  <w:footnote w:id="5">
    <w:p w14:paraId="735CE251" w14:textId="2D852E60" w:rsidR="005972BD" w:rsidRPr="00EC2B4A" w:rsidRDefault="005972BD" w:rsidP="0027299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6" w:history="1">
        <w:r>
          <w:rPr>
            <w:rStyle w:val="Hyperlink"/>
            <w:rFonts w:ascii="Times New Roman" w:hAnsi="Times New Roman"/>
          </w:rPr>
          <w:t>Lignes directrices pour les enseignants et les éducateurs</w:t>
        </w:r>
      </w:hyperlink>
      <w:r>
        <w:t xml:space="preserve"> </w:t>
      </w:r>
      <w:r>
        <w:rPr>
          <w:rStyle w:val="Hyperlink"/>
          <w:rFonts w:ascii="Times New Roman" w:hAnsi="Times New Roman"/>
        </w:rPr>
        <w:t>en matière de lutte contre la désinformation et de promotion de l’habileté numérique par l’éducation et la formation</w:t>
      </w:r>
    </w:p>
  </w:footnote>
  <w:footnote w:id="6">
    <w:p w14:paraId="676311F2" w14:textId="6950F02A" w:rsidR="008E06B2" w:rsidRPr="008E06B2" w:rsidRDefault="008E06B2" w:rsidP="0027299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7" w:history="1">
        <w:r>
          <w:rPr>
            <w:rStyle w:val="Hyperlink"/>
            <w:rFonts w:ascii="Times New Roman" w:hAnsi="Times New Roman"/>
          </w:rPr>
          <w:t>Proposition de directive sur la lutte contre la violence à l’égard des femmes et la violence domestique</w:t>
        </w:r>
      </w:hyperlink>
    </w:p>
  </w:footnote>
  <w:footnote w:id="7">
    <w:p w14:paraId="2F59025E" w14:textId="611A6C8C" w:rsidR="008E06B2" w:rsidRPr="007A643F" w:rsidRDefault="008E06B2" w:rsidP="0027299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8" w:history="1">
        <w:r>
          <w:rPr>
            <w:rStyle w:val="Hyperlink"/>
            <w:rFonts w:ascii="Times New Roman" w:hAnsi="Times New Roman"/>
          </w:rPr>
          <w:t>Proposition de directvie modifiant la directive 2012/29/UE établissant des normes minimales concernant les droits, le soutien et la protection des victimes de la criminalité et remplaçant la décision-cadre 2001/220/JAI du Conseil</w:t>
        </w:r>
      </w:hyperlink>
    </w:p>
  </w:footnote>
  <w:footnote w:id="8">
    <w:p w14:paraId="69E0C7B8" w14:textId="3DB974CA" w:rsidR="006076E3" w:rsidRPr="007A643F" w:rsidRDefault="006076E3" w:rsidP="007A643F">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9" w:history="1">
        <w:r>
          <w:rPr>
            <w:rStyle w:val="Hyperlink"/>
            <w:rFonts w:ascii="Times New Roman" w:hAnsi="Times New Roman"/>
          </w:rPr>
          <w:t>CO:RE project</w:t>
        </w:r>
      </w:hyperlink>
    </w:p>
  </w:footnote>
  <w:footnote w:id="9">
    <w:p w14:paraId="5C62962A" w14:textId="0EC2348A" w:rsidR="008E06B2" w:rsidRPr="007A643F" w:rsidRDefault="008E06B2" w:rsidP="007A643F">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0" w:history="1">
        <w:r>
          <w:rPr>
            <w:rStyle w:val="Hyperlink"/>
            <w:rFonts w:ascii="Times New Roman" w:hAnsi="Times New Roman"/>
          </w:rPr>
          <w:t>Communication sur une approche globale en matière de santé mentale</w:t>
        </w:r>
      </w:hyperlink>
    </w:p>
  </w:footnote>
  <w:footnote w:id="10">
    <w:p w14:paraId="21443D9C" w14:textId="4B664CBA" w:rsidR="006076E3" w:rsidRPr="007A643F" w:rsidRDefault="006076E3" w:rsidP="007A643F">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1" w:history="1">
        <w:r>
          <w:rPr>
            <w:rStyle w:val="Hyperlink"/>
            <w:rFonts w:ascii="Times New Roman" w:hAnsi="Times New Roman"/>
          </w:rPr>
          <w:t>Programme BIK Jeunesse</w:t>
        </w:r>
      </w:hyperlink>
    </w:p>
  </w:footnote>
  <w:footnote w:id="11">
    <w:p w14:paraId="1D3809C6" w14:textId="683A989A" w:rsidR="008E06B2" w:rsidRPr="007A643F" w:rsidRDefault="008E06B2" w:rsidP="007A643F">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2" w:history="1">
        <w:r>
          <w:rPr>
            <w:rStyle w:val="Hyperlink"/>
            <w:rFonts w:ascii="Times New Roman" w:hAnsi="Times New Roman"/>
          </w:rPr>
          <w:t>https://eur-lex.europa.eu/FR/legal-content/summary/eu-strategy-on-the-rights-of-the-child-and-the-european-child-guarantee.html</w:t>
        </w:r>
      </w:hyperlink>
      <w:r>
        <w:rPr>
          <w:rFonts w:ascii="Times New Roman" w:hAnsi="Times New Roman"/>
        </w:rPr>
        <w:t xml:space="preserve"> </w:t>
      </w:r>
    </w:p>
  </w:footnote>
  <w:footnote w:id="12">
    <w:p w14:paraId="041C010A" w14:textId="4D3CDB38" w:rsidR="006076E3" w:rsidRPr="009A1B50" w:rsidRDefault="006076E3" w:rsidP="007A643F">
      <w:pPr>
        <w:pStyle w:val="FootnoteText"/>
        <w:spacing w:after="0"/>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3" w:history="1">
        <w:r>
          <w:rPr>
            <w:rStyle w:val="Hyperlink"/>
            <w:rFonts w:ascii="Times New Roman" w:hAnsi="Times New Roman"/>
          </w:rPr>
          <w:t>https://op.europa.eu/fr/publication-detail/-/publication/0bbf001c-f041-11ec-a534-01aa75ed71a1</w:t>
        </w:r>
      </w:hyperlink>
      <w:r>
        <w:t xml:space="preserve"> </w:t>
      </w:r>
    </w:p>
  </w:footnote>
  <w:footnote w:id="13">
    <w:p w14:paraId="13445359" w14:textId="334339D6" w:rsidR="004546A4" w:rsidRPr="00455E20" w:rsidRDefault="004546A4">
      <w:pPr>
        <w:pStyle w:val="FootnoteText"/>
      </w:pPr>
      <w:r w:rsidRPr="00366468">
        <w:rPr>
          <w:rStyle w:val="FootnoteReference"/>
          <w:rFonts w:ascii="Times New Roman" w:hAnsi="Times New Roman"/>
        </w:rPr>
        <w:footnoteRef/>
      </w:r>
      <w:r>
        <w:rPr>
          <w:rStyle w:val="Hyperlink"/>
          <w:rFonts w:ascii="Times New Roman" w:hAnsi="Times New Roman"/>
        </w:rPr>
        <w:tab/>
        <w:t>https://op.europa.eu/fr/publication-detail/-/publication/f3556a65-88ea-11ee-99ba-01aa75ed71a1/language-fr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0806" w14:textId="77777777" w:rsidR="00B434C6" w:rsidRDefault="00B4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66CA" w14:textId="77777777" w:rsidR="00B434C6" w:rsidRDefault="00B43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AB8" w14:textId="77777777" w:rsidR="00B434C6" w:rsidRDefault="00B4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3C8"/>
    <w:multiLevelType w:val="hybridMultilevel"/>
    <w:tmpl w:val="29423588"/>
    <w:lvl w:ilvl="0" w:tplc="F7680BB2">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F531634"/>
    <w:multiLevelType w:val="hybridMultilevel"/>
    <w:tmpl w:val="597EA6B8"/>
    <w:lvl w:ilvl="0" w:tplc="D070F252">
      <w:start w:val="3"/>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3FA0827"/>
    <w:multiLevelType w:val="hybridMultilevel"/>
    <w:tmpl w:val="2D6AADAE"/>
    <w:lvl w:ilvl="0" w:tplc="FFFFFFFF">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CB804A9"/>
    <w:multiLevelType w:val="hybridMultilevel"/>
    <w:tmpl w:val="B6F8F8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D33D39"/>
    <w:multiLevelType w:val="hybridMultilevel"/>
    <w:tmpl w:val="AEFA3B9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63464BE6"/>
    <w:multiLevelType w:val="hybridMultilevel"/>
    <w:tmpl w:val="B28C2AE2"/>
    <w:lvl w:ilvl="0" w:tplc="505A15A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64D32EFB"/>
    <w:multiLevelType w:val="hybridMultilevel"/>
    <w:tmpl w:val="2014E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555205">
    <w:abstractNumId w:val="3"/>
  </w:num>
  <w:num w:numId="2" w16cid:durableId="2062047796">
    <w:abstractNumId w:val="0"/>
  </w:num>
  <w:num w:numId="3" w16cid:durableId="162360297">
    <w:abstractNumId w:val="6"/>
  </w:num>
  <w:num w:numId="4" w16cid:durableId="904797656">
    <w:abstractNumId w:val="7"/>
  </w:num>
  <w:num w:numId="5" w16cid:durableId="921455440">
    <w:abstractNumId w:val="8"/>
  </w:num>
  <w:num w:numId="6" w16cid:durableId="1274675628">
    <w:abstractNumId w:val="1"/>
  </w:num>
  <w:num w:numId="7" w16cid:durableId="1572154346">
    <w:abstractNumId w:val="4"/>
  </w:num>
  <w:num w:numId="8" w16cid:durableId="965699306">
    <w:abstractNumId w:val="5"/>
  </w:num>
  <w:num w:numId="9" w16cid:durableId="149313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sv-SE"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F071E"/>
    <w:rsid w:val="000070BC"/>
    <w:rsid w:val="000128AB"/>
    <w:rsid w:val="0001548B"/>
    <w:rsid w:val="00032525"/>
    <w:rsid w:val="00046733"/>
    <w:rsid w:val="000626DA"/>
    <w:rsid w:val="0006445D"/>
    <w:rsid w:val="00073048"/>
    <w:rsid w:val="00081226"/>
    <w:rsid w:val="000B62CF"/>
    <w:rsid w:val="000B6B7F"/>
    <w:rsid w:val="000C0395"/>
    <w:rsid w:val="000D418C"/>
    <w:rsid w:val="000E4572"/>
    <w:rsid w:val="000F674B"/>
    <w:rsid w:val="001026C3"/>
    <w:rsid w:val="00110A7B"/>
    <w:rsid w:val="001238CF"/>
    <w:rsid w:val="00125C42"/>
    <w:rsid w:val="00131FE2"/>
    <w:rsid w:val="00135030"/>
    <w:rsid w:val="00155B03"/>
    <w:rsid w:val="001A4D4F"/>
    <w:rsid w:val="001B07AC"/>
    <w:rsid w:val="001C3C84"/>
    <w:rsid w:val="001C72C0"/>
    <w:rsid w:val="001C7B23"/>
    <w:rsid w:val="001F0447"/>
    <w:rsid w:val="001F071E"/>
    <w:rsid w:val="002107C7"/>
    <w:rsid w:val="00213F25"/>
    <w:rsid w:val="00216C0C"/>
    <w:rsid w:val="0023446C"/>
    <w:rsid w:val="00260E81"/>
    <w:rsid w:val="0027299E"/>
    <w:rsid w:val="002B4D9D"/>
    <w:rsid w:val="002B7B82"/>
    <w:rsid w:val="002C1BC9"/>
    <w:rsid w:val="002C2A7F"/>
    <w:rsid w:val="002D4F1F"/>
    <w:rsid w:val="00300DA0"/>
    <w:rsid w:val="00323052"/>
    <w:rsid w:val="00351796"/>
    <w:rsid w:val="00353EE6"/>
    <w:rsid w:val="00355427"/>
    <w:rsid w:val="0035653B"/>
    <w:rsid w:val="00357AF2"/>
    <w:rsid w:val="00357C8A"/>
    <w:rsid w:val="00366468"/>
    <w:rsid w:val="00371D3E"/>
    <w:rsid w:val="003805B9"/>
    <w:rsid w:val="00383954"/>
    <w:rsid w:val="003938C2"/>
    <w:rsid w:val="003B5E34"/>
    <w:rsid w:val="003E3367"/>
    <w:rsid w:val="003F642E"/>
    <w:rsid w:val="003F7D01"/>
    <w:rsid w:val="00420195"/>
    <w:rsid w:val="00423798"/>
    <w:rsid w:val="00436DB2"/>
    <w:rsid w:val="00446CAD"/>
    <w:rsid w:val="00447F14"/>
    <w:rsid w:val="0045179B"/>
    <w:rsid w:val="004546A4"/>
    <w:rsid w:val="00455E20"/>
    <w:rsid w:val="00456DCC"/>
    <w:rsid w:val="00465734"/>
    <w:rsid w:val="00481513"/>
    <w:rsid w:val="00482EF5"/>
    <w:rsid w:val="00483427"/>
    <w:rsid w:val="00492203"/>
    <w:rsid w:val="004B07B2"/>
    <w:rsid w:val="004B5621"/>
    <w:rsid w:val="004B7D46"/>
    <w:rsid w:val="004B7F71"/>
    <w:rsid w:val="004C3E11"/>
    <w:rsid w:val="004D1318"/>
    <w:rsid w:val="004D711E"/>
    <w:rsid w:val="004F35CD"/>
    <w:rsid w:val="00501A91"/>
    <w:rsid w:val="00503908"/>
    <w:rsid w:val="00503E4A"/>
    <w:rsid w:val="0052288B"/>
    <w:rsid w:val="0053731E"/>
    <w:rsid w:val="00561129"/>
    <w:rsid w:val="00566635"/>
    <w:rsid w:val="00583737"/>
    <w:rsid w:val="0059059D"/>
    <w:rsid w:val="005972BD"/>
    <w:rsid w:val="005A3D69"/>
    <w:rsid w:val="005A5F67"/>
    <w:rsid w:val="005B2172"/>
    <w:rsid w:val="005B47CB"/>
    <w:rsid w:val="005F4F0F"/>
    <w:rsid w:val="006076E3"/>
    <w:rsid w:val="00617150"/>
    <w:rsid w:val="0062592E"/>
    <w:rsid w:val="0063608C"/>
    <w:rsid w:val="00637BA0"/>
    <w:rsid w:val="006430B5"/>
    <w:rsid w:val="0065028F"/>
    <w:rsid w:val="00650C4A"/>
    <w:rsid w:val="006711C4"/>
    <w:rsid w:val="00675415"/>
    <w:rsid w:val="006819F1"/>
    <w:rsid w:val="00683318"/>
    <w:rsid w:val="0069218F"/>
    <w:rsid w:val="006A32D8"/>
    <w:rsid w:val="006B578B"/>
    <w:rsid w:val="006C7CC3"/>
    <w:rsid w:val="006E74A1"/>
    <w:rsid w:val="006F1985"/>
    <w:rsid w:val="007045C7"/>
    <w:rsid w:val="007059CC"/>
    <w:rsid w:val="0071347A"/>
    <w:rsid w:val="00714D8B"/>
    <w:rsid w:val="0073510B"/>
    <w:rsid w:val="00736B9D"/>
    <w:rsid w:val="00773635"/>
    <w:rsid w:val="0077385B"/>
    <w:rsid w:val="007906EF"/>
    <w:rsid w:val="007A1CE1"/>
    <w:rsid w:val="007A3920"/>
    <w:rsid w:val="007A643F"/>
    <w:rsid w:val="007B01EB"/>
    <w:rsid w:val="007B34F8"/>
    <w:rsid w:val="007D0691"/>
    <w:rsid w:val="007E5491"/>
    <w:rsid w:val="007E57E6"/>
    <w:rsid w:val="007F38CC"/>
    <w:rsid w:val="0083319E"/>
    <w:rsid w:val="008347FC"/>
    <w:rsid w:val="0085333D"/>
    <w:rsid w:val="008671DE"/>
    <w:rsid w:val="008B7B84"/>
    <w:rsid w:val="008D2031"/>
    <w:rsid w:val="008D56FD"/>
    <w:rsid w:val="008E06B2"/>
    <w:rsid w:val="008E455E"/>
    <w:rsid w:val="008F040D"/>
    <w:rsid w:val="008F0B62"/>
    <w:rsid w:val="009009D9"/>
    <w:rsid w:val="00920EAD"/>
    <w:rsid w:val="00921409"/>
    <w:rsid w:val="00923419"/>
    <w:rsid w:val="009365E5"/>
    <w:rsid w:val="0094130A"/>
    <w:rsid w:val="00947BEB"/>
    <w:rsid w:val="0096306F"/>
    <w:rsid w:val="00965CD1"/>
    <w:rsid w:val="0097059B"/>
    <w:rsid w:val="00995588"/>
    <w:rsid w:val="009A1B50"/>
    <w:rsid w:val="009A378B"/>
    <w:rsid w:val="009A5C15"/>
    <w:rsid w:val="009A7EB1"/>
    <w:rsid w:val="009B4218"/>
    <w:rsid w:val="009C2612"/>
    <w:rsid w:val="009E5CF1"/>
    <w:rsid w:val="00A01B5C"/>
    <w:rsid w:val="00A04E18"/>
    <w:rsid w:val="00A20237"/>
    <w:rsid w:val="00A33CFE"/>
    <w:rsid w:val="00A33F8A"/>
    <w:rsid w:val="00A3596C"/>
    <w:rsid w:val="00A37E01"/>
    <w:rsid w:val="00A5091B"/>
    <w:rsid w:val="00A70D8D"/>
    <w:rsid w:val="00A823CA"/>
    <w:rsid w:val="00A96206"/>
    <w:rsid w:val="00AB5E21"/>
    <w:rsid w:val="00AC324E"/>
    <w:rsid w:val="00AD0817"/>
    <w:rsid w:val="00AE2F7F"/>
    <w:rsid w:val="00AF4C33"/>
    <w:rsid w:val="00AF779F"/>
    <w:rsid w:val="00B12D95"/>
    <w:rsid w:val="00B434C6"/>
    <w:rsid w:val="00B6078F"/>
    <w:rsid w:val="00B6173A"/>
    <w:rsid w:val="00B6302C"/>
    <w:rsid w:val="00B85B04"/>
    <w:rsid w:val="00BA0C0A"/>
    <w:rsid w:val="00BE19FD"/>
    <w:rsid w:val="00BE6326"/>
    <w:rsid w:val="00BF4945"/>
    <w:rsid w:val="00C005C8"/>
    <w:rsid w:val="00C00DAB"/>
    <w:rsid w:val="00C018D9"/>
    <w:rsid w:val="00C07582"/>
    <w:rsid w:val="00C1193B"/>
    <w:rsid w:val="00C228FB"/>
    <w:rsid w:val="00C358BD"/>
    <w:rsid w:val="00C76411"/>
    <w:rsid w:val="00C8181E"/>
    <w:rsid w:val="00C83E1B"/>
    <w:rsid w:val="00C947B1"/>
    <w:rsid w:val="00C95DA4"/>
    <w:rsid w:val="00C95E7D"/>
    <w:rsid w:val="00C969BF"/>
    <w:rsid w:val="00CA753E"/>
    <w:rsid w:val="00CB7DA8"/>
    <w:rsid w:val="00CC0195"/>
    <w:rsid w:val="00CC1746"/>
    <w:rsid w:val="00CC6184"/>
    <w:rsid w:val="00CE20F8"/>
    <w:rsid w:val="00CE36CB"/>
    <w:rsid w:val="00D101A7"/>
    <w:rsid w:val="00D228A1"/>
    <w:rsid w:val="00D421DB"/>
    <w:rsid w:val="00D46FF4"/>
    <w:rsid w:val="00D81E85"/>
    <w:rsid w:val="00D851CD"/>
    <w:rsid w:val="00D95CCA"/>
    <w:rsid w:val="00DC7EA8"/>
    <w:rsid w:val="00DD5DF0"/>
    <w:rsid w:val="00DF6C4A"/>
    <w:rsid w:val="00E004E4"/>
    <w:rsid w:val="00E16E35"/>
    <w:rsid w:val="00E409D3"/>
    <w:rsid w:val="00E56BA5"/>
    <w:rsid w:val="00E62605"/>
    <w:rsid w:val="00E65AC5"/>
    <w:rsid w:val="00E668DE"/>
    <w:rsid w:val="00E82D2A"/>
    <w:rsid w:val="00E856FA"/>
    <w:rsid w:val="00E958E8"/>
    <w:rsid w:val="00EA4341"/>
    <w:rsid w:val="00EB3D49"/>
    <w:rsid w:val="00EC175A"/>
    <w:rsid w:val="00EC2B4A"/>
    <w:rsid w:val="00EF5ADD"/>
    <w:rsid w:val="00EF7F31"/>
    <w:rsid w:val="00F02C3F"/>
    <w:rsid w:val="00F077A2"/>
    <w:rsid w:val="00F07FA0"/>
    <w:rsid w:val="00F1494B"/>
    <w:rsid w:val="00F222DC"/>
    <w:rsid w:val="00F2721D"/>
    <w:rsid w:val="00F40417"/>
    <w:rsid w:val="00F52C27"/>
    <w:rsid w:val="00F535A6"/>
    <w:rsid w:val="00F57BB3"/>
    <w:rsid w:val="00F61C4D"/>
    <w:rsid w:val="00F62B19"/>
    <w:rsid w:val="00F645A0"/>
    <w:rsid w:val="00F82F20"/>
    <w:rsid w:val="00F8776D"/>
    <w:rsid w:val="00FB121A"/>
    <w:rsid w:val="00FC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764C"/>
  <w15:chartTrackingRefBased/>
  <w15:docId w15:val="{C553E913-6C7C-4390-9288-1E9F9504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1E"/>
    <w:pPr>
      <w:spacing w:after="240" w:line="240" w:lineRule="auto"/>
      <w:jc w:val="both"/>
    </w:pPr>
    <w:rPr>
      <w:rFonts w:ascii="Courier New" w:eastAsia="Times New Roman" w:hAnsi="Courier New" w:cs="Times New Roman"/>
      <w:sz w:val="24"/>
      <w:szCs w:val="20"/>
      <w:lang w:eastAsia="en-GB"/>
    </w:rPr>
  </w:style>
  <w:style w:type="paragraph" w:styleId="Heading2">
    <w:name w:val="heading 2"/>
    <w:basedOn w:val="Normal"/>
    <w:next w:val="Normal"/>
    <w:link w:val="Heading2Char"/>
    <w:uiPriority w:val="9"/>
    <w:unhideWhenUsed/>
    <w:qFormat/>
    <w:rsid w:val="001B07AC"/>
    <w:pPr>
      <w:keepNext/>
      <w:keepLines/>
      <w:spacing w:before="40" w:after="0" w:line="276" w:lineRule="auto"/>
      <w:jc w:val="lef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1B07AC"/>
    <w:pPr>
      <w:keepNext/>
      <w:keepLines/>
      <w:spacing w:before="40" w:after="0" w:line="276" w:lineRule="auto"/>
      <w:jc w:val="left"/>
      <w:outlineLvl w:val="2"/>
    </w:pPr>
    <w:rPr>
      <w:rFonts w:asciiTheme="majorHAnsi" w:eastAsiaTheme="majorEastAsia" w:hAnsiTheme="majorHAnsi" w:cstheme="majorBidi"/>
      <w:color w:val="1F4D78"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ußnote,Geneva 9"/>
    <w:basedOn w:val="Normal"/>
    <w:link w:val="FootnoteTextChar2"/>
    <w:uiPriority w:val="99"/>
    <w:qFormat/>
    <w:rsid w:val="001F071E"/>
    <w:pPr>
      <w:ind w:left="357" w:hanging="357"/>
    </w:pPr>
    <w:rPr>
      <w:sz w:val="20"/>
    </w:rPr>
  </w:style>
  <w:style w:type="character" w:customStyle="1" w:styleId="FootnoteTextChar">
    <w:name w:val="Footnote Text Char"/>
    <w:basedOn w:val="DefaultParagraphFont"/>
    <w:uiPriority w:val="99"/>
    <w:rsid w:val="001F071E"/>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071E"/>
    <w:rPr>
      <w:vertAlign w:val="superscript"/>
    </w:rPr>
  </w:style>
  <w:style w:type="character" w:styleId="Hyperlink">
    <w:name w:val="Hyperlink"/>
    <w:aliases w:val="Char1"/>
    <w:uiPriority w:val="99"/>
    <w:rsid w:val="001F071E"/>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1F071E"/>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071E"/>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L"/>
    <w:basedOn w:val="Normal"/>
    <w:link w:val="ListParagraphChar"/>
    <w:uiPriority w:val="34"/>
    <w:qFormat/>
    <w:rsid w:val="00483427"/>
    <w:pPr>
      <w:ind w:left="720"/>
      <w:contextualSpacing/>
    </w:pPr>
  </w:style>
  <w:style w:type="character" w:customStyle="1" w:styleId="UnresolvedMention1">
    <w:name w:val="Unresolved Mention1"/>
    <w:basedOn w:val="DefaultParagraphFont"/>
    <w:uiPriority w:val="99"/>
    <w:semiHidden/>
    <w:unhideWhenUsed/>
    <w:rsid w:val="00483427"/>
    <w:rPr>
      <w:color w:val="605E5C"/>
      <w:shd w:val="clear" w:color="auto" w:fill="E1DFDD"/>
    </w:rPr>
  </w:style>
  <w:style w:type="paragraph" w:customStyle="1" w:styleId="normalhanging12a">
    <w:name w:val="normalhanging12a"/>
    <w:basedOn w:val="Normal"/>
    <w:rsid w:val="00F57BB3"/>
    <w:pPr>
      <w:ind w:left="567" w:hanging="567"/>
      <w:jc w:val="left"/>
    </w:pPr>
    <w:rPr>
      <w:rFonts w:ascii="Times New Roman" w:eastAsiaTheme="minorHAnsi" w:hAnsi="Times New Roman"/>
      <w:szCs w:val="24"/>
      <w:lang w:eastAsia="en-IE"/>
    </w:rPr>
  </w:style>
  <w:style w:type="paragraph" w:customStyle="1" w:styleId="NormalHanging12a0">
    <w:name w:val="NormalHanging12a"/>
    <w:basedOn w:val="Normal"/>
    <w:link w:val="NormalHanging12aChar"/>
    <w:rsid w:val="0077385B"/>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0"/>
    <w:locked/>
    <w:rsid w:val="0077385B"/>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995588"/>
    <w:pPr>
      <w:spacing w:before="100" w:beforeAutospacing="1" w:after="100" w:afterAutospacing="1"/>
      <w:jc w:val="left"/>
    </w:pPr>
    <w:rPr>
      <w:rFonts w:ascii="Times New Roman" w:hAnsi="Times New Roman"/>
      <w:szCs w:val="24"/>
    </w:rPr>
  </w:style>
  <w:style w:type="table" w:styleId="TableGrid">
    <w:name w:val="Table Grid"/>
    <w:basedOn w:val="TableNormal"/>
    <w:uiPriority w:val="39"/>
    <w:rsid w:val="00C8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ingtextChar">
    <w:name w:val="Briefing text Char"/>
    <w:basedOn w:val="DefaultParagraphFont"/>
    <w:link w:val="Briefingtext"/>
    <w:uiPriority w:val="99"/>
    <w:locked/>
    <w:rsid w:val="008B7B84"/>
    <w:rPr>
      <w:rFonts w:ascii="Arial" w:hAnsi="Arial" w:cs="Arial"/>
    </w:rPr>
  </w:style>
  <w:style w:type="paragraph" w:customStyle="1" w:styleId="Briefingtext">
    <w:name w:val="Briefing text"/>
    <w:basedOn w:val="Normal"/>
    <w:link w:val="BriefingtextChar"/>
    <w:uiPriority w:val="99"/>
    <w:rsid w:val="008B7B84"/>
    <w:pPr>
      <w:spacing w:after="120"/>
    </w:pPr>
    <w:rPr>
      <w:rFonts w:ascii="Arial" w:eastAsiaTheme="minorHAnsi" w:hAnsi="Arial" w:cs="Arial"/>
      <w:sz w:val="22"/>
      <w:szCs w:val="22"/>
      <w:lang w:eastAsia="en-US"/>
    </w:rPr>
  </w:style>
  <w:style w:type="character" w:styleId="CommentReference">
    <w:name w:val="annotation reference"/>
    <w:basedOn w:val="DefaultParagraphFont"/>
    <w:uiPriority w:val="99"/>
    <w:semiHidden/>
    <w:unhideWhenUsed/>
    <w:rsid w:val="008671DE"/>
    <w:rPr>
      <w:sz w:val="16"/>
      <w:szCs w:val="16"/>
    </w:rPr>
  </w:style>
  <w:style w:type="paragraph" w:styleId="CommentText">
    <w:name w:val="annotation text"/>
    <w:basedOn w:val="Normal"/>
    <w:link w:val="CommentTextChar"/>
    <w:uiPriority w:val="99"/>
    <w:unhideWhenUsed/>
    <w:rsid w:val="008671DE"/>
    <w:rPr>
      <w:sz w:val="20"/>
    </w:rPr>
  </w:style>
  <w:style w:type="character" w:customStyle="1" w:styleId="CommentTextChar">
    <w:name w:val="Comment Text Char"/>
    <w:basedOn w:val="DefaultParagraphFont"/>
    <w:link w:val="CommentText"/>
    <w:uiPriority w:val="99"/>
    <w:rsid w:val="008671DE"/>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71DE"/>
    <w:rPr>
      <w:b/>
      <w:bCs/>
    </w:rPr>
  </w:style>
  <w:style w:type="character" w:customStyle="1" w:styleId="CommentSubjectChar">
    <w:name w:val="Comment Subject Char"/>
    <w:basedOn w:val="CommentTextChar"/>
    <w:link w:val="CommentSubject"/>
    <w:uiPriority w:val="99"/>
    <w:semiHidden/>
    <w:rsid w:val="008671DE"/>
    <w:rPr>
      <w:rFonts w:ascii="Courier New" w:eastAsia="Times New Roman" w:hAnsi="Courier New" w:cs="Times New Roman"/>
      <w:b/>
      <w:bCs/>
      <w:sz w:val="20"/>
      <w:szCs w:val="20"/>
      <w:lang w:eastAsia="en-GB"/>
    </w:rPr>
  </w:style>
  <w:style w:type="paragraph" w:styleId="Revision">
    <w:name w:val="Revision"/>
    <w:hidden/>
    <w:uiPriority w:val="99"/>
    <w:semiHidden/>
    <w:rsid w:val="008671DE"/>
    <w:pPr>
      <w:spacing w:after="0" w:line="240" w:lineRule="auto"/>
    </w:pPr>
    <w:rPr>
      <w:rFonts w:ascii="Courier New" w:eastAsia="Times New Roman" w:hAnsi="Courier New" w:cs="Times New Roman"/>
      <w:sz w:val="24"/>
      <w:szCs w:val="20"/>
      <w:lang w:eastAsia="en-GB"/>
    </w:rPr>
  </w:style>
  <w:style w:type="paragraph" w:styleId="BalloonText">
    <w:name w:val="Balloon Text"/>
    <w:basedOn w:val="Normal"/>
    <w:link w:val="BalloonTextChar"/>
    <w:uiPriority w:val="99"/>
    <w:semiHidden/>
    <w:unhideWhenUsed/>
    <w:rsid w:val="00CC17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4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8347FC"/>
    <w:pPr>
      <w:tabs>
        <w:tab w:val="center" w:pos="4513"/>
        <w:tab w:val="right" w:pos="9026"/>
      </w:tabs>
      <w:spacing w:after="0"/>
    </w:pPr>
  </w:style>
  <w:style w:type="character" w:customStyle="1" w:styleId="HeaderChar">
    <w:name w:val="Header Char"/>
    <w:basedOn w:val="DefaultParagraphFont"/>
    <w:link w:val="Header"/>
    <w:uiPriority w:val="99"/>
    <w:rsid w:val="008347FC"/>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8347FC"/>
    <w:pPr>
      <w:tabs>
        <w:tab w:val="center" w:pos="4513"/>
        <w:tab w:val="right" w:pos="9026"/>
      </w:tabs>
      <w:spacing w:after="0"/>
    </w:pPr>
  </w:style>
  <w:style w:type="character" w:customStyle="1" w:styleId="FooterChar">
    <w:name w:val="Footer Char"/>
    <w:basedOn w:val="DefaultParagraphFont"/>
    <w:link w:val="Footer"/>
    <w:uiPriority w:val="99"/>
    <w:rsid w:val="008347FC"/>
    <w:rPr>
      <w:rFonts w:ascii="Courier New" w:eastAsia="Times New Roman" w:hAnsi="Courier New" w:cs="Times New Roman"/>
      <w:sz w:val="24"/>
      <w:szCs w:val="20"/>
      <w:lang w:eastAsia="en-GB"/>
    </w:rPr>
  </w:style>
  <w:style w:type="character" w:customStyle="1" w:styleId="cf01">
    <w:name w:val="cf01"/>
    <w:basedOn w:val="DefaultParagraphFont"/>
    <w:rsid w:val="009B4218"/>
    <w:rPr>
      <w:rFonts w:ascii="Segoe UI" w:hAnsi="Segoe UI" w:cs="Segoe UI" w:hint="default"/>
      <w:sz w:val="18"/>
      <w:szCs w:val="18"/>
    </w:rPr>
  </w:style>
  <w:style w:type="paragraph" w:customStyle="1" w:styleId="ZnakZnak">
    <w:name w:val="Znak Znak"/>
    <w:basedOn w:val="Normal"/>
    <w:rsid w:val="002D4F1F"/>
    <w:pPr>
      <w:spacing w:after="0" w:line="360" w:lineRule="auto"/>
    </w:pPr>
    <w:rPr>
      <w:rFonts w:ascii="Verdana" w:hAnsi="Verdana"/>
      <w:sz w:val="20"/>
      <w:lang w:eastAsia="pl-PL"/>
    </w:rPr>
  </w:style>
  <w:style w:type="character" w:customStyle="1" w:styleId="Heading2Char">
    <w:name w:val="Heading 2 Char"/>
    <w:basedOn w:val="DefaultParagraphFont"/>
    <w:link w:val="Heading2"/>
    <w:uiPriority w:val="9"/>
    <w:rsid w:val="001B07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07AC"/>
    <w:rPr>
      <w:rFonts w:asciiTheme="majorHAnsi" w:eastAsiaTheme="majorEastAsia" w:hAnsiTheme="majorHAnsi" w:cstheme="majorBidi"/>
      <w:color w:val="1F4D78" w:themeColor="accent1" w:themeShade="7F"/>
      <w:sz w:val="24"/>
      <w:szCs w:val="24"/>
    </w:rPr>
  </w:style>
  <w:style w:type="paragraph" w:customStyle="1" w:styleId="Text2">
    <w:name w:val="Text 2"/>
    <w:basedOn w:val="Normal"/>
    <w:rsid w:val="00947BEB"/>
    <w:pPr>
      <w:tabs>
        <w:tab w:val="left" w:pos="2302"/>
      </w:tabs>
      <w:ind w:left="1202"/>
    </w:pPr>
    <w:rPr>
      <w:rFonts w:ascii="Times New Roman" w:hAnsi="Times New Roman"/>
      <w:lang w:eastAsia="en-US"/>
    </w:rPr>
  </w:style>
  <w:style w:type="character" w:styleId="Emphasis">
    <w:name w:val="Emphasis"/>
    <w:uiPriority w:val="20"/>
    <w:qFormat/>
    <w:rsid w:val="0006445D"/>
    <w:rPr>
      <w:i/>
      <w:iCs/>
    </w:rPr>
  </w:style>
  <w:style w:type="paragraph" w:customStyle="1" w:styleId="Text1">
    <w:name w:val="Text 1"/>
    <w:basedOn w:val="Normal"/>
    <w:link w:val="Text1Char"/>
    <w:qFormat/>
    <w:rsid w:val="005972BD"/>
    <w:pPr>
      <w:ind w:left="482"/>
    </w:pPr>
    <w:rPr>
      <w:rFonts w:ascii="Times New Roman" w:hAnsi="Times New Roman"/>
      <w:lang w:eastAsia="en-US"/>
    </w:rPr>
  </w:style>
  <w:style w:type="character" w:customStyle="1" w:styleId="Text1Char">
    <w:name w:val="Text 1 Char"/>
    <w:link w:val="Text1"/>
    <w:rsid w:val="005972BD"/>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076E3"/>
    <w:rPr>
      <w:color w:val="954F72" w:themeColor="followedHyperlink"/>
      <w:u w:val="single"/>
    </w:rPr>
  </w:style>
  <w:style w:type="character" w:customStyle="1" w:styleId="normaltextrun">
    <w:name w:val="normaltextrun"/>
    <w:basedOn w:val="DefaultParagraphFont"/>
    <w:rsid w:val="009A7EB1"/>
  </w:style>
  <w:style w:type="character" w:customStyle="1" w:styleId="eop">
    <w:name w:val="eop"/>
    <w:basedOn w:val="DefaultParagraphFont"/>
    <w:rsid w:val="009A7EB1"/>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uiPriority w:val="34"/>
    <w:qFormat/>
    <w:rsid w:val="009A7EB1"/>
    <w:rPr>
      <w:rFonts w:ascii="Courier New" w:eastAsia="Times New Roman" w:hAnsi="Courier New" w:cs="Times New Roman"/>
      <w:sz w:val="24"/>
      <w:szCs w:val="20"/>
      <w:lang w:eastAsia="en-GB"/>
    </w:rPr>
  </w:style>
  <w:style w:type="character" w:styleId="UnresolvedMention">
    <w:name w:val="Unresolved Mention"/>
    <w:basedOn w:val="DefaultParagraphFont"/>
    <w:uiPriority w:val="99"/>
    <w:semiHidden/>
    <w:unhideWhenUsed/>
    <w:rsid w:val="008E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61624">
      <w:bodyDiv w:val="1"/>
      <w:marLeft w:val="0"/>
      <w:marRight w:val="0"/>
      <w:marTop w:val="0"/>
      <w:marBottom w:val="0"/>
      <w:divBdr>
        <w:top w:val="none" w:sz="0" w:space="0" w:color="auto"/>
        <w:left w:val="none" w:sz="0" w:space="0" w:color="auto"/>
        <w:bottom w:val="none" w:sz="0" w:space="0" w:color="auto"/>
        <w:right w:val="none" w:sz="0" w:space="0" w:color="auto"/>
      </w:divBdr>
    </w:div>
    <w:div w:id="320349087">
      <w:bodyDiv w:val="1"/>
      <w:marLeft w:val="0"/>
      <w:marRight w:val="0"/>
      <w:marTop w:val="0"/>
      <w:marBottom w:val="0"/>
      <w:divBdr>
        <w:top w:val="none" w:sz="0" w:space="0" w:color="auto"/>
        <w:left w:val="none" w:sz="0" w:space="0" w:color="auto"/>
        <w:bottom w:val="none" w:sz="0" w:space="0" w:color="auto"/>
        <w:right w:val="none" w:sz="0" w:space="0" w:color="auto"/>
      </w:divBdr>
    </w:div>
    <w:div w:id="508718649">
      <w:bodyDiv w:val="1"/>
      <w:marLeft w:val="0"/>
      <w:marRight w:val="0"/>
      <w:marTop w:val="0"/>
      <w:marBottom w:val="0"/>
      <w:divBdr>
        <w:top w:val="none" w:sz="0" w:space="0" w:color="auto"/>
        <w:left w:val="none" w:sz="0" w:space="0" w:color="auto"/>
        <w:bottom w:val="none" w:sz="0" w:space="0" w:color="auto"/>
        <w:right w:val="none" w:sz="0" w:space="0" w:color="auto"/>
      </w:divBdr>
    </w:div>
    <w:div w:id="827135562">
      <w:bodyDiv w:val="1"/>
      <w:marLeft w:val="0"/>
      <w:marRight w:val="0"/>
      <w:marTop w:val="0"/>
      <w:marBottom w:val="0"/>
      <w:divBdr>
        <w:top w:val="none" w:sz="0" w:space="0" w:color="auto"/>
        <w:left w:val="none" w:sz="0" w:space="0" w:color="auto"/>
        <w:bottom w:val="none" w:sz="0" w:space="0" w:color="auto"/>
        <w:right w:val="none" w:sz="0" w:space="0" w:color="auto"/>
      </w:divBdr>
    </w:div>
    <w:div w:id="1170024060">
      <w:bodyDiv w:val="1"/>
      <w:marLeft w:val="0"/>
      <w:marRight w:val="0"/>
      <w:marTop w:val="0"/>
      <w:marBottom w:val="0"/>
      <w:divBdr>
        <w:top w:val="none" w:sz="0" w:space="0" w:color="auto"/>
        <w:left w:val="none" w:sz="0" w:space="0" w:color="auto"/>
        <w:bottom w:val="none" w:sz="0" w:space="0" w:color="auto"/>
        <w:right w:val="none" w:sz="0" w:space="0" w:color="auto"/>
      </w:divBdr>
    </w:div>
    <w:div w:id="1918635565">
      <w:bodyDiv w:val="1"/>
      <w:marLeft w:val="0"/>
      <w:marRight w:val="0"/>
      <w:marTop w:val="0"/>
      <w:marBottom w:val="0"/>
      <w:divBdr>
        <w:top w:val="none" w:sz="0" w:space="0" w:color="auto"/>
        <w:left w:val="none" w:sz="0" w:space="0" w:color="auto"/>
        <w:bottom w:val="none" w:sz="0" w:space="0" w:color="auto"/>
        <w:right w:val="none" w:sz="0" w:space="0" w:color="auto"/>
      </w:divBdr>
    </w:div>
    <w:div w:id="20122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se.core-evidence.eu/stud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se.core-evidence.eu/pub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R/TXT/?uri=CELEX%3A52023PC0424" TargetMode="External"/><Relationship Id="rId13" Type="http://schemas.openxmlformats.org/officeDocument/2006/relationships/hyperlink" Target="https://op.europa.eu/fr/publication-detail/-/publication/0bbf001c-f041-11ec-a534-01aa75ed71a1" TargetMode="External"/><Relationship Id="rId3" Type="http://schemas.openxmlformats.org/officeDocument/2006/relationships/hyperlink" Target="https://education.ec.europa.eu/fr/focus-topics/digital-education/action-plan" TargetMode="External"/><Relationship Id="rId7" Type="http://schemas.openxmlformats.org/officeDocument/2006/relationships/hyperlink" Target="https://eur-lex.europa.eu/legal-content/FR/TXT/?uri=CELEX%3A52022PC0105" TargetMode="External"/><Relationship Id="rId12" Type="http://schemas.openxmlformats.org/officeDocument/2006/relationships/hyperlink" Target="https://eur-lex.europa.eu/FR/legal-content/summary/eu-strategy-on-the-rights-of-the-child-and-the-european-child-guarantee.html" TargetMode="External"/><Relationship Id="rId2" Type="http://schemas.openxmlformats.org/officeDocument/2006/relationships/hyperlink" Target="https://education.ec.europa.eu/fr/focus-topics/digital-education/action-plan" TargetMode="External"/><Relationship Id="rId1" Type="http://schemas.openxmlformats.org/officeDocument/2006/relationships/hyperlink" Target="https://www.betterinternetforkids.eu/home" TargetMode="External"/><Relationship Id="rId6" Type="http://schemas.openxmlformats.org/officeDocument/2006/relationships/hyperlink" Target="https://op.europa.eu/fr/publication-detail/-/publication/a224c235-4843-11ed-92ed-01aa75ed71a1/language-fr" TargetMode="External"/><Relationship Id="rId11" Type="http://schemas.openxmlformats.org/officeDocument/2006/relationships/hyperlink" Target="https://www.bikyouth.eu/" TargetMode="External"/><Relationship Id="rId5" Type="http://schemas.openxmlformats.org/officeDocument/2006/relationships/hyperlink" Target="https://eur-lex.europa.eu/legal-content/FR/TXT/?uri=CELEX%3A52023DC0206" TargetMode="External"/><Relationship Id="rId10" Type="http://schemas.openxmlformats.org/officeDocument/2006/relationships/hyperlink" Target="https://eur-lex.europa.eu/legal-content/FR/TXT/?uri=CELEX%3A52023DC0298&amp;qid=1699959096684" TargetMode="External"/><Relationship Id="rId4" Type="http://schemas.openxmlformats.org/officeDocument/2006/relationships/hyperlink" Target="https://eur-lex.europa.eu/legal-content/FR/TXT/?uri=CELEX%3A52023DC0205R%2801%29" TargetMode="External"/><Relationship Id="rId9" Type="http://schemas.openxmlformats.org/officeDocument/2006/relationships/hyperlink" Target="https://core-evidenc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2c8cdf-f217-4668-b399-29698049ae3c" xsi:nil="true"/>
    <Read xmlns="26349085-4abb-4ce3-96c9-f14665167c5b">false</Read>
    <lcf76f155ced4ddcb4097134ff3c332f xmlns="26349085-4abb-4ce3-96c9-f14665167c5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A9062EACDD346A205950B04F12AAC" ma:contentTypeVersion="12" ma:contentTypeDescription="Create a new document." ma:contentTypeScope="" ma:versionID="bcac472935465d52a8d9e27b4c8d4cee">
  <xsd:schema xmlns:xsd="http://www.w3.org/2001/XMLSchema" xmlns:xs="http://www.w3.org/2001/XMLSchema" xmlns:p="http://schemas.microsoft.com/office/2006/metadata/properties" xmlns:ns2="26349085-4abb-4ce3-96c9-f14665167c5b" xmlns:ns3="e82c8cdf-f217-4668-b399-29698049ae3c" targetNamespace="http://schemas.microsoft.com/office/2006/metadata/properties" ma:root="true" ma:fieldsID="840e92b254e9772803eb585a1741613e" ns2:_="" ns3:_="">
    <xsd:import namespace="26349085-4abb-4ce3-96c9-f14665167c5b"/>
    <xsd:import namespace="e82c8cdf-f217-4668-b399-29698049ae3c"/>
    <xsd:element name="properties">
      <xsd:complexType>
        <xsd:sequence>
          <xsd:element name="documentManagement">
            <xsd:complexType>
              <xsd:all>
                <xsd:element ref="ns2:Read"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9085-4abb-4ce3-96c9-f14665167c5b" elementFormDefault="qualified">
    <xsd:import namespace="http://schemas.microsoft.com/office/2006/documentManagement/types"/>
    <xsd:import namespace="http://schemas.microsoft.com/office/infopath/2007/PartnerControls"/>
    <xsd:element name="Read" ma:index="8" nillable="true" ma:displayName="Read" ma:default="0" ma:format="Dropdown" ma:internalName="Read">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c8cdf-f217-4668-b399-29698049ae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ba7bcf-6dd1-4428-8f26-09fd7e5b0291}" ma:internalName="TaxCatchAll" ma:showField="CatchAllData" ma:web="e82c8cdf-f217-4668-b399-29698049ae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A0EA-0B16-46CB-8F76-22A2AC6AA2F9}">
  <ds:schemaRefs>
    <ds:schemaRef ds:uri="http://schemas.microsoft.com/sharepoint/v3/contenttype/forms"/>
  </ds:schemaRefs>
</ds:datastoreItem>
</file>

<file path=customXml/itemProps2.xml><?xml version="1.0" encoding="utf-8"?>
<ds:datastoreItem xmlns:ds="http://schemas.openxmlformats.org/officeDocument/2006/customXml" ds:itemID="{209639C0-D191-4163-97A2-F933E1CAFDE5}">
  <ds:schemaRefs>
    <ds:schemaRef ds:uri="http://schemas.microsoft.com/office/2006/metadata/properties"/>
    <ds:schemaRef ds:uri="http://schemas.microsoft.com/office/infopath/2007/PartnerControls"/>
    <ds:schemaRef ds:uri="e82c8cdf-f217-4668-b399-29698049ae3c"/>
    <ds:schemaRef ds:uri="26349085-4abb-4ce3-96c9-f14665167c5b"/>
  </ds:schemaRefs>
</ds:datastoreItem>
</file>

<file path=customXml/itemProps3.xml><?xml version="1.0" encoding="utf-8"?>
<ds:datastoreItem xmlns:ds="http://schemas.openxmlformats.org/officeDocument/2006/customXml" ds:itemID="{2E6F2E5D-1A24-4CE1-87AA-0DFC15256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9085-4abb-4ce3-96c9-f14665167c5b"/>
    <ds:schemaRef ds:uri="e82c8cdf-f217-4668-b399-29698049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FF757-D30C-487B-8CD7-A60FAF1A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8565</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Phillip (MOVE)</dc:creator>
  <cp:keywords/>
  <dc:description/>
  <cp:lastModifiedBy>DELBAER Gerda (SG)</cp:lastModifiedBy>
  <cp:revision>2</cp:revision>
  <dcterms:created xsi:type="dcterms:W3CDTF">2024-02-16T08:35:00Z</dcterms:created>
  <dcterms:modified xsi:type="dcterms:W3CDTF">2024-02-16T08:35:00Z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2023-05-30T15:52:53Z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2886c901-0409-423b-bb51-3c8d676fb7ee</vt:lpwstr>
  </property>
  <property fmtid="{D5CDD505-2E9C-101B-9397-08002B2CF9AE}" pid="8" name="MSIP_Label_6bd9ddd1-4d20-43f6-abfa-fc3c07406f94_ContentBits">
    <vt:lpwstr>0</vt:lpwstr>
  </property>
  <property fmtid="{D5CDD505-2E9C-101B-9397-08002B2CF9AE}" pid="9" name="_NewReviewCycle">
    <vt:lpwstr/>
  </property>
  <property fmtid="{D5CDD505-2E9C-101B-9397-08002B2CF9AE}" pid="10" name="ContentTypeId">
    <vt:lpwstr>0x010100558A9062EACDD346A205950B04F12AAC</vt:lpwstr>
  </property>
  <property fmtid="{D5CDD505-2E9C-101B-9397-08002B2CF9AE}" pid="11" name="MediaServiceImageTags">
    <vt:lpwstr/>
  </property>
</Properties>
</file>