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45927" w14:textId="77777777" w:rsidR="0075111B" w:rsidRPr="00A65AEB" w:rsidRDefault="0075111B" w:rsidP="0075111B">
      <w:pPr>
        <w:pStyle w:val="BodyText"/>
        <w:spacing w:after="600"/>
        <w:rPr>
          <w:b w:val="0"/>
          <w:bCs/>
        </w:rPr>
      </w:pPr>
      <w:bookmarkStart w:id="0" w:name="Kosovo"/>
      <w:r>
        <w:t>Résolution non législative du Parlement européen sur l’évolution récente du dialogue entre la Serbie et le Kosovo, notamment la situation des municipalités du nord du Kosovo.</w:t>
      </w:r>
    </w:p>
    <w:bookmarkEnd w:id="0"/>
    <w:p w14:paraId="576D1E4F" w14:textId="77777777" w:rsidR="0075111B" w:rsidRPr="0075111B" w:rsidRDefault="0075111B" w:rsidP="0075111B">
      <w:pPr>
        <w:numPr>
          <w:ilvl w:val="0"/>
          <w:numId w:val="4"/>
        </w:numPr>
        <w:ind w:left="567" w:hanging="567"/>
        <w:rPr>
          <w:rFonts w:ascii="Times New Roman" w:hAnsi="Times New Roman"/>
          <w:b/>
          <w:bCs/>
        </w:rPr>
      </w:pPr>
      <w:r>
        <w:rPr>
          <w:rFonts w:ascii="Times New Roman" w:hAnsi="Times New Roman"/>
          <w:b/>
        </w:rPr>
        <w:t xml:space="preserve">Résolution présentée conformément à l’article 132, paragraphes 2 et 4, du règlement intérieur du Parlement européen </w:t>
      </w:r>
    </w:p>
    <w:p w14:paraId="1030A155" w14:textId="77777777" w:rsidR="0075111B" w:rsidRPr="0075111B" w:rsidRDefault="0075111B" w:rsidP="0075111B">
      <w:pPr>
        <w:numPr>
          <w:ilvl w:val="0"/>
          <w:numId w:val="4"/>
        </w:numPr>
        <w:ind w:left="567" w:hanging="567"/>
        <w:rPr>
          <w:rFonts w:ascii="Times New Roman" w:hAnsi="Times New Roman"/>
          <w:i/>
          <w:szCs w:val="24"/>
        </w:rPr>
      </w:pPr>
      <w:r>
        <w:rPr>
          <w:rFonts w:ascii="Times New Roman" w:hAnsi="Times New Roman"/>
          <w:b/>
        </w:rPr>
        <w:t xml:space="preserve">Numéros de référence: </w:t>
      </w:r>
      <w:r>
        <w:rPr>
          <w:rFonts w:ascii="Times New Roman" w:hAnsi="Times New Roman"/>
        </w:rPr>
        <w:t>2023/2880 (RSP) / B9-0437/2023 / P9_TA(2023)0372</w:t>
      </w:r>
    </w:p>
    <w:p w14:paraId="34A9EB2F" w14:textId="77777777" w:rsidR="0075111B" w:rsidRPr="0075111B" w:rsidRDefault="0075111B" w:rsidP="0075111B">
      <w:pPr>
        <w:numPr>
          <w:ilvl w:val="0"/>
          <w:numId w:val="4"/>
        </w:numPr>
        <w:ind w:left="567" w:hanging="567"/>
        <w:rPr>
          <w:rFonts w:ascii="Times New Roman" w:hAnsi="Times New Roman"/>
          <w:bCs/>
          <w:szCs w:val="24"/>
        </w:rPr>
      </w:pPr>
      <w:r>
        <w:rPr>
          <w:rFonts w:ascii="Times New Roman" w:hAnsi="Times New Roman"/>
          <w:b/>
        </w:rPr>
        <w:t xml:space="preserve">Date d’adoption de la résolution: </w:t>
      </w:r>
      <w:r>
        <w:rPr>
          <w:rFonts w:ascii="Times New Roman" w:hAnsi="Times New Roman"/>
        </w:rPr>
        <w:t>19 octobre 2023</w:t>
      </w:r>
    </w:p>
    <w:p w14:paraId="75B0317A" w14:textId="77777777" w:rsidR="0075111B" w:rsidRPr="0075111B" w:rsidRDefault="0075111B" w:rsidP="0075111B">
      <w:pPr>
        <w:numPr>
          <w:ilvl w:val="0"/>
          <w:numId w:val="4"/>
        </w:numPr>
        <w:ind w:left="567" w:hanging="567"/>
        <w:rPr>
          <w:rFonts w:ascii="Times New Roman" w:hAnsi="Times New Roman"/>
          <w:i/>
          <w:iCs/>
        </w:rPr>
      </w:pPr>
      <w:r>
        <w:rPr>
          <w:rFonts w:ascii="Times New Roman" w:hAnsi="Times New Roman"/>
          <w:b/>
        </w:rPr>
        <w:t xml:space="preserve">Commission parlementaire compétente: </w:t>
      </w:r>
      <w:r>
        <w:rPr>
          <w:rFonts w:ascii="Times New Roman" w:hAnsi="Times New Roman"/>
        </w:rPr>
        <w:t>commission des affaires étrangères (AFET)</w:t>
      </w:r>
    </w:p>
    <w:p w14:paraId="0367197F" w14:textId="77777777" w:rsidR="0075111B" w:rsidRDefault="0075111B" w:rsidP="0075111B">
      <w:pPr>
        <w:widowControl w:val="0"/>
        <w:numPr>
          <w:ilvl w:val="0"/>
          <w:numId w:val="4"/>
        </w:numPr>
        <w:ind w:left="567" w:hanging="567"/>
        <w:rPr>
          <w:rFonts w:ascii="Times New Roman" w:hAnsi="Times New Roman"/>
        </w:rPr>
      </w:pPr>
      <w:r>
        <w:rPr>
          <w:rFonts w:ascii="Times New Roman" w:hAnsi="Times New Roman"/>
          <w:b/>
        </w:rPr>
        <w:t>Analyse/évaluation succincte de la résolution et des demandes qu’elle contient:</w:t>
      </w:r>
      <w:r>
        <w:rPr>
          <w:rFonts w:ascii="Times New Roman" w:hAnsi="Times New Roman"/>
        </w:rPr>
        <w:t xml:space="preserve"> </w:t>
      </w:r>
    </w:p>
    <w:p w14:paraId="2549E080" w14:textId="77777777" w:rsidR="0075111B" w:rsidRDefault="0075111B" w:rsidP="0075111B">
      <w:pPr>
        <w:widowControl w:val="0"/>
        <w:spacing w:after="120"/>
        <w:rPr>
          <w:rFonts w:ascii="Times New Roman" w:hAnsi="Times New Roman"/>
        </w:rPr>
      </w:pPr>
      <w:r>
        <w:rPr>
          <w:rFonts w:ascii="Times New Roman" w:hAnsi="Times New Roman"/>
        </w:rPr>
        <w:t>La résolution résume l’évolution de la situation au cours de l’année écoulée concernant les relations entre le Kosovo et la Serbie, le dialogue facilité par l’UE, l’évolution de la situation sur le terrain, y compris dans le nord du Kosovo, ainsi que la réaction de l’UE.</w:t>
      </w:r>
    </w:p>
    <w:p w14:paraId="1E364D4B" w14:textId="77777777" w:rsidR="0075111B" w:rsidRDefault="0075111B" w:rsidP="0075111B">
      <w:pPr>
        <w:widowControl w:val="0"/>
        <w:spacing w:after="120"/>
        <w:rPr>
          <w:rFonts w:ascii="Times New Roman" w:hAnsi="Times New Roman"/>
        </w:rPr>
      </w:pPr>
      <w:r>
        <w:rPr>
          <w:rFonts w:ascii="Times New Roman" w:hAnsi="Times New Roman"/>
        </w:rPr>
        <w:t>La résolution, entre autres, prie instamment toutes les parties à s’employer à apaiser la situation, à reprendre le dialogue facilité par l’UE et à mettre en œuvre les obligations découlant de l’accord sur la voie de la normalisation des relations. Plusieurs demandes sont adressées aux parties concernées, notamment au Kosovo, à la Serbie, à l’UE, à certaines institutions de l’UE et à certains États membres.</w:t>
      </w:r>
    </w:p>
    <w:p w14:paraId="243FF1F7" w14:textId="77777777" w:rsidR="0075111B" w:rsidRDefault="0075111B" w:rsidP="0075111B">
      <w:pPr>
        <w:widowControl w:val="0"/>
        <w:spacing w:after="120"/>
        <w:rPr>
          <w:rFonts w:ascii="Times New Roman" w:hAnsi="Times New Roman"/>
        </w:rPr>
      </w:pPr>
      <w:r>
        <w:rPr>
          <w:rFonts w:ascii="Times New Roman" w:hAnsi="Times New Roman"/>
        </w:rPr>
        <w:t>Divers appels sont adressés à la Commission: prendre des mesures à l’encontre du gouvernement serbe en fonction des résultats des enquêtes sur les attaques récentes, y compris dans le cadre de l’instrument d’aide de préadhésion (IAP III); maximiser les efforts pour assurer la mise en œuvre effective de l’accord sur la voie de la normalisation et de son annexe; reprendre les contacts de haut niveau avec le président et le gouvernement du Kosovo; élaborer et présenter une feuille de route sur la voie de l’intégration du Kosovo; agir tel un intermédiaire honnête dans le processus de normalisation et «s’abstenir de toute politique d’apaisement à l’égard de la Serbie»;</w:t>
      </w:r>
    </w:p>
    <w:p w14:paraId="443261A7" w14:textId="77777777" w:rsidR="0075111B" w:rsidRPr="003863C3" w:rsidRDefault="0075111B" w:rsidP="0075111B">
      <w:pPr>
        <w:widowControl w:val="0"/>
        <w:numPr>
          <w:ilvl w:val="0"/>
          <w:numId w:val="4"/>
        </w:numPr>
        <w:ind w:left="567" w:hanging="567"/>
        <w:rPr>
          <w:rFonts w:ascii="Times New Roman" w:hAnsi="Times New Roman"/>
          <w:b/>
          <w:i/>
        </w:rPr>
      </w:pPr>
      <w:r>
        <w:rPr>
          <w:rFonts w:ascii="Times New Roman" w:hAnsi="Times New Roman"/>
          <w:b/>
        </w:rPr>
        <w:t>Réponse à ces demandes et aperçu des mesures que la Commission a prises ou envisage de prendre:</w:t>
      </w:r>
      <w:r>
        <w:rPr>
          <w:rFonts w:ascii="Times New Roman" w:hAnsi="Times New Roman"/>
        </w:rPr>
        <w:t xml:space="preserve"> </w:t>
      </w:r>
    </w:p>
    <w:p w14:paraId="5BD92419" w14:textId="77777777" w:rsidR="0075111B" w:rsidRPr="00C13ADE" w:rsidRDefault="0075111B" w:rsidP="0075111B">
      <w:pPr>
        <w:widowControl w:val="0"/>
        <w:spacing w:after="120"/>
        <w:rPr>
          <w:rFonts w:ascii="Times New Roman" w:hAnsi="Times New Roman"/>
          <w:b/>
          <w:i/>
          <w:szCs w:val="24"/>
        </w:rPr>
      </w:pPr>
      <w:r>
        <w:rPr>
          <w:rFonts w:ascii="Times New Roman" w:hAnsi="Times New Roman"/>
          <w:b/>
          <w:bCs/>
        </w:rPr>
        <w:t>Concernant le paragraphe 2</w:t>
      </w:r>
      <w:r>
        <w:rPr>
          <w:rFonts w:ascii="Times New Roman" w:hAnsi="Times New Roman"/>
        </w:rPr>
        <w:t>, la mission «État de droit» menée par l’Union européenne (EULEX), conformément à son mandat, assure la coordination avec les autorités kosovares et la Force pour le Kosovo (KFOR) en ce qui concerne l’attaque violente qui s’est déroulée à Banjska.</w:t>
      </w:r>
    </w:p>
    <w:p w14:paraId="344ACA85" w14:textId="77777777" w:rsidR="0075111B" w:rsidRPr="002745F8" w:rsidRDefault="0075111B" w:rsidP="0075111B">
      <w:pPr>
        <w:widowControl w:val="0"/>
        <w:spacing w:after="120"/>
        <w:rPr>
          <w:rFonts w:ascii="Times New Roman" w:hAnsi="Times New Roman"/>
          <w:b/>
          <w:i/>
          <w:szCs w:val="24"/>
        </w:rPr>
      </w:pPr>
      <w:r>
        <w:rPr>
          <w:rFonts w:ascii="Times New Roman" w:hAnsi="Times New Roman"/>
          <w:b/>
        </w:rPr>
        <w:t>Concernant le paragraphe 3</w:t>
      </w:r>
      <w:r>
        <w:rPr>
          <w:rFonts w:ascii="Times New Roman" w:hAnsi="Times New Roman"/>
        </w:rPr>
        <w:t>, le haut représentant de l’Union pour les affaires étrangères et la politique de sécurité, Josep Borrell,</w:t>
      </w:r>
      <w:r>
        <w:t xml:space="preserve"> </w:t>
      </w:r>
      <w:r>
        <w:rPr>
          <w:rFonts w:ascii="Times New Roman" w:hAnsi="Times New Roman"/>
        </w:rPr>
        <w:t>a appelé publiquement la Serbie à mettre immédiatement un terme au renforcement de la présence militaire à la ligne de démarcation administrative après l’attaque de Banjska/Banjskë.</w:t>
      </w:r>
    </w:p>
    <w:p w14:paraId="34481853" w14:textId="77777777" w:rsidR="0075111B" w:rsidRDefault="0075111B" w:rsidP="0075111B">
      <w:pPr>
        <w:widowControl w:val="0"/>
        <w:spacing w:after="120"/>
        <w:rPr>
          <w:rFonts w:ascii="Times New Roman" w:hAnsi="Times New Roman"/>
        </w:rPr>
      </w:pPr>
      <w:r>
        <w:rPr>
          <w:rFonts w:ascii="Times New Roman" w:hAnsi="Times New Roman"/>
          <w:b/>
          <w:bCs/>
        </w:rPr>
        <w:t>Concernant le paragraphe 4</w:t>
      </w:r>
      <w:r>
        <w:rPr>
          <w:rFonts w:ascii="Times New Roman" w:hAnsi="Times New Roman"/>
        </w:rPr>
        <w:t>, le haut représentant Borrell et la Commission ont condamné avec la plus grande fermeté l’attaque violente perpétrée dans le nord du Kosovo contre la police kosovare le 24 septembre 2023.</w:t>
      </w:r>
      <w:r>
        <w:rPr>
          <w:rFonts w:ascii="Times New Roman" w:hAnsi="Times New Roman"/>
          <w:color w:val="000000" w:themeColor="text1"/>
        </w:rPr>
        <w:t xml:space="preserve"> Dans ses conclusions d’octobre 2023, le Conseil européen a également réitéré cette condamnation. </w:t>
      </w:r>
      <w:r>
        <w:rPr>
          <w:rFonts w:ascii="Times New Roman" w:hAnsi="Times New Roman"/>
        </w:rPr>
        <w:t>Le haut représentant Borrel a été en contact avec le Premier ministre Kurti et le président Vučić le jour de l’attaque armée de Banjska/Banjskë et a appelé à traduire les auteurs en justice et prié tous les acteurs de s’employer à apaiser la situation dans le nord du Kosovo.</w:t>
      </w:r>
      <w:r>
        <w:rPr>
          <w:rFonts w:ascii="TimesNewRomanPSMT" w:hAnsi="TimesNewRomanPSMT"/>
        </w:rPr>
        <w:t xml:space="preserve"> Ces messages ont été réitérés dans sa déclaration publique du 24 septembre. </w:t>
      </w:r>
      <w:r>
        <w:rPr>
          <w:rFonts w:ascii="Times New Roman" w:hAnsi="Times New Roman"/>
          <w:color w:val="000000" w:themeColor="text1"/>
        </w:rPr>
        <w:t xml:space="preserve">La Commission et le haut représentant </w:t>
      </w:r>
      <w:r>
        <w:rPr>
          <w:rFonts w:ascii="Times New Roman" w:hAnsi="Times New Roman"/>
          <w:color w:val="000000" w:themeColor="text1"/>
        </w:rPr>
        <w:lastRenderedPageBreak/>
        <w:t>Borrell attendent de la Serbie qu’elle coopère pleinement dans le cadre des enquêtes menées sur l’attaque violente perpétrée le 24 septembre 2023 contre la police du Kosovo et sur les attaques du 29 mai contre la KFOR. Comme la Commission l’a souligné à plusieurs reprises, notamment dans son rapport 2023 sur la Serbie, les auteurs de ces attaques doivent être appréhendés et traduits rapidement en justice, et la Serbie doit coopérer pleinement et prendre toutes les mesures nécessaires à cet égard.</w:t>
      </w:r>
      <w:r>
        <w:rPr>
          <w:rFonts w:ascii="Times New Roman" w:hAnsi="Times New Roman"/>
        </w:rPr>
        <w:t xml:space="preserve"> La Commission attend les résultats de l’enquête sur l’attaque. Les prochaines étapes seront ensuite envisagées en consultation avec le haut représentant, en tant que facilitateur du dialogue, et les États membres de l’UE.</w:t>
      </w:r>
    </w:p>
    <w:p w14:paraId="4CD9F0FB" w14:textId="77777777" w:rsidR="0075111B" w:rsidRPr="006B41FD" w:rsidRDefault="0075111B" w:rsidP="0075111B">
      <w:pPr>
        <w:widowControl w:val="0"/>
        <w:spacing w:after="120"/>
        <w:rPr>
          <w:rFonts w:ascii="Times New Roman" w:hAnsi="Times New Roman"/>
        </w:rPr>
      </w:pPr>
      <w:r>
        <w:rPr>
          <w:rFonts w:ascii="Times New Roman" w:hAnsi="Times New Roman"/>
          <w:b/>
          <w:bCs/>
        </w:rPr>
        <w:t>Concernant le paragraphe 8</w:t>
      </w:r>
      <w:r>
        <w:rPr>
          <w:rFonts w:ascii="Times New Roman" w:hAnsi="Times New Roman"/>
        </w:rPr>
        <w:t xml:space="preserve">, compte tenu notamment des événements qui se sont déroulés à Banjska/Banjskë le 24 septembre 2023, le Service européen pour l’action extérieure (SEAE), en étroite coopération avec EULEX, a lancé une évaluation en vue d’un éventuel réajustement de l’allocation actuelle des ressources de la mission, afin de garantir qu’EULEX Kosovo soit à tout moment apte à remplir sa mission. </w:t>
      </w:r>
      <w:r>
        <w:rPr>
          <w:rFonts w:ascii="Times New Roman" w:hAnsi="Times New Roman"/>
          <w:b/>
          <w:bCs/>
        </w:rPr>
        <w:t>Concernant le paragraphe 10</w:t>
      </w:r>
      <w:r>
        <w:rPr>
          <w:rFonts w:ascii="Times New Roman" w:hAnsi="Times New Roman"/>
        </w:rPr>
        <w:t>, la coopération et la coordination entre EULEX et la KFOR sont bien établies et comprennent des évaluations conjointes régulières de la sécurité concernant la situation dans le nord du Kosovo. Le vaste réseau local d’EULEX ainsi que ses capacités dans le domaine du renseignement criminel lui permettent de contribuer de manière substantielle à ces évaluations.</w:t>
      </w:r>
    </w:p>
    <w:p w14:paraId="5FFEBC4D" w14:textId="77777777" w:rsidR="0075111B" w:rsidRDefault="0075111B" w:rsidP="0075111B">
      <w:pPr>
        <w:widowControl w:val="0"/>
        <w:spacing w:after="120"/>
        <w:rPr>
          <w:rFonts w:ascii="Times New Roman" w:hAnsi="Times New Roman"/>
        </w:rPr>
      </w:pPr>
      <w:r>
        <w:rPr>
          <w:rFonts w:ascii="Times New Roman" w:hAnsi="Times New Roman"/>
          <w:b/>
          <w:bCs/>
        </w:rPr>
        <w:t>Concernant le paragraphe 15</w:t>
      </w:r>
      <w:r>
        <w:rPr>
          <w:rFonts w:ascii="Times New Roman" w:hAnsi="Times New Roman"/>
        </w:rPr>
        <w:t>, le haut représentant, soutenu par le représentant spécial de l’Union européenne (RSUE) pour le dialogue entre Belgrade et Pristina et les autres questions régionales relatives aux Balkans occidentaux, Miroslav Lajčák, facilite le dialogue de manière proactive. Par exemple, le facilitateur de l’UE a organisé de multiples réunions de dialogue au niveau des négociateurs en chef et joue en permanence un rôle de navette diplomatique entre Belgrade et Pristina. En outre, M. Lajčák, représentant spécial de l’Union européenne, a régulièrement informé le Parlement, en particulier sa commission des affaires étrangères, des progrès réalisés dans le cadre du dialogue facilité par l’Union, la dernière mise à jour ayant été présentée le 28 novembre 2023.</w:t>
      </w:r>
    </w:p>
    <w:p w14:paraId="4A8ABE1F" w14:textId="78E398EE" w:rsidR="0075111B" w:rsidRDefault="0075111B" w:rsidP="0075111B">
      <w:pPr>
        <w:widowControl w:val="0"/>
        <w:spacing w:after="120"/>
        <w:rPr>
          <w:rFonts w:ascii="Times New Roman" w:hAnsi="Times New Roman"/>
          <w:szCs w:val="24"/>
        </w:rPr>
      </w:pPr>
      <w:r>
        <w:rPr>
          <w:rFonts w:ascii="Times New Roman" w:hAnsi="Times New Roman"/>
          <w:b/>
          <w:bCs/>
        </w:rPr>
        <w:t>Concernant le paragraphe 16</w:t>
      </w:r>
      <w:r>
        <w:rPr>
          <w:rFonts w:ascii="Times New Roman" w:hAnsi="Times New Roman"/>
        </w:rPr>
        <w:t xml:space="preserve">, la Commission soutient pleinement le dialogue facilité par l’UE et les efforts déployés par le haut représentant Borrell et le RSUE Lajčák. La Commission s’est félicitée de l’accord sur la voie de la normalisation auquel les parties sont parvenues précédemment, lequel marque une étape très importante dans le processus de normalisation des relations entre le Kosovo et la Serbie. La Commission soutiendra la mise en œuvre de l’accord et de son annexe relative à sa mise en </w:t>
      </w:r>
      <w:r w:rsidR="00F25B3D">
        <w:rPr>
          <w:rFonts w:ascii="Times New Roman" w:hAnsi="Times New Roman"/>
        </w:rPr>
        <w:t>œuvre</w:t>
      </w:r>
      <w:r>
        <w:rPr>
          <w:rFonts w:ascii="Times New Roman" w:hAnsi="Times New Roman"/>
        </w:rPr>
        <w:t>. La Commission rappelle que l’accord est contraignant et que sa mise en œuvre est une condition essentielle pour que les deux parties avancent sur leur trajectoire européenne. Comme souligné dans la communication de la Commission de 2023 sur la politique d’élargissement de l’Union européenne</w:t>
      </w:r>
      <w:r w:rsidRPr="082C9E9D">
        <w:rPr>
          <w:rStyle w:val="FootnoteReference"/>
          <w:rFonts w:ascii="Times New Roman" w:hAnsi="Times New Roman"/>
        </w:rPr>
        <w:footnoteReference w:id="2"/>
      </w:r>
      <w:r>
        <w:rPr>
          <w:rFonts w:ascii="Times New Roman" w:hAnsi="Times New Roman"/>
        </w:rPr>
        <w:t>, le Kosovo et la Serbie sont tous deux invités à s’atteler de manière plus constructive à la mise en œuvre de l’accord sur la voie de la normalisation et de son annexe relative à sa mise en œuvre, ainsi que des autres accords également conclus dans le cadre du dialogue facilité par l’UE, et ce, sans plus tarder ni poser de conditions préalables. Cela inclut la création de l’association/communauté des municipalités à majorité serbe. La normalisation des relations est une condition essentielle pour que les deux parties avancent sur leur trajectoire européenne. En l’absence de progrès, toutes deux risquent de passer à côté d’importantes opportunités.</w:t>
      </w:r>
    </w:p>
    <w:p w14:paraId="47AC9788" w14:textId="77777777" w:rsidR="0075111B" w:rsidRDefault="0075111B" w:rsidP="0075111B">
      <w:pPr>
        <w:widowControl w:val="0"/>
        <w:spacing w:after="120"/>
        <w:rPr>
          <w:rFonts w:ascii="Times New Roman" w:hAnsi="Times New Roman"/>
        </w:rPr>
      </w:pPr>
      <w:r>
        <w:rPr>
          <w:rFonts w:ascii="Times New Roman" w:hAnsi="Times New Roman"/>
        </w:rPr>
        <w:t>Dans sa communication sur le nouveau plan de croissance pour les Balkans occidentaux</w:t>
      </w:r>
      <w:r w:rsidRPr="082C9E9D">
        <w:rPr>
          <w:rStyle w:val="FootnoteReference"/>
          <w:rFonts w:ascii="Times New Roman" w:hAnsi="Times New Roman"/>
        </w:rPr>
        <w:footnoteReference w:id="3"/>
      </w:r>
      <w:r>
        <w:rPr>
          <w:rFonts w:ascii="Times New Roman" w:hAnsi="Times New Roman"/>
        </w:rPr>
        <w:t xml:space="preserve">, la Commission a en outre proposé que l’engagement constructif de la Serbie et du Kosovo en faveur de la normalisation de leurs relations en vue de mettre pleinement en œuvre toutes leurs obligations respectives découlant de l’accord sur la voie de la normalisation </w:t>
      </w:r>
      <w:r>
        <w:rPr>
          <w:rFonts w:ascii="Times New Roman" w:hAnsi="Times New Roman"/>
        </w:rPr>
        <w:lastRenderedPageBreak/>
        <w:t>ainsi que de son annexe relative à sa mise en œuvre et de tous les accords de dialogue passés, de même que de leur engagement dans les négociations sur l’accord global relatif à la normalisation des relations, soit une condition préalable au déblocage des fonds provenant de la proposition de facilité pour la croissance des Balkans occidentaux.</w:t>
      </w:r>
    </w:p>
    <w:p w14:paraId="433E284E" w14:textId="77777777" w:rsidR="0075111B" w:rsidRDefault="0075111B" w:rsidP="0075111B">
      <w:pPr>
        <w:widowControl w:val="0"/>
        <w:spacing w:after="120"/>
        <w:rPr>
          <w:rFonts w:ascii="Times New Roman" w:hAnsi="Times New Roman"/>
        </w:rPr>
      </w:pPr>
      <w:r>
        <w:rPr>
          <w:rFonts w:ascii="Times New Roman" w:hAnsi="Times New Roman"/>
          <w:b/>
          <w:bCs/>
        </w:rPr>
        <w:t>Concernant le paragraphe 21</w:t>
      </w:r>
      <w:r>
        <w:rPr>
          <w:rFonts w:ascii="Times New Roman" w:hAnsi="Times New Roman"/>
        </w:rPr>
        <w:t>, la suspension de tous les contacts de haut niveau, à l’exception des réunions de dialogue, avec la présidente et le gouvernement du Kosovo est l’une des mesures qui ont été introduites en juin 2023 à la suite de l’incapacité du Kosovo à apaiser les tensions dans le nord de son territoire le mois précédent, et conformément à la déclaration du haut représentant au nom de l’Union européenne du 3 juin. Les mesures sont temporaires et réversibles. Comme indiqué dans les conclusions du Conseil «Affaires générales» du 13 décembre 2023 sur la politique d’élargissement, l’UE se félicite que le Kosovo ait pris des mesures pour répondre à certaines de ses demandes et se tient prête à lever les mesures en cas de progrès supplémentaires dans la mise en œuvre des demandes de l’UE, sur la base d’un rapport du haut représentant sur le respect de ces demandes.</w:t>
      </w:r>
    </w:p>
    <w:p w14:paraId="429D0164" w14:textId="77777777" w:rsidR="0075111B" w:rsidRDefault="0075111B" w:rsidP="0075111B">
      <w:pPr>
        <w:widowControl w:val="0"/>
        <w:spacing w:after="120"/>
        <w:rPr>
          <w:rFonts w:ascii="Times New Roman" w:hAnsi="Times New Roman"/>
          <w:color w:val="000000" w:themeColor="text1"/>
          <w:szCs w:val="24"/>
        </w:rPr>
      </w:pPr>
      <w:r>
        <w:rPr>
          <w:rFonts w:ascii="Times New Roman" w:hAnsi="Times New Roman"/>
          <w:b/>
          <w:bCs/>
        </w:rPr>
        <w:t>Toujours dans le même paragraphe</w:t>
      </w:r>
      <w:r>
        <w:rPr>
          <w:rFonts w:ascii="Times New Roman" w:hAnsi="Times New Roman"/>
        </w:rPr>
        <w:t>, la trajectoire européenne du Kosovo repose sur l’accord de stabilisation et d’association UE-Kosovo (ASA) en vigueur depuis 2016. L’ASA ancre le dialogue politique et stratégique entre l’UE et le Kosovo, qui couvre tous les secteurs de l’économie et de la société, et offre des possibilités larges et variées, allant du développement économique et commercial à la lutte contre la corruption, en passant par le renforcement de l’état de droit et la lutte contre le changement climatique. Plus le Kosovo mettra en œuvre l’ASA, plus ses normes seront proches de celles des États membres de l’UE, ce qui offrira davantage de possibilités en matière de commerce et d’investissement.</w:t>
      </w:r>
    </w:p>
    <w:p w14:paraId="1C4B36FE" w14:textId="77777777" w:rsidR="0075111B" w:rsidRDefault="0075111B" w:rsidP="0075111B">
      <w:pPr>
        <w:widowControl w:val="0"/>
        <w:spacing w:after="120"/>
        <w:rPr>
          <w:rFonts w:ascii="Times New Roman" w:hAnsi="Times New Roman"/>
          <w:szCs w:val="24"/>
        </w:rPr>
      </w:pPr>
      <w:r>
        <w:rPr>
          <w:rFonts w:ascii="Times New Roman" w:hAnsi="Times New Roman"/>
          <w:b/>
          <w:bCs/>
        </w:rPr>
        <w:t>Concernant le paragraphe 23</w:t>
      </w:r>
      <w:r>
        <w:rPr>
          <w:rFonts w:ascii="Times New Roman" w:hAnsi="Times New Roman"/>
        </w:rPr>
        <w:t>, la Commission a clairement exposé ses attentes vis-à-vis de la Serbie en ce qui concerne le processus de normalisation, l’alignement sur la politique étrangère et de sécurité commune de l’UE, ainsi que d’autres fondamentaux du processus d’adhésion dans son paquet «élargissement» le plus récent et dans le rapport 2023 sur la Serbie</w:t>
      </w:r>
      <w:r w:rsidRPr="082C9E9D">
        <w:rPr>
          <w:rStyle w:val="FootnoteReference"/>
          <w:rFonts w:ascii="Times New Roman" w:hAnsi="Times New Roman"/>
          <w:szCs w:val="24"/>
        </w:rPr>
        <w:footnoteReference w:id="4"/>
      </w:r>
      <w:r>
        <w:rPr>
          <w:rFonts w:ascii="Times New Roman" w:hAnsi="Times New Roman"/>
        </w:rPr>
        <w:t>.</w:t>
      </w:r>
    </w:p>
    <w:p w14:paraId="0C8963B3" w14:textId="77777777" w:rsidR="0075111B" w:rsidRDefault="0075111B" w:rsidP="0075111B">
      <w:pPr>
        <w:widowControl w:val="0"/>
        <w:spacing w:after="120"/>
        <w:rPr>
          <w:rFonts w:ascii="Times New Roman" w:hAnsi="Times New Roman"/>
          <w:szCs w:val="24"/>
        </w:rPr>
      </w:pPr>
      <w:r>
        <w:rPr>
          <w:rFonts w:ascii="Times New Roman" w:hAnsi="Times New Roman"/>
        </w:rPr>
        <w:t>La Commission a clairement indiqué à la Serbie que les relations avec la Russie ne pouvaient être comme par le passé, en particulier à la lumière de la guerre d’agression non provoquée et injustifiée menée par la Russie contre l’Ukraine. Comme c’est également souligné dans son rapport 2023 sur la Serbie, la Commission attend de cette dernière qu’elle améliore, en priorité, son alignement sur la politique étrangère et de sécurité commune de l’UE, notamment en ce qui concerne les mesures restrictives et les déclarations à l’égard de la Russie, et s’abstienne de toute action ou déclaration allant à l’encontre des positions de l’UE sur la politique étrangère et d’autres questions stratégiques. La dernière évaluation de la Commission est que, conformément au cadre de négociation, des progrès bien plus importants auraient pu être accomplis dans les négociations d’adhésion avec la Serbie. Il convient de veiller en permanence à préserver un équilibre global entre, d’une part, les progrès accomplis dans les chapitres sur l’état de droit et la normalisation des relations avec le Kosovo, et, d’autre part, les progrès réalisés dans les négociations d’adhésion au regard des différents chapitres.</w:t>
      </w:r>
    </w:p>
    <w:p w14:paraId="5BCFA573" w14:textId="3FA03C30" w:rsidR="74410D0C" w:rsidRPr="0075111B" w:rsidRDefault="0075111B" w:rsidP="0075111B">
      <w:r>
        <w:rPr>
          <w:rFonts w:ascii="Times New Roman" w:hAnsi="Times New Roman"/>
        </w:rPr>
        <w:t xml:space="preserve">La Commission attend de la Serbie qu’elle démontre sans équivoque sa détermination à faire avancer le processus d’adhésion en accélérant ses travaux sur la mise en œuvre des réformes liées à l’adhésion à l’UE dans tous les domaines. En ce qui concerne l’état de droit, la Serbie devrait remédier aux lacunes, en particulier dans les domaines clés du système judiciaire, de la lutte contre la corruption et la criminalité organisée, de la liberté des médias et du traitement national des crimes de guerre. Elle doit également déployer des efforts crédibles pour mettre un terme à la désinformation et aux activités d’ingérence </w:t>
      </w:r>
      <w:r>
        <w:rPr>
          <w:rFonts w:ascii="Times New Roman" w:hAnsi="Times New Roman"/>
        </w:rPr>
        <w:lastRenderedPageBreak/>
        <w:t>et de manipulation de l’information menées depuis l’étranger, réduire la dépendance de son secteur de l’énergie à l’égard de la Russie, renforcer la coopération avec l’UE dans le domaine des migrations et assumer la responsabilité de communiquer de manière proactive et objective au sujet de l’UE. La Commission transmet ces attentes et messages aux autorités serbes à tous les niveaux et à toutes les occasions possibles.</w:t>
      </w:r>
    </w:p>
    <w:sectPr w:rsidR="74410D0C" w:rsidRPr="0075111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AB485" w14:textId="77777777" w:rsidR="009B2B36" w:rsidRDefault="009B2B36">
      <w:pPr>
        <w:spacing w:after="0"/>
      </w:pPr>
      <w:r>
        <w:separator/>
      </w:r>
    </w:p>
  </w:endnote>
  <w:endnote w:type="continuationSeparator" w:id="0">
    <w:p w14:paraId="3AD5274E" w14:textId="77777777" w:rsidR="009B2B36" w:rsidRDefault="009B2B36">
      <w:pPr>
        <w:spacing w:after="0"/>
      </w:pPr>
      <w:r>
        <w:continuationSeparator/>
      </w:r>
    </w:p>
  </w:endnote>
  <w:endnote w:type="continuationNotice" w:id="1">
    <w:p w14:paraId="40162BB8" w14:textId="77777777" w:rsidR="009B2B36" w:rsidRDefault="009B2B3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7171" w14:textId="77777777" w:rsidR="00FF5745" w:rsidRDefault="00B530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2192C568" w14:textId="77777777" w:rsidR="00FF5745" w:rsidRDefault="00FF5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D0F1" w14:textId="77777777" w:rsidR="00FF5745" w:rsidRDefault="00B530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5A7C9C72" w14:textId="77777777" w:rsidR="00FF5745" w:rsidRPr="008A6623" w:rsidRDefault="00FF5745">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E9AA" w14:textId="3F4A0A37" w:rsidR="00FF5745" w:rsidRPr="00056DCE" w:rsidRDefault="00FF5745" w:rsidP="00056D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A2FAC" w14:textId="77777777" w:rsidR="009B2B36" w:rsidRDefault="009B2B36">
      <w:pPr>
        <w:spacing w:after="0"/>
      </w:pPr>
      <w:r>
        <w:separator/>
      </w:r>
    </w:p>
  </w:footnote>
  <w:footnote w:type="continuationSeparator" w:id="0">
    <w:p w14:paraId="1C0D2C10" w14:textId="77777777" w:rsidR="009B2B36" w:rsidRDefault="009B2B36">
      <w:pPr>
        <w:spacing w:after="0"/>
      </w:pPr>
      <w:r>
        <w:continuationSeparator/>
      </w:r>
    </w:p>
  </w:footnote>
  <w:footnote w:type="continuationNotice" w:id="1">
    <w:p w14:paraId="4575F781" w14:textId="77777777" w:rsidR="009B2B36" w:rsidRDefault="009B2B36">
      <w:pPr>
        <w:spacing w:after="0"/>
      </w:pPr>
    </w:p>
  </w:footnote>
  <w:footnote w:id="2">
    <w:p w14:paraId="7C43CDC7" w14:textId="77777777" w:rsidR="0075111B" w:rsidRPr="00F25B3D" w:rsidRDefault="0075111B" w:rsidP="0075111B">
      <w:pPr>
        <w:pStyle w:val="FootnoteText"/>
        <w:rPr>
          <w:rFonts w:ascii="Times New Roman" w:hAnsi="Times New Roman"/>
          <w:lang w:val="en-IE"/>
        </w:rPr>
      </w:pPr>
      <w:r>
        <w:rPr>
          <w:rStyle w:val="FootnoteReference"/>
          <w:rFonts w:ascii="Times New Roman" w:hAnsi="Times New Roman"/>
        </w:rPr>
        <w:footnoteRef/>
      </w:r>
      <w:r w:rsidRPr="00F25B3D">
        <w:rPr>
          <w:rFonts w:ascii="Times New Roman" w:hAnsi="Times New Roman"/>
          <w:lang w:val="en-IE"/>
        </w:rPr>
        <w:t xml:space="preserve"> </w:t>
      </w:r>
      <w:r w:rsidRPr="00F25B3D">
        <w:rPr>
          <w:rFonts w:ascii="Times New Roman" w:hAnsi="Times New Roman"/>
          <w:lang w:val="en-IE"/>
        </w:rPr>
        <w:tab/>
        <w:t>COM(2023) 690 final</w:t>
      </w:r>
    </w:p>
  </w:footnote>
  <w:footnote w:id="3">
    <w:p w14:paraId="503A499F" w14:textId="77777777" w:rsidR="0075111B" w:rsidRPr="00F25B3D" w:rsidRDefault="0075111B" w:rsidP="0075111B">
      <w:pPr>
        <w:pStyle w:val="FootnoteText"/>
        <w:rPr>
          <w:lang w:val="en-IE"/>
        </w:rPr>
      </w:pPr>
      <w:r>
        <w:rPr>
          <w:rStyle w:val="FootnoteReference"/>
          <w:rFonts w:ascii="Times New Roman" w:hAnsi="Times New Roman"/>
        </w:rPr>
        <w:footnoteRef/>
      </w:r>
      <w:r w:rsidRPr="00F25B3D">
        <w:rPr>
          <w:rFonts w:ascii="Times New Roman" w:hAnsi="Times New Roman"/>
          <w:lang w:val="en-IE"/>
        </w:rPr>
        <w:t xml:space="preserve"> </w:t>
      </w:r>
      <w:r w:rsidRPr="00F25B3D">
        <w:rPr>
          <w:rFonts w:ascii="Times New Roman" w:hAnsi="Times New Roman"/>
          <w:lang w:val="en-IE"/>
        </w:rPr>
        <w:tab/>
        <w:t>COM(2023) 691 final</w:t>
      </w:r>
    </w:p>
  </w:footnote>
  <w:footnote w:id="4">
    <w:p w14:paraId="67273C31" w14:textId="77777777" w:rsidR="0075111B" w:rsidRPr="00F25B3D" w:rsidRDefault="0075111B" w:rsidP="0075111B">
      <w:pPr>
        <w:pStyle w:val="FootnoteText"/>
        <w:rPr>
          <w:rFonts w:ascii="Times New Roman" w:hAnsi="Times New Roman"/>
          <w:lang w:val="en-IE"/>
        </w:rPr>
      </w:pPr>
      <w:r>
        <w:rPr>
          <w:rStyle w:val="FootnoteReference"/>
          <w:rFonts w:ascii="Times New Roman" w:hAnsi="Times New Roman"/>
        </w:rPr>
        <w:footnoteRef/>
      </w:r>
      <w:r w:rsidRPr="00F25B3D">
        <w:rPr>
          <w:rFonts w:ascii="Times New Roman" w:hAnsi="Times New Roman"/>
          <w:lang w:val="en-IE"/>
        </w:rPr>
        <w:t xml:space="preserve"> </w:t>
      </w:r>
      <w:r w:rsidRPr="00F25B3D">
        <w:rPr>
          <w:rFonts w:ascii="Times New Roman" w:hAnsi="Times New Roman"/>
          <w:lang w:val="en-IE"/>
        </w:rPr>
        <w:tab/>
        <w:t>COM(2023) 695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6073" w14:textId="77777777" w:rsidR="00056DCE" w:rsidRDefault="00056D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3981" w14:textId="77777777" w:rsidR="003863C3" w:rsidRDefault="003863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8FE8B" w14:textId="77777777" w:rsidR="00056DCE" w:rsidRDefault="00056DC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73D2"/>
    <w:multiLevelType w:val="hybridMultilevel"/>
    <w:tmpl w:val="419A2060"/>
    <w:lvl w:ilvl="0" w:tplc="492C7160">
      <w:start w:val="1"/>
      <w:numFmt w:val="decimal"/>
      <w:lvlText w:val="%1."/>
      <w:lvlJc w:val="left"/>
      <w:pPr>
        <w:ind w:left="720" w:hanging="720"/>
      </w:pPr>
      <w:rPr>
        <w:rFonts w:hint="default"/>
        <w:b/>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31431554"/>
    <w:multiLevelType w:val="hybridMultilevel"/>
    <w:tmpl w:val="4C8286DE"/>
    <w:lvl w:ilvl="0" w:tplc="76DAFAC6">
      <w:start w:val="1"/>
      <w:numFmt w:val="bullet"/>
      <w:lvlText w:val="·"/>
      <w:lvlJc w:val="left"/>
      <w:pPr>
        <w:ind w:left="720" w:hanging="360"/>
      </w:pPr>
      <w:rPr>
        <w:rFonts w:ascii="Symbol" w:hAnsi="Symbol" w:hint="default"/>
      </w:rPr>
    </w:lvl>
    <w:lvl w:ilvl="1" w:tplc="27149208">
      <w:start w:val="1"/>
      <w:numFmt w:val="bullet"/>
      <w:lvlText w:val="o"/>
      <w:lvlJc w:val="left"/>
      <w:pPr>
        <w:ind w:left="1440" w:hanging="360"/>
      </w:pPr>
      <w:rPr>
        <w:rFonts w:ascii="Courier New" w:hAnsi="Courier New" w:hint="default"/>
      </w:rPr>
    </w:lvl>
    <w:lvl w:ilvl="2" w:tplc="D20A7864">
      <w:start w:val="1"/>
      <w:numFmt w:val="bullet"/>
      <w:lvlText w:val=""/>
      <w:lvlJc w:val="left"/>
      <w:pPr>
        <w:ind w:left="2160" w:hanging="360"/>
      </w:pPr>
      <w:rPr>
        <w:rFonts w:ascii="Wingdings" w:hAnsi="Wingdings" w:hint="default"/>
      </w:rPr>
    </w:lvl>
    <w:lvl w:ilvl="3" w:tplc="053C5304">
      <w:start w:val="1"/>
      <w:numFmt w:val="bullet"/>
      <w:lvlText w:val=""/>
      <w:lvlJc w:val="left"/>
      <w:pPr>
        <w:ind w:left="2880" w:hanging="360"/>
      </w:pPr>
      <w:rPr>
        <w:rFonts w:ascii="Symbol" w:hAnsi="Symbol" w:hint="default"/>
      </w:rPr>
    </w:lvl>
    <w:lvl w:ilvl="4" w:tplc="3CA859FE">
      <w:start w:val="1"/>
      <w:numFmt w:val="bullet"/>
      <w:lvlText w:val="o"/>
      <w:lvlJc w:val="left"/>
      <w:pPr>
        <w:ind w:left="3600" w:hanging="360"/>
      </w:pPr>
      <w:rPr>
        <w:rFonts w:ascii="Courier New" w:hAnsi="Courier New" w:hint="default"/>
      </w:rPr>
    </w:lvl>
    <w:lvl w:ilvl="5" w:tplc="D57CA872">
      <w:start w:val="1"/>
      <w:numFmt w:val="bullet"/>
      <w:lvlText w:val=""/>
      <w:lvlJc w:val="left"/>
      <w:pPr>
        <w:ind w:left="4320" w:hanging="360"/>
      </w:pPr>
      <w:rPr>
        <w:rFonts w:ascii="Wingdings" w:hAnsi="Wingdings" w:hint="default"/>
      </w:rPr>
    </w:lvl>
    <w:lvl w:ilvl="6" w:tplc="A8F08086">
      <w:start w:val="1"/>
      <w:numFmt w:val="bullet"/>
      <w:lvlText w:val=""/>
      <w:lvlJc w:val="left"/>
      <w:pPr>
        <w:ind w:left="5040" w:hanging="360"/>
      </w:pPr>
      <w:rPr>
        <w:rFonts w:ascii="Symbol" w:hAnsi="Symbol" w:hint="default"/>
      </w:rPr>
    </w:lvl>
    <w:lvl w:ilvl="7" w:tplc="0EE0F9F0">
      <w:start w:val="1"/>
      <w:numFmt w:val="bullet"/>
      <w:lvlText w:val="o"/>
      <w:lvlJc w:val="left"/>
      <w:pPr>
        <w:ind w:left="5760" w:hanging="360"/>
      </w:pPr>
      <w:rPr>
        <w:rFonts w:ascii="Courier New" w:hAnsi="Courier New" w:hint="default"/>
      </w:rPr>
    </w:lvl>
    <w:lvl w:ilvl="8" w:tplc="37AE83B2">
      <w:start w:val="1"/>
      <w:numFmt w:val="bullet"/>
      <w:lvlText w:val=""/>
      <w:lvlJc w:val="left"/>
      <w:pPr>
        <w:ind w:left="6480" w:hanging="360"/>
      </w:pPr>
      <w:rPr>
        <w:rFonts w:ascii="Wingdings" w:hAnsi="Wingdings" w:hint="default"/>
      </w:rPr>
    </w:lvl>
  </w:abstractNum>
  <w:abstractNum w:abstractNumId="2" w15:restartNumberingAfterBreak="0">
    <w:nsid w:val="3E4D06E8"/>
    <w:multiLevelType w:val="hybridMultilevel"/>
    <w:tmpl w:val="E4CE7444"/>
    <w:lvl w:ilvl="0" w:tplc="B1AC9382">
      <w:start w:val="1"/>
      <w:numFmt w:val="decimal"/>
      <w:lvlText w:val="%1."/>
      <w:lvlJc w:val="left"/>
      <w:pPr>
        <w:ind w:left="720" w:hanging="360"/>
      </w:pPr>
    </w:lvl>
    <w:lvl w:ilvl="1" w:tplc="4824D9C6">
      <w:start w:val="1"/>
      <w:numFmt w:val="lowerLetter"/>
      <w:lvlText w:val="%2."/>
      <w:lvlJc w:val="left"/>
      <w:pPr>
        <w:ind w:left="1440" w:hanging="360"/>
      </w:pPr>
    </w:lvl>
    <w:lvl w:ilvl="2" w:tplc="17F0C03E">
      <w:start w:val="1"/>
      <w:numFmt w:val="lowerRoman"/>
      <w:lvlText w:val="%3."/>
      <w:lvlJc w:val="right"/>
      <w:pPr>
        <w:ind w:left="2160" w:hanging="180"/>
      </w:pPr>
    </w:lvl>
    <w:lvl w:ilvl="3" w:tplc="95AA0088">
      <w:start w:val="1"/>
      <w:numFmt w:val="decimal"/>
      <w:lvlText w:val="%4."/>
      <w:lvlJc w:val="left"/>
      <w:pPr>
        <w:ind w:left="2880" w:hanging="360"/>
      </w:pPr>
    </w:lvl>
    <w:lvl w:ilvl="4" w:tplc="A7563622">
      <w:start w:val="1"/>
      <w:numFmt w:val="lowerLetter"/>
      <w:lvlText w:val="%5."/>
      <w:lvlJc w:val="left"/>
      <w:pPr>
        <w:ind w:left="3600" w:hanging="360"/>
      </w:pPr>
    </w:lvl>
    <w:lvl w:ilvl="5" w:tplc="3DE4C0CC">
      <w:start w:val="1"/>
      <w:numFmt w:val="lowerRoman"/>
      <w:lvlText w:val="%6."/>
      <w:lvlJc w:val="right"/>
      <w:pPr>
        <w:ind w:left="4320" w:hanging="180"/>
      </w:pPr>
    </w:lvl>
    <w:lvl w:ilvl="6" w:tplc="E67005DA">
      <w:start w:val="1"/>
      <w:numFmt w:val="decimal"/>
      <w:lvlText w:val="%7."/>
      <w:lvlJc w:val="left"/>
      <w:pPr>
        <w:ind w:left="5040" w:hanging="360"/>
      </w:pPr>
    </w:lvl>
    <w:lvl w:ilvl="7" w:tplc="B4FA5FE4">
      <w:start w:val="1"/>
      <w:numFmt w:val="lowerLetter"/>
      <w:lvlText w:val="%8."/>
      <w:lvlJc w:val="left"/>
      <w:pPr>
        <w:ind w:left="5760" w:hanging="360"/>
      </w:pPr>
    </w:lvl>
    <w:lvl w:ilvl="8" w:tplc="22D6CC2E">
      <w:start w:val="1"/>
      <w:numFmt w:val="lowerRoman"/>
      <w:lvlText w:val="%9."/>
      <w:lvlJc w:val="right"/>
      <w:pPr>
        <w:ind w:left="6480" w:hanging="180"/>
      </w:pPr>
    </w:lvl>
  </w:abstractNum>
  <w:abstractNum w:abstractNumId="3" w15:restartNumberingAfterBreak="0">
    <w:nsid w:val="4A35BF67"/>
    <w:multiLevelType w:val="hybridMultilevel"/>
    <w:tmpl w:val="7364337A"/>
    <w:lvl w:ilvl="0" w:tplc="59A2FDEC">
      <w:start w:val="1"/>
      <w:numFmt w:val="bullet"/>
      <w:lvlText w:val="·"/>
      <w:lvlJc w:val="left"/>
      <w:pPr>
        <w:ind w:left="720" w:hanging="360"/>
      </w:pPr>
      <w:rPr>
        <w:rFonts w:ascii="Symbol" w:hAnsi="Symbol" w:hint="default"/>
      </w:rPr>
    </w:lvl>
    <w:lvl w:ilvl="1" w:tplc="02B8A56C">
      <w:start w:val="1"/>
      <w:numFmt w:val="bullet"/>
      <w:lvlText w:val="o"/>
      <w:lvlJc w:val="left"/>
      <w:pPr>
        <w:ind w:left="1440" w:hanging="360"/>
      </w:pPr>
      <w:rPr>
        <w:rFonts w:ascii="Courier New" w:hAnsi="Courier New" w:hint="default"/>
      </w:rPr>
    </w:lvl>
    <w:lvl w:ilvl="2" w:tplc="960CC29C">
      <w:start w:val="1"/>
      <w:numFmt w:val="bullet"/>
      <w:lvlText w:val=""/>
      <w:lvlJc w:val="left"/>
      <w:pPr>
        <w:ind w:left="2160" w:hanging="360"/>
      </w:pPr>
      <w:rPr>
        <w:rFonts w:ascii="Wingdings" w:hAnsi="Wingdings" w:hint="default"/>
      </w:rPr>
    </w:lvl>
    <w:lvl w:ilvl="3" w:tplc="4E5C7060">
      <w:start w:val="1"/>
      <w:numFmt w:val="bullet"/>
      <w:lvlText w:val=""/>
      <w:lvlJc w:val="left"/>
      <w:pPr>
        <w:ind w:left="2880" w:hanging="360"/>
      </w:pPr>
      <w:rPr>
        <w:rFonts w:ascii="Symbol" w:hAnsi="Symbol" w:hint="default"/>
      </w:rPr>
    </w:lvl>
    <w:lvl w:ilvl="4" w:tplc="A7EC93B0">
      <w:start w:val="1"/>
      <w:numFmt w:val="bullet"/>
      <w:lvlText w:val="o"/>
      <w:lvlJc w:val="left"/>
      <w:pPr>
        <w:ind w:left="3600" w:hanging="360"/>
      </w:pPr>
      <w:rPr>
        <w:rFonts w:ascii="Courier New" w:hAnsi="Courier New" w:hint="default"/>
      </w:rPr>
    </w:lvl>
    <w:lvl w:ilvl="5" w:tplc="316ECDA0">
      <w:start w:val="1"/>
      <w:numFmt w:val="bullet"/>
      <w:lvlText w:val=""/>
      <w:lvlJc w:val="left"/>
      <w:pPr>
        <w:ind w:left="4320" w:hanging="360"/>
      </w:pPr>
      <w:rPr>
        <w:rFonts w:ascii="Wingdings" w:hAnsi="Wingdings" w:hint="default"/>
      </w:rPr>
    </w:lvl>
    <w:lvl w:ilvl="6" w:tplc="FB603D6C">
      <w:start w:val="1"/>
      <w:numFmt w:val="bullet"/>
      <w:lvlText w:val=""/>
      <w:lvlJc w:val="left"/>
      <w:pPr>
        <w:ind w:left="5040" w:hanging="360"/>
      </w:pPr>
      <w:rPr>
        <w:rFonts w:ascii="Symbol" w:hAnsi="Symbol" w:hint="default"/>
      </w:rPr>
    </w:lvl>
    <w:lvl w:ilvl="7" w:tplc="BEAC3D28">
      <w:start w:val="1"/>
      <w:numFmt w:val="bullet"/>
      <w:lvlText w:val="o"/>
      <w:lvlJc w:val="left"/>
      <w:pPr>
        <w:ind w:left="5760" w:hanging="360"/>
      </w:pPr>
      <w:rPr>
        <w:rFonts w:ascii="Courier New" w:hAnsi="Courier New" w:hint="default"/>
      </w:rPr>
    </w:lvl>
    <w:lvl w:ilvl="8" w:tplc="88C2222E">
      <w:start w:val="1"/>
      <w:numFmt w:val="bullet"/>
      <w:lvlText w:val=""/>
      <w:lvlJc w:val="left"/>
      <w:pPr>
        <w:ind w:left="6480" w:hanging="360"/>
      </w:pPr>
      <w:rPr>
        <w:rFonts w:ascii="Wingdings" w:hAnsi="Wingdings" w:hint="default"/>
      </w:rPr>
    </w:lvl>
  </w:abstractNum>
  <w:abstractNum w:abstractNumId="4" w15:restartNumberingAfterBreak="0">
    <w:nsid w:val="746C1691"/>
    <w:multiLevelType w:val="hybridMultilevel"/>
    <w:tmpl w:val="014C1D4E"/>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84581">
    <w:abstractNumId w:val="2"/>
  </w:num>
  <w:num w:numId="2" w16cid:durableId="511919605">
    <w:abstractNumId w:val="3"/>
  </w:num>
  <w:num w:numId="3" w16cid:durableId="1588465140">
    <w:abstractNumId w:val="1"/>
  </w:num>
  <w:num w:numId="4" w16cid:durableId="1602835670">
    <w:abstractNumId w:val="0"/>
  </w:num>
  <w:num w:numId="5" w16cid:durableId="1464884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16AC5"/>
    <w:rsid w:val="00004DF7"/>
    <w:rsid w:val="000401D2"/>
    <w:rsid w:val="00054176"/>
    <w:rsid w:val="00056DCE"/>
    <w:rsid w:val="00064E5B"/>
    <w:rsid w:val="00071A8E"/>
    <w:rsid w:val="00081B34"/>
    <w:rsid w:val="000D7E23"/>
    <w:rsid w:val="000E448B"/>
    <w:rsid w:val="000E7348"/>
    <w:rsid w:val="001020C7"/>
    <w:rsid w:val="00121D14"/>
    <w:rsid w:val="00127F81"/>
    <w:rsid w:val="00134E79"/>
    <w:rsid w:val="0018406E"/>
    <w:rsid w:val="001A4A0E"/>
    <w:rsid w:val="001B630C"/>
    <w:rsid w:val="00205916"/>
    <w:rsid w:val="00217B12"/>
    <w:rsid w:val="00232F3E"/>
    <w:rsid w:val="0023333D"/>
    <w:rsid w:val="0025063C"/>
    <w:rsid w:val="00252F9B"/>
    <w:rsid w:val="002588B8"/>
    <w:rsid w:val="0027034B"/>
    <w:rsid w:val="002745F8"/>
    <w:rsid w:val="002B6C40"/>
    <w:rsid w:val="002D5E43"/>
    <w:rsid w:val="00314814"/>
    <w:rsid w:val="00331848"/>
    <w:rsid w:val="00382557"/>
    <w:rsid w:val="003863C3"/>
    <w:rsid w:val="003921E4"/>
    <w:rsid w:val="0039762A"/>
    <w:rsid w:val="003AB515"/>
    <w:rsid w:val="003C0016"/>
    <w:rsid w:val="00406A1D"/>
    <w:rsid w:val="00416ED0"/>
    <w:rsid w:val="00441138"/>
    <w:rsid w:val="004443FE"/>
    <w:rsid w:val="00451CAD"/>
    <w:rsid w:val="00460816"/>
    <w:rsid w:val="00465C6F"/>
    <w:rsid w:val="00493E8C"/>
    <w:rsid w:val="00494B42"/>
    <w:rsid w:val="004A3D92"/>
    <w:rsid w:val="004B244D"/>
    <w:rsid w:val="004C6C3F"/>
    <w:rsid w:val="004C7F74"/>
    <w:rsid w:val="004D3048"/>
    <w:rsid w:val="004D304D"/>
    <w:rsid w:val="004E2F42"/>
    <w:rsid w:val="004F6559"/>
    <w:rsid w:val="00531909"/>
    <w:rsid w:val="00551D29"/>
    <w:rsid w:val="00581C5A"/>
    <w:rsid w:val="005E4CA3"/>
    <w:rsid w:val="005F251A"/>
    <w:rsid w:val="00608B28"/>
    <w:rsid w:val="00615714"/>
    <w:rsid w:val="00620F10"/>
    <w:rsid w:val="006810DB"/>
    <w:rsid w:val="006B41FD"/>
    <w:rsid w:val="006E1731"/>
    <w:rsid w:val="006E6A0A"/>
    <w:rsid w:val="006F4BB5"/>
    <w:rsid w:val="007359A8"/>
    <w:rsid w:val="00737916"/>
    <w:rsid w:val="00741FD1"/>
    <w:rsid w:val="0075111B"/>
    <w:rsid w:val="00782D12"/>
    <w:rsid w:val="007C1527"/>
    <w:rsid w:val="007C34FF"/>
    <w:rsid w:val="008032FC"/>
    <w:rsid w:val="00803762"/>
    <w:rsid w:val="008048E3"/>
    <w:rsid w:val="00860D55"/>
    <w:rsid w:val="00862EB4"/>
    <w:rsid w:val="00874A19"/>
    <w:rsid w:val="00875070"/>
    <w:rsid w:val="00896224"/>
    <w:rsid w:val="008A0E74"/>
    <w:rsid w:val="008B3FBF"/>
    <w:rsid w:val="008B44CE"/>
    <w:rsid w:val="008B4552"/>
    <w:rsid w:val="008C2DD0"/>
    <w:rsid w:val="008D7DB8"/>
    <w:rsid w:val="008E5D63"/>
    <w:rsid w:val="008F471D"/>
    <w:rsid w:val="0091393E"/>
    <w:rsid w:val="00913E0F"/>
    <w:rsid w:val="00923AD5"/>
    <w:rsid w:val="00947744"/>
    <w:rsid w:val="00984DFA"/>
    <w:rsid w:val="009B2B36"/>
    <w:rsid w:val="009B3CD4"/>
    <w:rsid w:val="009B4A52"/>
    <w:rsid w:val="009D09B4"/>
    <w:rsid w:val="009E5E4B"/>
    <w:rsid w:val="009E67C9"/>
    <w:rsid w:val="009E78E6"/>
    <w:rsid w:val="00A16F20"/>
    <w:rsid w:val="00A274A1"/>
    <w:rsid w:val="00A27B09"/>
    <w:rsid w:val="00A32518"/>
    <w:rsid w:val="00A4714E"/>
    <w:rsid w:val="00A50137"/>
    <w:rsid w:val="00A555D9"/>
    <w:rsid w:val="00A865A9"/>
    <w:rsid w:val="00AC623A"/>
    <w:rsid w:val="00AD146C"/>
    <w:rsid w:val="00AD514B"/>
    <w:rsid w:val="00AE0DC8"/>
    <w:rsid w:val="00AE2B6C"/>
    <w:rsid w:val="00AE743C"/>
    <w:rsid w:val="00AE78CA"/>
    <w:rsid w:val="00AF01BE"/>
    <w:rsid w:val="00B017AA"/>
    <w:rsid w:val="00B10074"/>
    <w:rsid w:val="00B225D3"/>
    <w:rsid w:val="00B404C8"/>
    <w:rsid w:val="00B40946"/>
    <w:rsid w:val="00B47BEB"/>
    <w:rsid w:val="00B530E3"/>
    <w:rsid w:val="00B80468"/>
    <w:rsid w:val="00BB1377"/>
    <w:rsid w:val="00BB4774"/>
    <w:rsid w:val="00BC48D3"/>
    <w:rsid w:val="00BC6999"/>
    <w:rsid w:val="00BF0181"/>
    <w:rsid w:val="00C1303A"/>
    <w:rsid w:val="00C13ADE"/>
    <w:rsid w:val="00C43A98"/>
    <w:rsid w:val="00C66C76"/>
    <w:rsid w:val="00C8071D"/>
    <w:rsid w:val="00C855F5"/>
    <w:rsid w:val="00C9148D"/>
    <w:rsid w:val="00C927CD"/>
    <w:rsid w:val="00CA5283"/>
    <w:rsid w:val="00CC65EB"/>
    <w:rsid w:val="00CF7FD2"/>
    <w:rsid w:val="00D142D5"/>
    <w:rsid w:val="00D16AC5"/>
    <w:rsid w:val="00D2454C"/>
    <w:rsid w:val="00D24E04"/>
    <w:rsid w:val="00D5028C"/>
    <w:rsid w:val="00D738E6"/>
    <w:rsid w:val="00D865D8"/>
    <w:rsid w:val="00D928E0"/>
    <w:rsid w:val="00DA1461"/>
    <w:rsid w:val="00DB4C81"/>
    <w:rsid w:val="00DB76C4"/>
    <w:rsid w:val="00DD74DD"/>
    <w:rsid w:val="00E03BC8"/>
    <w:rsid w:val="00E17ED4"/>
    <w:rsid w:val="00E240CD"/>
    <w:rsid w:val="00E3382B"/>
    <w:rsid w:val="00E41AF3"/>
    <w:rsid w:val="00E42CD7"/>
    <w:rsid w:val="00E64493"/>
    <w:rsid w:val="00EA18C0"/>
    <w:rsid w:val="00EA6C3B"/>
    <w:rsid w:val="00EB5E25"/>
    <w:rsid w:val="00ED134B"/>
    <w:rsid w:val="00EF6617"/>
    <w:rsid w:val="00F20D05"/>
    <w:rsid w:val="00F25B3D"/>
    <w:rsid w:val="00F32325"/>
    <w:rsid w:val="00F968BC"/>
    <w:rsid w:val="00FA0A89"/>
    <w:rsid w:val="00FB729F"/>
    <w:rsid w:val="00FC2001"/>
    <w:rsid w:val="00FC3ED9"/>
    <w:rsid w:val="00FC496C"/>
    <w:rsid w:val="00FE1B31"/>
    <w:rsid w:val="00FE34F0"/>
    <w:rsid w:val="00FF5745"/>
    <w:rsid w:val="01038951"/>
    <w:rsid w:val="0116B28C"/>
    <w:rsid w:val="011FB200"/>
    <w:rsid w:val="023C6AA6"/>
    <w:rsid w:val="026929FA"/>
    <w:rsid w:val="03AEF936"/>
    <w:rsid w:val="03E47DC9"/>
    <w:rsid w:val="03EB2A05"/>
    <w:rsid w:val="04534673"/>
    <w:rsid w:val="04B6DD6C"/>
    <w:rsid w:val="051AC0BC"/>
    <w:rsid w:val="067C3AF8"/>
    <w:rsid w:val="06B09A48"/>
    <w:rsid w:val="082C9E9D"/>
    <w:rsid w:val="08549233"/>
    <w:rsid w:val="08C312FB"/>
    <w:rsid w:val="08CF4630"/>
    <w:rsid w:val="08E55DD3"/>
    <w:rsid w:val="08E8266B"/>
    <w:rsid w:val="098A4E8F"/>
    <w:rsid w:val="099D5A25"/>
    <w:rsid w:val="09A1BFD8"/>
    <w:rsid w:val="09E1975B"/>
    <w:rsid w:val="0AB52E2D"/>
    <w:rsid w:val="0B4FAC1B"/>
    <w:rsid w:val="0C6E3772"/>
    <w:rsid w:val="0CC1EF51"/>
    <w:rsid w:val="0D000FC0"/>
    <w:rsid w:val="0DF43975"/>
    <w:rsid w:val="0E76B53E"/>
    <w:rsid w:val="0E8A0556"/>
    <w:rsid w:val="0EC39C3B"/>
    <w:rsid w:val="0FDCADCC"/>
    <w:rsid w:val="0FFD4BA8"/>
    <w:rsid w:val="10231D3E"/>
    <w:rsid w:val="104DFA68"/>
    <w:rsid w:val="111BC491"/>
    <w:rsid w:val="1128728F"/>
    <w:rsid w:val="116B0879"/>
    <w:rsid w:val="12906B0A"/>
    <w:rsid w:val="12C45099"/>
    <w:rsid w:val="13416265"/>
    <w:rsid w:val="13CA3CFA"/>
    <w:rsid w:val="1469BA6E"/>
    <w:rsid w:val="1594A0DB"/>
    <w:rsid w:val="15D047EC"/>
    <w:rsid w:val="167FB870"/>
    <w:rsid w:val="17255D7A"/>
    <w:rsid w:val="17948164"/>
    <w:rsid w:val="17B248C4"/>
    <w:rsid w:val="181C1341"/>
    <w:rsid w:val="18886A93"/>
    <w:rsid w:val="18EDC4A5"/>
    <w:rsid w:val="1A41DC18"/>
    <w:rsid w:val="1A4F0D67"/>
    <w:rsid w:val="1ACF627E"/>
    <w:rsid w:val="1AD636E3"/>
    <w:rsid w:val="1AE24991"/>
    <w:rsid w:val="1B8459AB"/>
    <w:rsid w:val="1BB7070D"/>
    <w:rsid w:val="1C4776F6"/>
    <w:rsid w:val="1C720744"/>
    <w:rsid w:val="1D869501"/>
    <w:rsid w:val="1D92A59F"/>
    <w:rsid w:val="1DB39BA7"/>
    <w:rsid w:val="1DC23C39"/>
    <w:rsid w:val="1DE34757"/>
    <w:rsid w:val="1E571818"/>
    <w:rsid w:val="1EDBD998"/>
    <w:rsid w:val="1F880CCA"/>
    <w:rsid w:val="1FE271E1"/>
    <w:rsid w:val="20BBA702"/>
    <w:rsid w:val="21A26C8E"/>
    <w:rsid w:val="21C98741"/>
    <w:rsid w:val="22B1A5AF"/>
    <w:rsid w:val="22BC0E5D"/>
    <w:rsid w:val="245362C7"/>
    <w:rsid w:val="24793801"/>
    <w:rsid w:val="247E324A"/>
    <w:rsid w:val="2484AE26"/>
    <w:rsid w:val="251CE98E"/>
    <w:rsid w:val="256B1B80"/>
    <w:rsid w:val="25BA8CA0"/>
    <w:rsid w:val="261A02AB"/>
    <w:rsid w:val="266C24F9"/>
    <w:rsid w:val="2691453C"/>
    <w:rsid w:val="27107FCD"/>
    <w:rsid w:val="274AB124"/>
    <w:rsid w:val="2755A437"/>
    <w:rsid w:val="27598FF7"/>
    <w:rsid w:val="27BA0987"/>
    <w:rsid w:val="293380C7"/>
    <w:rsid w:val="294260D4"/>
    <w:rsid w:val="296EC069"/>
    <w:rsid w:val="298D8A76"/>
    <w:rsid w:val="29E37BBB"/>
    <w:rsid w:val="2A2BD8D3"/>
    <w:rsid w:val="2A9130B9"/>
    <w:rsid w:val="2AED73CE"/>
    <w:rsid w:val="2AF70D42"/>
    <w:rsid w:val="2C447263"/>
    <w:rsid w:val="2C4A745E"/>
    <w:rsid w:val="2C4E0934"/>
    <w:rsid w:val="2CE1320F"/>
    <w:rsid w:val="2D384E39"/>
    <w:rsid w:val="2D571335"/>
    <w:rsid w:val="2E78832A"/>
    <w:rsid w:val="2EB6ECDE"/>
    <w:rsid w:val="2F10E9FD"/>
    <w:rsid w:val="309FD5A5"/>
    <w:rsid w:val="30C1AEC8"/>
    <w:rsid w:val="3123B514"/>
    <w:rsid w:val="3130538D"/>
    <w:rsid w:val="3210B281"/>
    <w:rsid w:val="326AFF4D"/>
    <w:rsid w:val="32CDBD4F"/>
    <w:rsid w:val="32E2AC34"/>
    <w:rsid w:val="33406C59"/>
    <w:rsid w:val="334E7F41"/>
    <w:rsid w:val="33D0AEEC"/>
    <w:rsid w:val="340AC9B6"/>
    <w:rsid w:val="34400085"/>
    <w:rsid w:val="3479184B"/>
    <w:rsid w:val="34ABE896"/>
    <w:rsid w:val="34DCE370"/>
    <w:rsid w:val="34F3E0BE"/>
    <w:rsid w:val="35338D96"/>
    <w:rsid w:val="358C1744"/>
    <w:rsid w:val="35C6459B"/>
    <w:rsid w:val="36055E11"/>
    <w:rsid w:val="362E1A02"/>
    <w:rsid w:val="36F9FA1B"/>
    <w:rsid w:val="373A9A66"/>
    <w:rsid w:val="373E7070"/>
    <w:rsid w:val="3740E9B7"/>
    <w:rsid w:val="3807B548"/>
    <w:rsid w:val="381B2599"/>
    <w:rsid w:val="381BA6E6"/>
    <w:rsid w:val="38C8BD25"/>
    <w:rsid w:val="391371A8"/>
    <w:rsid w:val="39ACEDE1"/>
    <w:rsid w:val="3A0122C9"/>
    <w:rsid w:val="3A038358"/>
    <w:rsid w:val="3BD0035E"/>
    <w:rsid w:val="3C17AFC2"/>
    <w:rsid w:val="3C470003"/>
    <w:rsid w:val="3C649474"/>
    <w:rsid w:val="3D18C3AC"/>
    <w:rsid w:val="3D4E5920"/>
    <w:rsid w:val="3D6BD3BF"/>
    <w:rsid w:val="3DE6E2CB"/>
    <w:rsid w:val="3DE74549"/>
    <w:rsid w:val="3DFFD857"/>
    <w:rsid w:val="3E12800C"/>
    <w:rsid w:val="3E2BA6E9"/>
    <w:rsid w:val="3ECB7F2C"/>
    <w:rsid w:val="3F07BD46"/>
    <w:rsid w:val="3F498255"/>
    <w:rsid w:val="3F81D132"/>
    <w:rsid w:val="3F9A2475"/>
    <w:rsid w:val="3FC0DF0B"/>
    <w:rsid w:val="403C230B"/>
    <w:rsid w:val="4085F9E2"/>
    <w:rsid w:val="40D683AF"/>
    <w:rsid w:val="418E3A86"/>
    <w:rsid w:val="41B6EA27"/>
    <w:rsid w:val="4205CFDE"/>
    <w:rsid w:val="42C87CE3"/>
    <w:rsid w:val="4378E012"/>
    <w:rsid w:val="4405F570"/>
    <w:rsid w:val="44306611"/>
    <w:rsid w:val="45F03D9C"/>
    <w:rsid w:val="463F57B8"/>
    <w:rsid w:val="46D41999"/>
    <w:rsid w:val="4742E243"/>
    <w:rsid w:val="47464F52"/>
    <w:rsid w:val="4768A982"/>
    <w:rsid w:val="478D0B9C"/>
    <w:rsid w:val="47998A2E"/>
    <w:rsid w:val="47B45F60"/>
    <w:rsid w:val="47FAA96A"/>
    <w:rsid w:val="489EED9A"/>
    <w:rsid w:val="495C71F3"/>
    <w:rsid w:val="495E1A39"/>
    <w:rsid w:val="49D1471B"/>
    <w:rsid w:val="4A69C12F"/>
    <w:rsid w:val="4AEAFCB7"/>
    <w:rsid w:val="4BFB2A5D"/>
    <w:rsid w:val="4D029FF3"/>
    <w:rsid w:val="4D51277A"/>
    <w:rsid w:val="4DEF1C3A"/>
    <w:rsid w:val="4DFB3C48"/>
    <w:rsid w:val="4F0B8F7A"/>
    <w:rsid w:val="4F6CB378"/>
    <w:rsid w:val="4F6D61D4"/>
    <w:rsid w:val="4F6F8CE3"/>
    <w:rsid w:val="4F8B8164"/>
    <w:rsid w:val="4FEFC553"/>
    <w:rsid w:val="5130CF41"/>
    <w:rsid w:val="51D61116"/>
    <w:rsid w:val="5226B336"/>
    <w:rsid w:val="53731D1A"/>
    <w:rsid w:val="54025B1A"/>
    <w:rsid w:val="540C3FE3"/>
    <w:rsid w:val="543F4A97"/>
    <w:rsid w:val="550DB1D8"/>
    <w:rsid w:val="555B81F0"/>
    <w:rsid w:val="55D349DC"/>
    <w:rsid w:val="564BB688"/>
    <w:rsid w:val="56A98239"/>
    <w:rsid w:val="56BC6D73"/>
    <w:rsid w:val="56E59ABB"/>
    <w:rsid w:val="56F0DC05"/>
    <w:rsid w:val="5707A08A"/>
    <w:rsid w:val="57A78782"/>
    <w:rsid w:val="57B013D6"/>
    <w:rsid w:val="57E1B0CD"/>
    <w:rsid w:val="5826B3B1"/>
    <w:rsid w:val="588CAC66"/>
    <w:rsid w:val="58CD7B33"/>
    <w:rsid w:val="58E6DE2A"/>
    <w:rsid w:val="592CB9AB"/>
    <w:rsid w:val="598FC935"/>
    <w:rsid w:val="59E2BF0A"/>
    <w:rsid w:val="5A2C5DA2"/>
    <w:rsid w:val="5A3F4918"/>
    <w:rsid w:val="5A77C819"/>
    <w:rsid w:val="5B2AC856"/>
    <w:rsid w:val="5B626C54"/>
    <w:rsid w:val="5C30D90F"/>
    <w:rsid w:val="5CB5D5C5"/>
    <w:rsid w:val="5CC19009"/>
    <w:rsid w:val="5D061490"/>
    <w:rsid w:val="5E6A7D70"/>
    <w:rsid w:val="5EED9224"/>
    <w:rsid w:val="5F1DCD02"/>
    <w:rsid w:val="5FFEED7E"/>
    <w:rsid w:val="601847B1"/>
    <w:rsid w:val="616F6AB6"/>
    <w:rsid w:val="62ECD1F4"/>
    <w:rsid w:val="633E48A1"/>
    <w:rsid w:val="636CC1FF"/>
    <w:rsid w:val="64C2B7A0"/>
    <w:rsid w:val="64F0263D"/>
    <w:rsid w:val="6509445E"/>
    <w:rsid w:val="651F01D1"/>
    <w:rsid w:val="653F6BF6"/>
    <w:rsid w:val="65C39E18"/>
    <w:rsid w:val="68BE8BED"/>
    <w:rsid w:val="68C1823B"/>
    <w:rsid w:val="69798E17"/>
    <w:rsid w:val="6A6425B3"/>
    <w:rsid w:val="6A7D2940"/>
    <w:rsid w:val="6ACE0B51"/>
    <w:rsid w:val="6AF0CEA0"/>
    <w:rsid w:val="6B61FF78"/>
    <w:rsid w:val="6C106B6D"/>
    <w:rsid w:val="6D51FFD7"/>
    <w:rsid w:val="6D914C6C"/>
    <w:rsid w:val="6DA9EE34"/>
    <w:rsid w:val="6ED918F4"/>
    <w:rsid w:val="6F20DBC6"/>
    <w:rsid w:val="6F3848E8"/>
    <w:rsid w:val="6F90A722"/>
    <w:rsid w:val="70683117"/>
    <w:rsid w:val="70B80B74"/>
    <w:rsid w:val="71031BDE"/>
    <w:rsid w:val="71B87425"/>
    <w:rsid w:val="71C800DA"/>
    <w:rsid w:val="71CD5E0C"/>
    <w:rsid w:val="71DBD911"/>
    <w:rsid w:val="726C5041"/>
    <w:rsid w:val="727E0ABE"/>
    <w:rsid w:val="72BA62AB"/>
    <w:rsid w:val="73244D0C"/>
    <w:rsid w:val="738D6769"/>
    <w:rsid w:val="73CAA1A6"/>
    <w:rsid w:val="73EFAC36"/>
    <w:rsid w:val="74410D0C"/>
    <w:rsid w:val="744B56BB"/>
    <w:rsid w:val="748FD676"/>
    <w:rsid w:val="7530B7D3"/>
    <w:rsid w:val="760FE235"/>
    <w:rsid w:val="76C6BA35"/>
    <w:rsid w:val="76EDC91A"/>
    <w:rsid w:val="7719F5E5"/>
    <w:rsid w:val="77960161"/>
    <w:rsid w:val="77DFA5D0"/>
    <w:rsid w:val="782F38ED"/>
    <w:rsid w:val="78330E99"/>
    <w:rsid w:val="78364966"/>
    <w:rsid w:val="7845D84F"/>
    <w:rsid w:val="7866FEAC"/>
    <w:rsid w:val="7B2BE1FD"/>
    <w:rsid w:val="7B41B566"/>
    <w:rsid w:val="7B6450B4"/>
    <w:rsid w:val="7B79485F"/>
    <w:rsid w:val="7CC4F3E3"/>
    <w:rsid w:val="7DC8E13B"/>
    <w:rsid w:val="7E016703"/>
    <w:rsid w:val="7E6573DD"/>
    <w:rsid w:val="7E65C43C"/>
    <w:rsid w:val="7E8CDC94"/>
    <w:rsid w:val="7EA58AEA"/>
    <w:rsid w:val="7F325F20"/>
    <w:rsid w:val="7F7C08AF"/>
    <w:rsid w:val="7F7D4AC3"/>
    <w:rsid w:val="7F914ACF"/>
    <w:rsid w:val="7FC931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DDA91"/>
  <w15:chartTrackingRefBased/>
  <w15:docId w15:val="{1AF58104-80BA-4A00-A275-D888B46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AC5"/>
    <w:pPr>
      <w:spacing w:after="240" w:line="240" w:lineRule="auto"/>
      <w:jc w:val="both"/>
    </w:pPr>
    <w:rPr>
      <w:rFonts w:ascii="Courier New" w:eastAsia="Times New Roman" w:hAnsi="Courier New"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16AC5"/>
    <w:pPr>
      <w:spacing w:after="0"/>
      <w:ind w:right="-567"/>
      <w:jc w:val="left"/>
    </w:pPr>
    <w:rPr>
      <w:rFonts w:ascii="Arial" w:hAnsi="Arial"/>
      <w:sz w:val="16"/>
    </w:rPr>
  </w:style>
  <w:style w:type="character" w:customStyle="1" w:styleId="FooterChar">
    <w:name w:val="Footer Char"/>
    <w:basedOn w:val="DefaultParagraphFont"/>
    <w:link w:val="Footer"/>
    <w:rsid w:val="00D16AC5"/>
    <w:rPr>
      <w:rFonts w:ascii="Arial" w:eastAsia="Times New Roman" w:hAnsi="Arial" w:cs="Times New Roman"/>
      <w:sz w:val="16"/>
      <w:szCs w:val="20"/>
      <w:lang w:val="fr-FR" w:eastAsia="en-GB"/>
    </w:rPr>
  </w:style>
  <w:style w:type="character" w:styleId="PageNumber">
    <w:name w:val="page number"/>
    <w:basedOn w:val="DefaultParagraphFont"/>
    <w:rsid w:val="00D16AC5"/>
  </w:style>
  <w:style w:type="paragraph" w:customStyle="1" w:styleId="ZnakZnak">
    <w:name w:val="Znak Znak"/>
    <w:basedOn w:val="Normal"/>
    <w:rsid w:val="00D16AC5"/>
    <w:pPr>
      <w:spacing w:after="0" w:line="360" w:lineRule="auto"/>
    </w:pPr>
    <w:rPr>
      <w:rFonts w:ascii="Verdana" w:hAnsi="Verdana"/>
      <w:sz w:val="20"/>
      <w:lang w:eastAsia="pl-PL"/>
    </w:rPr>
  </w:style>
  <w:style w:type="paragraph" w:styleId="ListParagraph">
    <w:name w:val="List Paragraph"/>
    <w:basedOn w:val="Normal"/>
    <w:uiPriority w:val="34"/>
    <w:qFormat/>
    <w:rsid w:val="009E67C9"/>
    <w:pPr>
      <w:ind w:left="720"/>
      <w:contextualSpacing/>
    </w:pPr>
  </w:style>
  <w:style w:type="character" w:styleId="CommentReference">
    <w:name w:val="annotation reference"/>
    <w:basedOn w:val="DefaultParagraphFont"/>
    <w:uiPriority w:val="99"/>
    <w:semiHidden/>
    <w:unhideWhenUsed/>
    <w:rsid w:val="00741FD1"/>
    <w:rPr>
      <w:sz w:val="16"/>
      <w:szCs w:val="16"/>
    </w:rPr>
  </w:style>
  <w:style w:type="paragraph" w:styleId="CommentText">
    <w:name w:val="annotation text"/>
    <w:basedOn w:val="Normal"/>
    <w:link w:val="CommentTextChar"/>
    <w:uiPriority w:val="99"/>
    <w:unhideWhenUsed/>
    <w:rsid w:val="00741FD1"/>
    <w:rPr>
      <w:sz w:val="20"/>
    </w:rPr>
  </w:style>
  <w:style w:type="character" w:customStyle="1" w:styleId="CommentTextChar">
    <w:name w:val="Comment Text Char"/>
    <w:basedOn w:val="DefaultParagraphFont"/>
    <w:link w:val="CommentText"/>
    <w:uiPriority w:val="99"/>
    <w:rsid w:val="00741FD1"/>
    <w:rPr>
      <w:rFonts w:ascii="Courier New" w:eastAsia="Times New Roman" w:hAnsi="Courier New" w:cs="Times New Roman"/>
      <w:sz w:val="20"/>
      <w:szCs w:val="20"/>
      <w:lang w:val="fr-FR" w:eastAsia="en-GB"/>
    </w:rPr>
  </w:style>
  <w:style w:type="paragraph" w:styleId="CommentSubject">
    <w:name w:val="annotation subject"/>
    <w:basedOn w:val="CommentText"/>
    <w:next w:val="CommentText"/>
    <w:link w:val="CommentSubjectChar"/>
    <w:uiPriority w:val="99"/>
    <w:semiHidden/>
    <w:unhideWhenUsed/>
    <w:rsid w:val="00741FD1"/>
    <w:rPr>
      <w:b/>
      <w:bCs/>
    </w:rPr>
  </w:style>
  <w:style w:type="character" w:customStyle="1" w:styleId="CommentSubjectChar">
    <w:name w:val="Comment Subject Char"/>
    <w:basedOn w:val="CommentTextChar"/>
    <w:link w:val="CommentSubject"/>
    <w:uiPriority w:val="99"/>
    <w:semiHidden/>
    <w:rsid w:val="00741FD1"/>
    <w:rPr>
      <w:rFonts w:ascii="Courier New" w:eastAsia="Times New Roman" w:hAnsi="Courier New" w:cs="Times New Roman"/>
      <w:b/>
      <w:bCs/>
      <w:sz w:val="20"/>
      <w:szCs w:val="20"/>
      <w:lang w:val="fr-FR" w:eastAsia="en-GB"/>
    </w:rPr>
  </w:style>
  <w:style w:type="paragraph" w:styleId="Header">
    <w:name w:val="header"/>
    <w:basedOn w:val="Normal"/>
    <w:link w:val="HeaderChar"/>
    <w:uiPriority w:val="99"/>
    <w:unhideWhenUsed/>
    <w:rsid w:val="00E3382B"/>
    <w:pPr>
      <w:tabs>
        <w:tab w:val="center" w:pos="4513"/>
        <w:tab w:val="right" w:pos="9026"/>
      </w:tabs>
      <w:spacing w:after="0"/>
    </w:pPr>
  </w:style>
  <w:style w:type="character" w:customStyle="1" w:styleId="HeaderChar">
    <w:name w:val="Header Char"/>
    <w:basedOn w:val="DefaultParagraphFont"/>
    <w:link w:val="Header"/>
    <w:uiPriority w:val="99"/>
    <w:rsid w:val="00E3382B"/>
    <w:rPr>
      <w:rFonts w:ascii="Courier New" w:eastAsia="Times New Roman" w:hAnsi="Courier New" w:cs="Times New Roman"/>
      <w:sz w:val="24"/>
      <w:szCs w:val="20"/>
      <w:lang w:val="fr-FR" w:eastAsia="en-GB"/>
    </w:rPr>
  </w:style>
  <w:style w:type="paragraph" w:styleId="Revision">
    <w:name w:val="Revision"/>
    <w:hidden/>
    <w:uiPriority w:val="99"/>
    <w:semiHidden/>
    <w:rsid w:val="002D5E43"/>
    <w:pPr>
      <w:spacing w:after="0" w:line="240" w:lineRule="auto"/>
    </w:pPr>
    <w:rPr>
      <w:rFonts w:ascii="Courier New" w:eastAsia="Times New Roman" w:hAnsi="Courier New" w:cs="Times New Roman"/>
      <w:sz w:val="24"/>
      <w:szCs w:val="20"/>
      <w:lang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basedOn w:val="DefaultParagraphFont"/>
    <w:link w:val="ftrefCharCharCharCharCharCharCharCharChar"/>
    <w:uiPriority w:val="99"/>
    <w:unhideWhenUsed/>
    <w:qFormat/>
    <w:rPr>
      <w:vertAlign w:val="superscript"/>
    </w:rPr>
  </w:style>
  <w:style w:type="character" w:customStyle="1" w:styleId="FootnoteTextChar">
    <w:name w:val="Footnote Text Char"/>
    <w:aliases w:val="Footnote Text Char1 Char Char1,Footnote Text Char Char Char Char1,Fußnotentext Char Char1 Char Char Char1,Fußnotentext Char1 Char1 Char Char Char Char1,Fußnotentext Char Char Char Char Char Char Char1 Char1,Footnote Text Char1 Char2"/>
    <w:basedOn w:val="DefaultParagraphFont"/>
    <w:link w:val="FootnoteText"/>
    <w:uiPriority w:val="99"/>
    <w:semiHidden/>
    <w:rPr>
      <w:sz w:val="20"/>
      <w:szCs w:val="20"/>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single space,fn"/>
    <w:basedOn w:val="Normal"/>
    <w:link w:val="FootnoteTextChar"/>
    <w:uiPriority w:val="99"/>
    <w:unhideWhenUsed/>
    <w:qFormat/>
    <w:pPr>
      <w:spacing w:after="0"/>
    </w:pPr>
    <w:rPr>
      <w:sz w:val="20"/>
    </w:rPr>
  </w:style>
  <w:style w:type="paragraph" w:styleId="BodyText">
    <w:name w:val="Body Text"/>
    <w:basedOn w:val="Normal"/>
    <w:link w:val="BodyTextChar"/>
    <w:uiPriority w:val="99"/>
    <w:unhideWhenUsed/>
    <w:rsid w:val="00D24E04"/>
    <w:pPr>
      <w:spacing w:after="720"/>
      <w:jc w:val="center"/>
    </w:pPr>
    <w:rPr>
      <w:rFonts w:ascii="Times New Roman" w:hAnsi="Times New Roman"/>
      <w:b/>
    </w:rPr>
  </w:style>
  <w:style w:type="character" w:customStyle="1" w:styleId="BodyTextChar">
    <w:name w:val="Body Text Char"/>
    <w:basedOn w:val="DefaultParagraphFont"/>
    <w:link w:val="BodyText"/>
    <w:uiPriority w:val="99"/>
    <w:rsid w:val="00D24E04"/>
    <w:rPr>
      <w:rFonts w:ascii="Times New Roman" w:eastAsia="Times New Roman" w:hAnsi="Times New Roman" w:cs="Times New Roman"/>
      <w:b/>
      <w:sz w:val="24"/>
      <w:szCs w:val="20"/>
      <w:lang w:val="fr-FR" w:eastAsia="en-GB"/>
    </w:rPr>
  </w:style>
  <w:style w:type="paragraph" w:styleId="BalloonText">
    <w:name w:val="Balloon Text"/>
    <w:basedOn w:val="Normal"/>
    <w:link w:val="BalloonTextChar"/>
    <w:uiPriority w:val="99"/>
    <w:semiHidden/>
    <w:unhideWhenUsed/>
    <w:rsid w:val="003863C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3C3"/>
    <w:rPr>
      <w:rFonts w:ascii="Segoe UI" w:eastAsia="Times New Roman" w:hAnsi="Segoe UI" w:cs="Segoe UI"/>
      <w:sz w:val="18"/>
      <w:szCs w:val="18"/>
      <w:lang w:val="fr-FR" w:eastAsia="en-GB"/>
    </w:rPr>
  </w:style>
  <w:style w:type="character" w:customStyle="1" w:styleId="FootnoteTextChar2">
    <w:name w:val="Footnote Text Char2"/>
    <w:aliases w:val="Footnote Text Char1 Char Char,Footnote Text Char Char Char Char,Fußnotentext Char Char1 Char Char Char,Fußnotentext Char1 Char1 Char Char Char Char,Fußnotentext Char Char Char Char Char Char Char1 Char,Footnote Text Char1 Char1"/>
    <w:qFormat/>
    <w:rsid w:val="0075111B"/>
    <w:rPr>
      <w:rFonts w:ascii="Courier New" w:eastAsia="Times New Roman" w:hAnsi="Courier New" w:cs="Times New Roman"/>
      <w:sz w:val="20"/>
      <w:szCs w:val="20"/>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75111B"/>
    <w:pPr>
      <w:spacing w:after="160" w:line="240" w:lineRule="exact"/>
      <w:jc w:val="left"/>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B83E5-0EC4-4560-BBB6-4E3EE2F5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1890</Words>
  <Characters>10095</Characters>
  <Application>Microsoft Office Word</Application>
  <DocSecurity>0</DocSecurity>
  <Lines>148</Lines>
  <Paragraphs>26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HAGBERG Evelina (NEAR)</dc:creator>
  <cp:keywords/>
  <dc:description/>
  <cp:lastModifiedBy>DELBAER Gerda (SG)</cp:lastModifiedBy>
  <cp:revision>2</cp:revision>
  <dcterms:created xsi:type="dcterms:W3CDTF">2024-03-13T08:15:00Z</dcterms:created>
  <dcterms:modified xsi:type="dcterms:W3CDTF">2024-03-13T08:15:00Z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2023-10-24T09:34:37Z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ba3a1a6d-da03-4d1d-b0f9-930b1120a954</vt:lpwstr>
  </property>
  <property fmtid="{D5CDD505-2E9C-101B-9397-08002B2CF9AE}" pid="8" name="MSIP_Label_6bd9ddd1-4d20-43f6-abfa-fc3c07406f94_ContentBits">
    <vt:lpwstr>0</vt:lpwstr>
  </property>
</Properties>
</file>