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9EF6" w14:textId="77777777" w:rsidR="000B7673" w:rsidRPr="000B7673" w:rsidRDefault="000B7673" w:rsidP="000B7673">
      <w:pPr>
        <w:spacing w:after="600" w:line="240" w:lineRule="auto"/>
        <w:jc w:val="center"/>
        <w:rPr>
          <w:rFonts w:eastAsia="Calibri"/>
          <w:b/>
          <w:bCs/>
        </w:rPr>
      </w:pPr>
      <w:bookmarkStart w:id="0" w:name="tricyclazole"/>
      <w:r>
        <w:rPr>
          <w:b/>
        </w:rPr>
        <w:t>Suite donnée à la résolution du Parlement européen sur la proposition de règlement du Conseil modifiant les annexes II et V du règlement (CE) nº 396/2005 du Parlement européen et du Conseil en ce qui concerne les limites maximales applicables aux résidus de tricyclazole présents dans ou sur certains produits</w:t>
      </w:r>
    </w:p>
    <w:bookmarkEnd w:id="0"/>
    <w:p w14:paraId="249325FA" w14:textId="77777777" w:rsidR="000B7673" w:rsidRPr="000B7673" w:rsidRDefault="000B7673" w:rsidP="000B7673">
      <w:pPr>
        <w:spacing w:after="240" w:line="240" w:lineRule="auto"/>
        <w:ind w:left="567" w:hanging="567"/>
        <w:rPr>
          <w:rFonts w:eastAsia="Calibri"/>
        </w:rPr>
      </w:pPr>
      <w:r>
        <w:rPr>
          <w:b/>
        </w:rPr>
        <w:t>1.</w:t>
      </w:r>
      <w:r>
        <w:tab/>
      </w:r>
      <w:r>
        <w:rPr>
          <w:b/>
        </w:rPr>
        <w:t xml:space="preserve">Résolution présentée conformément à l’article 112, paragraphes 2 et 3 </w:t>
      </w:r>
      <w:r>
        <w:rPr>
          <w:b/>
          <w:color w:val="1E1E1F"/>
          <w:shd w:val="clear" w:color="auto" w:fill="FFFFFF"/>
        </w:rPr>
        <w:t xml:space="preserve">et paragraphe 4, point c), </w:t>
      </w:r>
      <w:r>
        <w:rPr>
          <w:b/>
        </w:rPr>
        <w:t>du règlement intérieur du Parlement européen</w:t>
      </w:r>
    </w:p>
    <w:p w14:paraId="3C249CCC" w14:textId="77777777" w:rsidR="000B7673" w:rsidRPr="000B7673" w:rsidRDefault="000B7673" w:rsidP="000B7673">
      <w:pPr>
        <w:spacing w:after="240" w:line="240" w:lineRule="auto"/>
        <w:ind w:left="567" w:hanging="567"/>
        <w:rPr>
          <w:rFonts w:eastAsia="Calibri"/>
        </w:rPr>
      </w:pPr>
      <w:r>
        <w:rPr>
          <w:b/>
        </w:rPr>
        <w:t>2.</w:t>
      </w:r>
      <w:r>
        <w:tab/>
      </w:r>
      <w:r>
        <w:rPr>
          <w:b/>
        </w:rPr>
        <w:t>Numéros de référence:</w:t>
      </w:r>
      <w:r>
        <w:t xml:space="preserve"> 2023/2998 (RPS) / B9-0494/2023 / P9_TA(2023)0474</w:t>
      </w:r>
    </w:p>
    <w:p w14:paraId="63A001B1" w14:textId="77777777" w:rsidR="000B7673" w:rsidRPr="000B7673" w:rsidRDefault="000B7673" w:rsidP="000B7673">
      <w:pPr>
        <w:spacing w:after="240" w:line="240" w:lineRule="auto"/>
        <w:ind w:left="567" w:hanging="567"/>
        <w:rPr>
          <w:rFonts w:eastAsia="Calibri"/>
        </w:rPr>
      </w:pPr>
      <w:r>
        <w:rPr>
          <w:b/>
        </w:rPr>
        <w:t>3.</w:t>
      </w:r>
      <w:r>
        <w:tab/>
      </w:r>
      <w:r>
        <w:rPr>
          <w:b/>
        </w:rPr>
        <w:t>Date d’adoption de la résolution:</w:t>
      </w:r>
      <w:r>
        <w:t xml:space="preserve"> 14 décembre 2023</w:t>
      </w:r>
    </w:p>
    <w:p w14:paraId="0C6DDD5D" w14:textId="77777777" w:rsidR="000B7673" w:rsidRPr="000B7673" w:rsidRDefault="000B7673" w:rsidP="000B7673">
      <w:pPr>
        <w:spacing w:after="240" w:line="240" w:lineRule="auto"/>
        <w:ind w:left="567" w:hanging="567"/>
        <w:rPr>
          <w:rFonts w:eastAsia="Calibri"/>
        </w:rPr>
      </w:pPr>
      <w:r>
        <w:rPr>
          <w:b/>
        </w:rPr>
        <w:t>4.</w:t>
      </w:r>
      <w:r>
        <w:rPr>
          <w:b/>
        </w:rPr>
        <w:tab/>
        <w:t>Commission parlementaire compétente:</w:t>
      </w:r>
      <w:r>
        <w:t xml:space="preserve"> commission de l’environnement, de la santé publique et de la sécurité alimentaire (ENVI)</w:t>
      </w:r>
    </w:p>
    <w:p w14:paraId="6DD1E823" w14:textId="77777777" w:rsidR="000B7673" w:rsidRPr="000B7673" w:rsidRDefault="000B7673" w:rsidP="000B7673">
      <w:pPr>
        <w:spacing w:after="240" w:line="240" w:lineRule="auto"/>
        <w:ind w:left="567" w:hanging="567"/>
        <w:rPr>
          <w:rFonts w:eastAsia="Calibri"/>
          <w:b/>
          <w:bCs/>
        </w:rPr>
      </w:pPr>
      <w:r>
        <w:rPr>
          <w:b/>
        </w:rPr>
        <w:t>5.</w:t>
      </w:r>
      <w:r>
        <w:rPr>
          <w:b/>
        </w:rPr>
        <w:tab/>
        <w:t>Analyse/évaluation succincte de la résolution et des demandes qu’elle contient</w:t>
      </w:r>
    </w:p>
    <w:p w14:paraId="28C37F20" w14:textId="77777777" w:rsidR="000B7673" w:rsidRPr="000B7673" w:rsidRDefault="000B7673" w:rsidP="000B7673">
      <w:pPr>
        <w:spacing w:after="120" w:line="240" w:lineRule="auto"/>
        <w:rPr>
          <w:rFonts w:eastAsia="Calibri"/>
        </w:rPr>
      </w:pPr>
      <w:r>
        <w:t>Le projet de règlement du Conseil entend augmenter la limite maximale applicable aux résidus (LMR) de la substance active tricyclazole dans le riz à la suite d’une demande de tolérance à l’importation (pour des produits en provenance du Brésil) et d’une évaluation de la sécurité réalisée par un État membre et par l’Autorité européenne de sécurité des aliments (ci-après l'«EFSA»). Les LMR correspondent aux concentrations maximales de résidus de pesticides autorisées par la législation dans ou sur des denrées alimentaires ou aliments pour animaux, fixées sur la base des bonnes pratiques agricoles et de l’exposition minimale la plus faible possible permettant de protéger tous les consommateurs vulnérables. Elles sont établies à la suite d’une évaluation complète des propriétés de la substance active et de l’utilisation prévue du pesticide. L’EFSA a conclu que la LMR proposée était sans danger pour les consommateurs.</w:t>
      </w:r>
    </w:p>
    <w:p w14:paraId="6EF0C491" w14:textId="6B204181" w:rsidR="000B7673" w:rsidRPr="000B7673" w:rsidRDefault="000B7673" w:rsidP="000B7673">
      <w:pPr>
        <w:spacing w:after="120" w:line="240" w:lineRule="auto"/>
        <w:rPr>
          <w:rFonts w:eastAsia="Calibri"/>
        </w:rPr>
      </w:pPr>
      <w:r>
        <w:t>Dans sa résolution, le Parlement évoque les préoccupations en matière de sécurité en lien avec le tricyclazole et, de manière plus explicite, le fait que le manque de données a empêché l’EFSA d’évaluer la toxicité de cette substance de façon adéquate, et donc d</w:t>
      </w:r>
      <w:r w:rsidR="000557F2">
        <w:t>’</w:t>
      </w:r>
      <w:r>
        <w:t>autoriser son utilisation dans l’Union (</w:t>
      </w:r>
      <w:r>
        <w:rPr>
          <w:b/>
          <w:bCs/>
        </w:rPr>
        <w:t>considérants G et H</w:t>
      </w:r>
      <w:r>
        <w:t>), et considère en outre que fixer cette LMR permettrait l’importation de riz non conforme aux normes de l’Union en matière de sécurité des consommateurs (</w:t>
      </w:r>
      <w:r>
        <w:rPr>
          <w:b/>
          <w:bCs/>
        </w:rPr>
        <w:t>considérants S et W</w:t>
      </w:r>
      <w:r>
        <w:t>). Dans sa résolution, le Parlement indique que le tricyclazole a été interdit dans l’Union en 2016 et que cette interdiction a entraîné une diminution considérable de la production de riz dans l’Union et a obligé les producteurs, tant à l’intérieur qu’à l’extérieur de l’Union, à investir dans la recherche de pratiques agricoles alternatives (</w:t>
      </w:r>
      <w:r>
        <w:rPr>
          <w:b/>
          <w:bCs/>
        </w:rPr>
        <w:t>considérants I, J, K et L</w:t>
      </w:r>
      <w:r>
        <w:t>). Dans sa résolution, le Parlement mentionne également que l’établissement de cette LMR porterait atteinte à la réciprocité des règles relatives à l’utilisation des pesticides et pourrait conduire à une concurrence déloyale au détriment des producteurs de riz de l’Union (</w:t>
      </w:r>
      <w:r>
        <w:rPr>
          <w:b/>
          <w:bCs/>
        </w:rPr>
        <w:t>considérants M, N et O</w:t>
      </w:r>
      <w:r>
        <w:t>), et note que les importations de riz sont importantes et ont augmenté (</w:t>
      </w:r>
      <w:r>
        <w:rPr>
          <w:b/>
          <w:bCs/>
        </w:rPr>
        <w:t>considérants Q et R</w:t>
      </w:r>
      <w:r>
        <w:t>). Dans sa résolution, le Parlement mentionne également que l’adoption du règlement du Conseil pourrait porter atteinte à la sécurité alimentaire et pourrait contrevenir à la mise en œuvre du principe de précaution (</w:t>
      </w:r>
      <w:r>
        <w:rPr>
          <w:b/>
          <w:bCs/>
        </w:rPr>
        <w:t>considérants U et V</w:t>
      </w:r>
      <w:r>
        <w:t>).</w:t>
      </w:r>
    </w:p>
    <w:p w14:paraId="25B1D5A1" w14:textId="77777777" w:rsidR="000B7673" w:rsidRPr="000B7673" w:rsidRDefault="000B7673" w:rsidP="000B7673">
      <w:pPr>
        <w:spacing w:after="120" w:line="240" w:lineRule="auto"/>
        <w:rPr>
          <w:rFonts w:eastAsia="Calibri"/>
        </w:rPr>
      </w:pPr>
      <w:r>
        <w:t>Dans sa résolution, le Parlement indique que le projet de règlement du Conseil excède les compétences d’exécution prévues dans le règlement (CE) nº 396/2005 (</w:t>
      </w:r>
      <w:r>
        <w:rPr>
          <w:b/>
          <w:bCs/>
        </w:rPr>
        <w:t>paragraphe 2</w:t>
      </w:r>
      <w:r>
        <w:t>) et n’est pas compatible avec l’esprit et la lettre de ce règlement (</w:t>
      </w:r>
      <w:r>
        <w:rPr>
          <w:b/>
          <w:bCs/>
        </w:rPr>
        <w:t>paragraphe 3</w:t>
      </w:r>
      <w:r>
        <w:t xml:space="preserve">). Le Parlement considère que la proposition ne respecte pas les engagements pris pour garantir une sécurité </w:t>
      </w:r>
      <w:r>
        <w:lastRenderedPageBreak/>
        <w:t>élevée des consommateurs (</w:t>
      </w:r>
      <w:r>
        <w:rPr>
          <w:b/>
          <w:bCs/>
        </w:rPr>
        <w:t>paragraphe 4</w:t>
      </w:r>
      <w:r>
        <w:t>). Il fait observer que la proposition de modification de la LMR pour le tricyclazole dans le riz pourrait faire obstacle aux échanges et entraîner d’éventuelles perturbations de ceux-ci, ce qui pourrait avoir une incidence significative sur les consommateurs, les agriculteurs et le secteur alimentaire dans l’Union et au-delà (</w:t>
      </w:r>
      <w:r>
        <w:rPr>
          <w:b/>
          <w:bCs/>
        </w:rPr>
        <w:t>paragraphe 5</w:t>
      </w:r>
      <w:r>
        <w:t>); par conséquent, il demande de ne pas modifier la LMR du tricyclazole dans le riz (</w:t>
      </w:r>
      <w:r>
        <w:rPr>
          <w:b/>
          <w:bCs/>
        </w:rPr>
        <w:t>paragraphe 6</w:t>
      </w:r>
      <w:r>
        <w:t xml:space="preserve">). </w:t>
      </w:r>
    </w:p>
    <w:p w14:paraId="325D4B25" w14:textId="77777777" w:rsidR="000B7673" w:rsidRPr="000B7673" w:rsidRDefault="000B7673" w:rsidP="000B7673">
      <w:pPr>
        <w:widowControl w:val="0"/>
        <w:spacing w:after="120" w:line="240" w:lineRule="auto"/>
        <w:rPr>
          <w:rFonts w:eastAsia="Calibri"/>
        </w:rPr>
      </w:pPr>
      <w:r>
        <w:t>Enfin, le Parlement demande à la Commission de retirer le projet de règlement du Conseil (</w:t>
      </w:r>
      <w:r>
        <w:rPr>
          <w:b/>
          <w:bCs/>
        </w:rPr>
        <w:t>paragraphe 7</w:t>
      </w:r>
      <w:r>
        <w:t>) et de garantir des conditions de concurrence équitables pour les agriculteurs européens (</w:t>
      </w:r>
      <w:r>
        <w:rPr>
          <w:b/>
          <w:bCs/>
        </w:rPr>
        <w:t>paragraphe 8</w:t>
      </w:r>
      <w:r>
        <w:t>).</w:t>
      </w:r>
    </w:p>
    <w:p w14:paraId="4018931F" w14:textId="77777777" w:rsidR="000B7673" w:rsidRPr="000B7673" w:rsidRDefault="000B7673" w:rsidP="000B7673">
      <w:pPr>
        <w:widowControl w:val="0"/>
        <w:spacing w:after="240" w:line="240" w:lineRule="auto"/>
        <w:ind w:left="567" w:hanging="567"/>
        <w:rPr>
          <w:rFonts w:eastAsia="Calibri"/>
          <w:b/>
          <w:bCs/>
        </w:rPr>
      </w:pPr>
      <w:r>
        <w:rPr>
          <w:b/>
        </w:rPr>
        <w:t>6.</w:t>
      </w:r>
      <w:r>
        <w:rPr>
          <w:b/>
        </w:rPr>
        <w:tab/>
        <w:t>Réponse à ces demandes et aperçu des mesures que la Commission a prises ou envisage de prendre</w:t>
      </w:r>
    </w:p>
    <w:p w14:paraId="09D0ED73" w14:textId="2A3B7046" w:rsidR="000B7673" w:rsidRPr="000B7673" w:rsidRDefault="000B7673" w:rsidP="000B7673">
      <w:pPr>
        <w:widowControl w:val="0"/>
        <w:spacing w:after="120" w:line="240" w:lineRule="auto"/>
        <w:rPr>
          <w:rFonts w:eastAsia="Calibri"/>
        </w:rPr>
      </w:pPr>
      <w:r>
        <w:t xml:space="preserve">Concernant les </w:t>
      </w:r>
      <w:r>
        <w:rPr>
          <w:b/>
          <w:bCs/>
        </w:rPr>
        <w:t>paragraphes 2, 3, 7 et 8</w:t>
      </w:r>
      <w:r>
        <w:t xml:space="preserve"> de la résolution, la Commission tient à souligner que le projet de règlement est fondé sur une demande de LMR et sur un avis scientifique de l’État membre qui a évalué la demande et de l’EFSA, émis selon la procédure décrite aux articles 6 à 11 du règlement (CE) nº 396/2005, et confirmant la sécurité de la LMR pour les consommateurs. Le règlement (CE) nº 396/2005 oblige la Commission à adopter soit un règlement concernant la modification d’une LMR, soit une décision rejetant la demande (article 14, paragraphe 1). La Commission estime qu’elle met correctement en œuvre le cadre réglementaire approuvé par les colégislateurs conformément à son but et à son contenu et, par conséquent, ne voit aucune raison de retirer le projet de règlement. Toutefois, l’opposition du Parlement conformément à l’article 5 </w:t>
      </w:r>
      <w:r>
        <w:rPr>
          <w:i/>
          <w:iCs/>
        </w:rPr>
        <w:t>bis</w:t>
      </w:r>
      <w:r>
        <w:t>, paragraphe 4, point e), de la décision «comitologie» empêche la Commission procéder à l</w:t>
      </w:r>
      <w:r w:rsidR="000557F2">
        <w:t>’</w:t>
      </w:r>
      <w:r>
        <w:t>adoption.</w:t>
      </w:r>
    </w:p>
    <w:p w14:paraId="2F31F872" w14:textId="1546D74F" w:rsidR="000B7673" w:rsidRPr="000B7673" w:rsidRDefault="000B7673" w:rsidP="000B7673">
      <w:pPr>
        <w:spacing w:after="120" w:line="240" w:lineRule="auto"/>
        <w:rPr>
          <w:rFonts w:eastAsia="Calibri"/>
        </w:rPr>
      </w:pPr>
      <w:r>
        <w:t xml:space="preserve">Concernant le </w:t>
      </w:r>
      <w:r>
        <w:rPr>
          <w:b/>
          <w:bCs/>
        </w:rPr>
        <w:t>paragraphe 4</w:t>
      </w:r>
      <w:r>
        <w:t>, la Commission souligne que l’établissement de LMR pour des substances actives destinées à être utilisées dans les produits phytopharmaceutiques est axé sur l’évaluation de la sécurité de ces LMR pour les consommateurs, à l</w:t>
      </w:r>
      <w:r w:rsidR="000557F2">
        <w:t>’</w:t>
      </w:r>
      <w:r>
        <w:t>aune de leur toxicité aiguë et chronique. La demande de tolérance à l’importation pour le tricyclazole dans le riz qui est l</w:t>
      </w:r>
      <w:r w:rsidR="000557F2">
        <w:t>’</w:t>
      </w:r>
      <w:r>
        <w:t>objet de ce projet de règlement a été évaluée par un État membre et par l’EFSA, qui a conclu que la LMR proposée était sans danger pour les consommateurs. Dans le cadre de cette demande, des données auparavant indisponibles ont été fournies, ce qui a permis à l’EFSA de conclure que le tricyclazole n’est ni génotoxique ni cancérogène et qu’il ne remplit pas les critères de perturbation endocrinienne. Par conséquent, le projet de règlement ne compromettra pas la sécurité des consommateurs.</w:t>
      </w:r>
    </w:p>
    <w:p w14:paraId="2B14F293" w14:textId="77777777" w:rsidR="000B7673" w:rsidRPr="000B7673" w:rsidRDefault="000B7673" w:rsidP="000B7673">
      <w:pPr>
        <w:spacing w:after="120" w:line="240" w:lineRule="auto"/>
        <w:rPr>
          <w:rFonts w:eastAsia="Calibri"/>
        </w:rPr>
      </w:pPr>
      <w:r>
        <w:t xml:space="preserve">En ce qui concerne les différences de conditions de concurrence parmi les agriculteurs de l’Union et des pays tiers mentionnées au </w:t>
      </w:r>
      <w:r>
        <w:rPr>
          <w:b/>
          <w:bCs/>
        </w:rPr>
        <w:t>paragraphe 5</w:t>
      </w:r>
      <w:r>
        <w:t xml:space="preserve"> qui, selon la résolution, pourraient être engendrées par la LMR proposée par ce projet de règlement, la Commission rappelle que toutes les LMR fixées dans l’Union s’appliquent de la même manière aux produits européens et aux produits importés.</w:t>
      </w:r>
    </w:p>
    <w:p w14:paraId="5DAABDFA" w14:textId="193331D9" w:rsidR="000B7673" w:rsidRPr="000B7673" w:rsidRDefault="000B7673" w:rsidP="000B7673">
      <w:pPr>
        <w:spacing w:after="120" w:line="240" w:lineRule="auto"/>
        <w:rPr>
          <w:rFonts w:eastAsia="Calibri"/>
        </w:rPr>
      </w:pPr>
      <w:r>
        <w:t>La Commission considère que l’opposition du Parlement à une augmentation des LMR et son refus de toute tolérance à l’exportation concernant le tricyclazole, en dépit du fait que celui-ci soit sans danger pour les consommateurs et que la demande ait été déposée et traitée conformément aux dispositions légales en vigueur, pourraient éroder la confiance légitime du demandeur et soulever des préoccupations concernant les obligations internationales de l’Union dans le cadre de l’accord sanitaire et phytosanitaire (SPS) de l’Organisation mondiale du commerce (OMC). De plus, en ne suivant pas une approche scientifique dans ce cas, l’Union s’exposerait à voir sa décision contestée au regard du droit de l</w:t>
      </w:r>
      <w:r w:rsidR="000557F2">
        <w:t>’</w:t>
      </w:r>
      <w:r>
        <w:t>Union ou du droit de l</w:t>
      </w:r>
      <w:r w:rsidR="000557F2">
        <w:t>’</w:t>
      </w:r>
      <w:r>
        <w:t>OMC.</w:t>
      </w:r>
    </w:p>
    <w:p w14:paraId="7A471215" w14:textId="5C0C0AB4" w:rsidR="000B7673" w:rsidRPr="000B7673" w:rsidRDefault="000B7673" w:rsidP="000B7673">
      <w:pPr>
        <w:spacing w:after="120" w:line="240" w:lineRule="auto"/>
        <w:rPr>
          <w:rFonts w:eastAsia="Calibri"/>
        </w:rPr>
      </w:pPr>
      <w:r>
        <w:lastRenderedPageBreak/>
        <w:t xml:space="preserve">À l’heure actuelle, l’utilisation du tricyclazole n’est pas autorisée dans l’Union. La Commission rappelle que les informations qui manquaient auparavant pour autoriser l’utilisation du tricyclazole dans l’Union ont été fournies dans le cadre de la demande de tolérance à l’importation pour le riz, et que l’EFSA a pu établir des seuils sans risque. Par conséquent, les entreprises intéressées peuvent à tout moment soumettre une nouvelle demande d’autorisation du tricyclazole dans l’Union, qui, si elle était acceptée, permettrait aux agriculteurs de l’Union d’utiliser cette substance à l’avenir. De plus, bien que les agriculteurs de l’Union ne puissent bénéficier directement de cette nouvelle LMR pour le tricyclazole dans le riz, ils pourraient toutefois en tirer avantage dans certaines circonstances exceptionnelles, par exemple, si des produits contenant du tricyclazole devaient être autorisés par les autorités compétentes d’un État membre pour une utilisation d’urgence. Enfin, en ce qui concerne les suppositions faites dans la résolution concernant de potentielles perturbations des échanges découlant de l’établissement de cette LMR, et leurs effets sur les consommateurs et la sécurité alimentaire (également mentionnés au </w:t>
      </w:r>
      <w:r>
        <w:rPr>
          <w:b/>
          <w:bCs/>
        </w:rPr>
        <w:t>considérant S</w:t>
      </w:r>
      <w:r>
        <w:t>), la Commission constate que la production de riz de l’Union n’est pas suffisante pour couvrir la demande et que, par conséquent, les importations de riz sont nécessaires afin d’assurer la disponibilité de ce produit dans l’Union. Par ailleurs, la Commission confirme également son engagement à soutenir la production intérieure de riz. À cette fin, plusieurs projets sont à la disposition des agriculteurs de l’Union dans le cadre de la politique agricole commune. En 2022, 7 États membres ont octroyé un soutien couplé spécifique d’une valeur totale de 68,6 millions d’euros pour soutenir la production intérieure de riz.</w:t>
      </w:r>
    </w:p>
    <w:p w14:paraId="01D9BBA2" w14:textId="138DAFE9" w:rsidR="0045762E" w:rsidRPr="000B7673" w:rsidRDefault="000B7673" w:rsidP="000B7673">
      <w:pPr>
        <w:spacing w:line="240" w:lineRule="auto"/>
      </w:pPr>
      <w:r>
        <w:t xml:space="preserve">En ce qui concerne le </w:t>
      </w:r>
      <w:r>
        <w:rPr>
          <w:b/>
          <w:bCs/>
        </w:rPr>
        <w:t>paragraphe 6</w:t>
      </w:r>
      <w:r>
        <w:t>, la Commission aimerait rappeler que le règlement (CE) nº 396/2005 indique que les demandes de LMR relatives à des utilisations dans l’Union et dans des pays tiers sont traitées de la même manière en ce qui concerne la sécurité des consommateurs et les exigences en matière de données. Refuser les tolérances à l’importation qui sont demandées conformément à la procédure définie aux articles 6 à 11 du règlement (CE) nº 396/2005, et dans un contexte où ni l’évaluation des risques menée par l’EFSA ni la gestion des risques par la Commission n’ont permis l’identification de raisons de ne pas les accorder, serait contraire aux dispositions du règlement (CE) nº 396/2005. Selon ce règlement, à la réception de l’avis de l’EFSA et compte tenu de cet avis, un règlement concernant l’établissement, la modification ou la suppression d’une LMR ou une décision rejetant la demande est élaboré sans tarder par la Commission et soumis pour adoption.</w:t>
      </w:r>
    </w:p>
    <w:sectPr w:rsidR="0045762E" w:rsidRPr="000B7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3529" w14:textId="77777777" w:rsidR="00AD1031" w:rsidRDefault="00AD1031" w:rsidP="008E34E4">
      <w:pPr>
        <w:spacing w:after="0" w:line="240" w:lineRule="auto"/>
      </w:pPr>
      <w:r>
        <w:separator/>
      </w:r>
    </w:p>
  </w:endnote>
  <w:endnote w:type="continuationSeparator" w:id="0">
    <w:p w14:paraId="3E01818F" w14:textId="77777777" w:rsidR="00AD1031" w:rsidRDefault="00AD1031" w:rsidP="008E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F5FF" w14:textId="77777777" w:rsidR="00AD1031" w:rsidRDefault="00AD1031" w:rsidP="008E34E4">
      <w:pPr>
        <w:spacing w:after="0" w:line="240" w:lineRule="auto"/>
      </w:pPr>
      <w:r>
        <w:separator/>
      </w:r>
    </w:p>
  </w:footnote>
  <w:footnote w:type="continuationSeparator" w:id="0">
    <w:p w14:paraId="0FBF3CB5" w14:textId="77777777" w:rsidR="00AD1031" w:rsidRDefault="00AD1031" w:rsidP="008E3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459A2"/>
    <w:multiLevelType w:val="hybridMultilevel"/>
    <w:tmpl w:val="B2FE34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7B635A3"/>
    <w:multiLevelType w:val="hybridMultilevel"/>
    <w:tmpl w:val="A3986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E94A28"/>
    <w:multiLevelType w:val="hybridMultilevel"/>
    <w:tmpl w:val="45FAD3CC"/>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52936197">
    <w:abstractNumId w:val="1"/>
  </w:num>
  <w:num w:numId="2" w16cid:durableId="606431157">
    <w:abstractNumId w:val="0"/>
  </w:num>
  <w:num w:numId="3" w16cid:durableId="2138453888">
    <w:abstractNumId w:val="3"/>
  </w:num>
  <w:num w:numId="4" w16cid:durableId="58761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20DA"/>
    <w:rsid w:val="000152F0"/>
    <w:rsid w:val="00020CFA"/>
    <w:rsid w:val="00020FBF"/>
    <w:rsid w:val="000557F2"/>
    <w:rsid w:val="00066964"/>
    <w:rsid w:val="00092F17"/>
    <w:rsid w:val="000B3E76"/>
    <w:rsid w:val="000B7673"/>
    <w:rsid w:val="000E17D5"/>
    <w:rsid w:val="000E3AFE"/>
    <w:rsid w:val="000E4A7A"/>
    <w:rsid w:val="000F137E"/>
    <w:rsid w:val="000F7DEB"/>
    <w:rsid w:val="001068B3"/>
    <w:rsid w:val="00125A24"/>
    <w:rsid w:val="00130DDA"/>
    <w:rsid w:val="00190880"/>
    <w:rsid w:val="001C2F30"/>
    <w:rsid w:val="001D7DDB"/>
    <w:rsid w:val="001E1C40"/>
    <w:rsid w:val="001E640F"/>
    <w:rsid w:val="001F0373"/>
    <w:rsid w:val="00201B42"/>
    <w:rsid w:val="00213081"/>
    <w:rsid w:val="002248D0"/>
    <w:rsid w:val="00232A0A"/>
    <w:rsid w:val="00236F9E"/>
    <w:rsid w:val="00245E18"/>
    <w:rsid w:val="00272F0F"/>
    <w:rsid w:val="002C35A5"/>
    <w:rsid w:val="00320F99"/>
    <w:rsid w:val="003333E8"/>
    <w:rsid w:val="0033649E"/>
    <w:rsid w:val="003720DA"/>
    <w:rsid w:val="00387A04"/>
    <w:rsid w:val="00396EF8"/>
    <w:rsid w:val="0040151D"/>
    <w:rsid w:val="004345CA"/>
    <w:rsid w:val="004476FA"/>
    <w:rsid w:val="004573EF"/>
    <w:rsid w:val="0045762E"/>
    <w:rsid w:val="004A117F"/>
    <w:rsid w:val="004B330F"/>
    <w:rsid w:val="004B5F50"/>
    <w:rsid w:val="005013C7"/>
    <w:rsid w:val="00585D8B"/>
    <w:rsid w:val="005965B8"/>
    <w:rsid w:val="00623D9E"/>
    <w:rsid w:val="00660E7D"/>
    <w:rsid w:val="00661F16"/>
    <w:rsid w:val="00672135"/>
    <w:rsid w:val="00692B70"/>
    <w:rsid w:val="00693BFA"/>
    <w:rsid w:val="006C39A0"/>
    <w:rsid w:val="006C3B3A"/>
    <w:rsid w:val="006D637E"/>
    <w:rsid w:val="00712828"/>
    <w:rsid w:val="00737D13"/>
    <w:rsid w:val="00775C0A"/>
    <w:rsid w:val="007E05CD"/>
    <w:rsid w:val="007F3454"/>
    <w:rsid w:val="0081224C"/>
    <w:rsid w:val="00814D92"/>
    <w:rsid w:val="00827737"/>
    <w:rsid w:val="00834B2D"/>
    <w:rsid w:val="00852035"/>
    <w:rsid w:val="008E0AF1"/>
    <w:rsid w:val="008E34E4"/>
    <w:rsid w:val="009230F9"/>
    <w:rsid w:val="00954A5E"/>
    <w:rsid w:val="009558B7"/>
    <w:rsid w:val="00963BC6"/>
    <w:rsid w:val="009A4F58"/>
    <w:rsid w:val="009A750B"/>
    <w:rsid w:val="009D140D"/>
    <w:rsid w:val="009D7965"/>
    <w:rsid w:val="009E24F0"/>
    <w:rsid w:val="009E2B91"/>
    <w:rsid w:val="00A07267"/>
    <w:rsid w:val="00A17F98"/>
    <w:rsid w:val="00A2068B"/>
    <w:rsid w:val="00A23749"/>
    <w:rsid w:val="00A263FE"/>
    <w:rsid w:val="00A422CC"/>
    <w:rsid w:val="00A83105"/>
    <w:rsid w:val="00AA5D02"/>
    <w:rsid w:val="00AD1031"/>
    <w:rsid w:val="00AE728D"/>
    <w:rsid w:val="00B05666"/>
    <w:rsid w:val="00B56378"/>
    <w:rsid w:val="00B669C7"/>
    <w:rsid w:val="00B8246B"/>
    <w:rsid w:val="00B82A0E"/>
    <w:rsid w:val="00B96DFD"/>
    <w:rsid w:val="00BB05EB"/>
    <w:rsid w:val="00BF0ABC"/>
    <w:rsid w:val="00C228EC"/>
    <w:rsid w:val="00C35B99"/>
    <w:rsid w:val="00C5552A"/>
    <w:rsid w:val="00C92103"/>
    <w:rsid w:val="00C939C9"/>
    <w:rsid w:val="00CD7497"/>
    <w:rsid w:val="00CE50D9"/>
    <w:rsid w:val="00CF00E7"/>
    <w:rsid w:val="00D16589"/>
    <w:rsid w:val="00D21BE2"/>
    <w:rsid w:val="00D52F10"/>
    <w:rsid w:val="00D5380A"/>
    <w:rsid w:val="00D56906"/>
    <w:rsid w:val="00D74109"/>
    <w:rsid w:val="00D85DEC"/>
    <w:rsid w:val="00E04FBB"/>
    <w:rsid w:val="00E806F4"/>
    <w:rsid w:val="00E9154B"/>
    <w:rsid w:val="00E95625"/>
    <w:rsid w:val="00E95F91"/>
    <w:rsid w:val="00EB49F8"/>
    <w:rsid w:val="00EE5FB2"/>
    <w:rsid w:val="00F0111B"/>
    <w:rsid w:val="00F27433"/>
    <w:rsid w:val="00F337BE"/>
    <w:rsid w:val="00F53B7E"/>
    <w:rsid w:val="00F82B71"/>
    <w:rsid w:val="00F95D6C"/>
    <w:rsid w:val="00F97CB7"/>
    <w:rsid w:val="00FA51B6"/>
    <w:rsid w:val="00FC27F7"/>
    <w:rsid w:val="00FD05B3"/>
    <w:rsid w:val="00FF5D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747DC"/>
  <w15:chartTrackingRefBased/>
  <w15:docId w15:val="{6F799846-4922-4CF7-9113-37972B83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0DA"/>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0DA"/>
    <w:pPr>
      <w:ind w:left="720"/>
      <w:contextualSpacing/>
    </w:pPr>
  </w:style>
  <w:style w:type="character" w:customStyle="1" w:styleId="highlight">
    <w:name w:val="highlight"/>
    <w:rsid w:val="00D5380A"/>
  </w:style>
  <w:style w:type="paragraph" w:styleId="FootnoteText">
    <w:name w:val="footnote text"/>
    <w:basedOn w:val="Normal"/>
    <w:link w:val="FootnoteTextChar"/>
    <w:uiPriority w:val="99"/>
    <w:semiHidden/>
    <w:unhideWhenUsed/>
    <w:rsid w:val="00D53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80A"/>
    <w:rPr>
      <w:rFonts w:ascii="Times New Roman" w:hAnsi="Times New Roman" w:cs="Times New Roman"/>
      <w:sz w:val="20"/>
      <w:szCs w:val="20"/>
      <w:lang w:val="fr-FR"/>
    </w:rPr>
  </w:style>
  <w:style w:type="character" w:styleId="FootnoteReference">
    <w:name w:val="footnote reference"/>
    <w:basedOn w:val="DefaultParagraphFont"/>
    <w:uiPriority w:val="99"/>
    <w:semiHidden/>
    <w:unhideWhenUsed/>
    <w:rsid w:val="00D5380A"/>
    <w:rPr>
      <w:vertAlign w:val="superscript"/>
    </w:rPr>
  </w:style>
  <w:style w:type="character" w:styleId="Hyperlink">
    <w:name w:val="Hyperlink"/>
    <w:aliases w:val="Char1"/>
    <w:uiPriority w:val="99"/>
    <w:semiHidden/>
    <w:unhideWhenUsed/>
    <w:rsid w:val="00D5380A"/>
    <w:rPr>
      <w:color w:val="0000FF"/>
      <w:u w:val="single"/>
    </w:rPr>
  </w:style>
  <w:style w:type="character" w:styleId="CommentReference">
    <w:name w:val="annotation reference"/>
    <w:basedOn w:val="DefaultParagraphFont"/>
    <w:uiPriority w:val="99"/>
    <w:semiHidden/>
    <w:unhideWhenUsed/>
    <w:rsid w:val="0040151D"/>
    <w:rPr>
      <w:sz w:val="16"/>
      <w:szCs w:val="16"/>
    </w:rPr>
  </w:style>
  <w:style w:type="paragraph" w:styleId="CommentText">
    <w:name w:val="annotation text"/>
    <w:basedOn w:val="Normal"/>
    <w:link w:val="CommentTextChar"/>
    <w:uiPriority w:val="99"/>
    <w:unhideWhenUsed/>
    <w:rsid w:val="0040151D"/>
    <w:pPr>
      <w:spacing w:line="240" w:lineRule="auto"/>
    </w:pPr>
    <w:rPr>
      <w:sz w:val="20"/>
      <w:szCs w:val="20"/>
    </w:rPr>
  </w:style>
  <w:style w:type="character" w:customStyle="1" w:styleId="CommentTextChar">
    <w:name w:val="Comment Text Char"/>
    <w:basedOn w:val="DefaultParagraphFont"/>
    <w:link w:val="CommentText"/>
    <w:uiPriority w:val="99"/>
    <w:rsid w:val="0040151D"/>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0151D"/>
    <w:rPr>
      <w:b/>
      <w:bCs/>
    </w:rPr>
  </w:style>
  <w:style w:type="character" w:customStyle="1" w:styleId="CommentSubjectChar">
    <w:name w:val="Comment Subject Char"/>
    <w:basedOn w:val="CommentTextChar"/>
    <w:link w:val="CommentSubject"/>
    <w:uiPriority w:val="99"/>
    <w:semiHidden/>
    <w:rsid w:val="0040151D"/>
    <w:rPr>
      <w:rFonts w:ascii="Times New Roman" w:hAnsi="Times New Roman" w:cs="Times New Roman"/>
      <w:b/>
      <w:bCs/>
      <w:sz w:val="20"/>
      <w:szCs w:val="20"/>
      <w:lang w:val="fr-FR"/>
    </w:rPr>
  </w:style>
  <w:style w:type="paragraph" w:styleId="Revision">
    <w:name w:val="Revision"/>
    <w:hidden/>
    <w:uiPriority w:val="99"/>
    <w:semiHidden/>
    <w:rsid w:val="009A4F5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A4F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F58"/>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5081">
      <w:bodyDiv w:val="1"/>
      <w:marLeft w:val="0"/>
      <w:marRight w:val="0"/>
      <w:marTop w:val="0"/>
      <w:marBottom w:val="0"/>
      <w:divBdr>
        <w:top w:val="none" w:sz="0" w:space="0" w:color="auto"/>
        <w:left w:val="none" w:sz="0" w:space="0" w:color="auto"/>
        <w:bottom w:val="none" w:sz="0" w:space="0" w:color="auto"/>
        <w:right w:val="none" w:sz="0" w:space="0" w:color="auto"/>
      </w:divBdr>
    </w:div>
    <w:div w:id="565720420">
      <w:bodyDiv w:val="1"/>
      <w:marLeft w:val="0"/>
      <w:marRight w:val="0"/>
      <w:marTop w:val="0"/>
      <w:marBottom w:val="0"/>
      <w:divBdr>
        <w:top w:val="none" w:sz="0" w:space="0" w:color="auto"/>
        <w:left w:val="none" w:sz="0" w:space="0" w:color="auto"/>
        <w:bottom w:val="none" w:sz="0" w:space="0" w:color="auto"/>
        <w:right w:val="none" w:sz="0" w:space="0" w:color="auto"/>
      </w:divBdr>
    </w:div>
    <w:div w:id="633605992">
      <w:bodyDiv w:val="1"/>
      <w:marLeft w:val="0"/>
      <w:marRight w:val="0"/>
      <w:marTop w:val="0"/>
      <w:marBottom w:val="0"/>
      <w:divBdr>
        <w:top w:val="none" w:sz="0" w:space="0" w:color="auto"/>
        <w:left w:val="none" w:sz="0" w:space="0" w:color="auto"/>
        <w:bottom w:val="none" w:sz="0" w:space="0" w:color="auto"/>
        <w:right w:val="none" w:sz="0" w:space="0" w:color="auto"/>
      </w:divBdr>
    </w:div>
    <w:div w:id="774328914">
      <w:bodyDiv w:val="1"/>
      <w:marLeft w:val="0"/>
      <w:marRight w:val="0"/>
      <w:marTop w:val="0"/>
      <w:marBottom w:val="0"/>
      <w:divBdr>
        <w:top w:val="none" w:sz="0" w:space="0" w:color="auto"/>
        <w:left w:val="none" w:sz="0" w:space="0" w:color="auto"/>
        <w:bottom w:val="none" w:sz="0" w:space="0" w:color="auto"/>
        <w:right w:val="none" w:sz="0" w:space="0" w:color="auto"/>
      </w:divBdr>
    </w:div>
    <w:div w:id="786849896">
      <w:bodyDiv w:val="1"/>
      <w:marLeft w:val="0"/>
      <w:marRight w:val="0"/>
      <w:marTop w:val="0"/>
      <w:marBottom w:val="0"/>
      <w:divBdr>
        <w:top w:val="none" w:sz="0" w:space="0" w:color="auto"/>
        <w:left w:val="none" w:sz="0" w:space="0" w:color="auto"/>
        <w:bottom w:val="none" w:sz="0" w:space="0" w:color="auto"/>
        <w:right w:val="none" w:sz="0" w:space="0" w:color="auto"/>
      </w:divBdr>
    </w:div>
    <w:div w:id="826484125">
      <w:bodyDiv w:val="1"/>
      <w:marLeft w:val="0"/>
      <w:marRight w:val="0"/>
      <w:marTop w:val="0"/>
      <w:marBottom w:val="0"/>
      <w:divBdr>
        <w:top w:val="none" w:sz="0" w:space="0" w:color="auto"/>
        <w:left w:val="none" w:sz="0" w:space="0" w:color="auto"/>
        <w:bottom w:val="none" w:sz="0" w:space="0" w:color="auto"/>
        <w:right w:val="none" w:sz="0" w:space="0" w:color="auto"/>
      </w:divBdr>
    </w:div>
    <w:div w:id="1017275384">
      <w:bodyDiv w:val="1"/>
      <w:marLeft w:val="0"/>
      <w:marRight w:val="0"/>
      <w:marTop w:val="0"/>
      <w:marBottom w:val="0"/>
      <w:divBdr>
        <w:top w:val="none" w:sz="0" w:space="0" w:color="auto"/>
        <w:left w:val="none" w:sz="0" w:space="0" w:color="auto"/>
        <w:bottom w:val="none" w:sz="0" w:space="0" w:color="auto"/>
        <w:right w:val="none" w:sz="0" w:space="0" w:color="auto"/>
      </w:divBdr>
    </w:div>
    <w:div w:id="19005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1E5D-D011-488F-8729-FFD441C4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1577</Words>
  <Characters>8582</Characters>
  <Application>Microsoft Office Word</Application>
  <DocSecurity>0</DocSecurity>
  <Lines>122</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MARGUERITTE Juliette-Marie (SANTE)</dc:creator>
  <cp:keywords/>
  <dc:description/>
  <cp:lastModifiedBy>DELBAER Gerda (SG)</cp:lastModifiedBy>
  <cp:revision>2</cp:revision>
  <cp:lastPrinted>2024-02-20T11:51:00Z</cp:lastPrinted>
  <dcterms:created xsi:type="dcterms:W3CDTF">2024-03-15T16:30:00Z</dcterms:created>
  <dcterms:modified xsi:type="dcterms:W3CDTF">2024-03-15T16:30:00Z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2022-12-19T16:34:27Z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55b3b0ed-f193-4539-8e75-d58abe361ef5</vt:lpwstr>
  </property>
  <property fmtid="{D5CDD505-2E9C-101B-9397-08002B2CF9AE}" pid="8" name="MSIP_Label_6bd9ddd1-4d20-43f6-abfa-fc3c07406f94_ContentBits">
    <vt:lpwstr>0</vt:lpwstr>
  </property>
</Properties>
</file>