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B5353" w14:textId="59CB8EC6" w:rsidR="00331DB9" w:rsidRPr="009565FD" w:rsidRDefault="004A6C66" w:rsidP="00DE4603">
      <w:pPr>
        <w:autoSpaceDE w:val="0"/>
        <w:autoSpaceDN w:val="0"/>
        <w:adjustRightInd w:val="0"/>
        <w:spacing w:after="600"/>
        <w:jc w:val="center"/>
        <w:rPr>
          <w:rFonts w:ascii="Times New Roman" w:hAnsi="Times New Roman"/>
          <w:b/>
          <w:bCs/>
          <w:szCs w:val="24"/>
        </w:rPr>
      </w:pPr>
      <w:r>
        <w:rPr>
          <w:rFonts w:ascii="Times New Roman" w:hAnsi="Times New Roman"/>
          <w:b/>
        </w:rPr>
        <w:t>Suite donnée à la résolution non législative du Parlement européen sur la Banque européenne de l’hydrogène</w:t>
      </w:r>
    </w:p>
    <w:p w14:paraId="3C688FA3" w14:textId="53D378AD" w:rsidR="004A6C66" w:rsidRPr="009565FD" w:rsidRDefault="009565FD" w:rsidP="0D49C50E">
      <w:pPr>
        <w:numPr>
          <w:ilvl w:val="0"/>
          <w:numId w:val="27"/>
        </w:numPr>
        <w:ind w:left="567" w:hanging="567"/>
        <w:rPr>
          <w:rFonts w:ascii="Times New Roman" w:hAnsi="Times New Roman"/>
          <w:b/>
          <w:szCs w:val="24"/>
        </w:rPr>
      </w:pPr>
      <w:r>
        <w:rPr>
          <w:rFonts w:ascii="Times New Roman" w:hAnsi="Times New Roman"/>
          <w:b/>
        </w:rPr>
        <w:t xml:space="preserve">Rapporteur: </w:t>
      </w:r>
      <w:r>
        <w:rPr>
          <w:rFonts w:ascii="Times New Roman" w:hAnsi="Times New Roman"/>
        </w:rPr>
        <w:t>Robert Hajšel (S&amp;D / SK)</w:t>
      </w:r>
    </w:p>
    <w:p w14:paraId="125B3D0E" w14:textId="3F83A4E4" w:rsidR="004A6C66" w:rsidRPr="009565FD" w:rsidRDefault="00535D4D" w:rsidP="0D49C50E">
      <w:pPr>
        <w:numPr>
          <w:ilvl w:val="0"/>
          <w:numId w:val="27"/>
        </w:numPr>
        <w:ind w:left="567" w:hanging="567"/>
        <w:rPr>
          <w:rFonts w:ascii="Times New Roman" w:hAnsi="Times New Roman"/>
          <w:i/>
          <w:szCs w:val="24"/>
        </w:rPr>
      </w:pPr>
      <w:r>
        <w:rPr>
          <w:rFonts w:ascii="Times New Roman" w:hAnsi="Times New Roman"/>
          <w:b/>
        </w:rPr>
        <w:t xml:space="preserve">Numéros de référence: </w:t>
      </w:r>
      <w:r>
        <w:rPr>
          <w:rFonts w:ascii="Times New Roman" w:hAnsi="Times New Roman"/>
        </w:rPr>
        <w:t>2023/2123 (INI) / A9-0379/2023 / P9_TA(2023)0484</w:t>
      </w:r>
    </w:p>
    <w:p w14:paraId="5141F796" w14:textId="12E398CE" w:rsidR="005A00C3" w:rsidRPr="009565FD" w:rsidRDefault="004A6C66" w:rsidP="0D49C50E">
      <w:pPr>
        <w:numPr>
          <w:ilvl w:val="0"/>
          <w:numId w:val="27"/>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14 décembre 2023</w:t>
      </w:r>
    </w:p>
    <w:p w14:paraId="6AC4037E" w14:textId="474D89E5" w:rsidR="00EC0A27" w:rsidRPr="009565FD" w:rsidRDefault="00EC0A27" w:rsidP="0D49C50E">
      <w:pPr>
        <w:numPr>
          <w:ilvl w:val="0"/>
          <w:numId w:val="27"/>
        </w:numPr>
        <w:ind w:left="567" w:hanging="567"/>
        <w:rPr>
          <w:rFonts w:ascii="Times New Roman" w:hAnsi="Times New Roman"/>
          <w:i/>
          <w:szCs w:val="24"/>
        </w:rPr>
      </w:pPr>
      <w:r>
        <w:rPr>
          <w:rFonts w:ascii="Times New Roman" w:hAnsi="Times New Roman"/>
          <w:b/>
        </w:rPr>
        <w:t>Commission parlementaire compétente:</w:t>
      </w:r>
      <w:r>
        <w:rPr>
          <w:rFonts w:ascii="Times New Roman" w:hAnsi="Times New Roman"/>
        </w:rPr>
        <w:t xml:space="preserve"> commission de l’industrie, de la recherche et de l’énergie (ITRE)</w:t>
      </w:r>
    </w:p>
    <w:p w14:paraId="22C2BAA4" w14:textId="27D11A12" w:rsidR="000370D8" w:rsidRPr="009565FD" w:rsidRDefault="004A6C66" w:rsidP="0D49C50E">
      <w:pPr>
        <w:widowControl w:val="0"/>
        <w:numPr>
          <w:ilvl w:val="0"/>
          <w:numId w:val="27"/>
        </w:numPr>
        <w:ind w:left="567" w:hanging="567"/>
        <w:rPr>
          <w:rFonts w:ascii="Times New Roman" w:hAnsi="Times New Roman"/>
          <w:szCs w:val="24"/>
        </w:rPr>
      </w:pPr>
      <w:r>
        <w:rPr>
          <w:rFonts w:ascii="Times New Roman" w:hAnsi="Times New Roman"/>
          <w:b/>
        </w:rPr>
        <w:t>Analyse/évaluation succincte de la résolution et des demandes qu’elle contient:</w:t>
      </w:r>
      <w:r>
        <w:rPr>
          <w:rFonts w:ascii="Times New Roman" w:hAnsi="Times New Roman"/>
        </w:rPr>
        <w:t xml:space="preserve"> </w:t>
      </w:r>
    </w:p>
    <w:p w14:paraId="55D60A89" w14:textId="72C97251" w:rsidR="00374807" w:rsidRPr="009565FD" w:rsidRDefault="00366915" w:rsidP="00DE4603">
      <w:pPr>
        <w:pStyle w:val="ListParagraph"/>
        <w:spacing w:after="120" w:line="240" w:lineRule="auto"/>
        <w:ind w:left="0"/>
        <w:contextualSpacing w:val="0"/>
        <w:jc w:val="both"/>
        <w:rPr>
          <w:rFonts w:ascii="Times New Roman" w:hAnsi="Times New Roman"/>
          <w:sz w:val="24"/>
          <w:szCs w:val="24"/>
        </w:rPr>
      </w:pPr>
      <w:r>
        <w:rPr>
          <w:rFonts w:ascii="Times New Roman" w:hAnsi="Times New Roman"/>
          <w:sz w:val="24"/>
        </w:rPr>
        <w:t>Dans sa résolution, le Parlement européen se félicite de la communication de la Commission sur la Banque européenne de l’hydrogène (BEH), la première enchère pilote visant à soutenir l’hydrogène renouvelable, ainsi que du lancement du concept d’«enchères en tant que service».</w:t>
      </w:r>
    </w:p>
    <w:p w14:paraId="38C21B0E" w14:textId="353375BA" w:rsidR="00366915" w:rsidRPr="009565FD" w:rsidRDefault="00374807" w:rsidP="00DE4603">
      <w:pPr>
        <w:pStyle w:val="ListParagraph"/>
        <w:spacing w:after="120" w:line="240" w:lineRule="auto"/>
        <w:ind w:left="0"/>
        <w:contextualSpacing w:val="0"/>
        <w:jc w:val="both"/>
        <w:rPr>
          <w:rFonts w:ascii="Times New Roman" w:hAnsi="Times New Roman"/>
          <w:sz w:val="24"/>
          <w:szCs w:val="24"/>
        </w:rPr>
      </w:pPr>
      <w:r>
        <w:rPr>
          <w:rFonts w:ascii="Times New Roman" w:hAnsi="Times New Roman"/>
          <w:sz w:val="24"/>
        </w:rPr>
        <w:t>La résolution souligne la nécessité de donner la priorité au renforcement de la production intérieure de l’Union, tout en reconnaissant la nécessité de bénéficier d’importations compétitives d’hydrogène renouvelable. La résolution reconnaît qu’il est urgent d’intensifier la production d’électrolyseurs dans l’UE. Elle souligne également l’importance de diversifier les fournisseurs pour les importations.</w:t>
      </w:r>
    </w:p>
    <w:p w14:paraId="22E50D47" w14:textId="1238346B" w:rsidR="00366915" w:rsidRPr="009565FD" w:rsidRDefault="00366915" w:rsidP="00DE4603">
      <w:pPr>
        <w:pStyle w:val="ListParagraph"/>
        <w:spacing w:after="120" w:line="240" w:lineRule="auto"/>
        <w:ind w:left="0"/>
        <w:contextualSpacing w:val="0"/>
        <w:jc w:val="both"/>
        <w:rPr>
          <w:rFonts w:ascii="Times New Roman" w:hAnsi="Times New Roman"/>
          <w:sz w:val="24"/>
          <w:szCs w:val="24"/>
        </w:rPr>
      </w:pPr>
      <w:r>
        <w:rPr>
          <w:rFonts w:ascii="Times New Roman" w:hAnsi="Times New Roman"/>
          <w:sz w:val="24"/>
        </w:rPr>
        <w:t>La résolution souligne le rôle de l’Union en tant qu’acteur de premier plan dans la définition de normes à l’échelle mondiale et souligne la nécessité de mettre en place un système de certification commun solide, tant pour la production intérieure que pour les importations, afin de garantir des conditions de concurrence équitables.</w:t>
      </w:r>
    </w:p>
    <w:p w14:paraId="2CB15081" w14:textId="113FAA2A" w:rsidR="00374807" w:rsidRPr="009565FD" w:rsidRDefault="00374807" w:rsidP="00DE4603">
      <w:pPr>
        <w:pStyle w:val="ListParagraph"/>
        <w:spacing w:after="120" w:line="240" w:lineRule="auto"/>
        <w:ind w:left="0"/>
        <w:contextualSpacing w:val="0"/>
        <w:jc w:val="both"/>
        <w:rPr>
          <w:rFonts w:ascii="Times New Roman" w:hAnsi="Times New Roman"/>
          <w:sz w:val="24"/>
          <w:szCs w:val="24"/>
        </w:rPr>
      </w:pPr>
      <w:r>
        <w:rPr>
          <w:rFonts w:ascii="Times New Roman" w:hAnsi="Times New Roman"/>
          <w:sz w:val="24"/>
        </w:rPr>
        <w:t>La résolution souligne que, pour accélérer avec succès le marché de l’hydrogène, il est nécessaire de garantir des investissements suffisants pour mettre en place des infrastructures adéquates pour l’hydrogène.</w:t>
      </w:r>
    </w:p>
    <w:p w14:paraId="00725679" w14:textId="526FD710" w:rsidR="0006665A" w:rsidRPr="009565FD" w:rsidRDefault="0006665A" w:rsidP="00DE4603">
      <w:pPr>
        <w:pStyle w:val="ListParagraph"/>
        <w:spacing w:after="120" w:line="240" w:lineRule="auto"/>
        <w:ind w:left="0"/>
        <w:contextualSpacing w:val="0"/>
        <w:jc w:val="both"/>
        <w:rPr>
          <w:rFonts w:ascii="Times New Roman" w:hAnsi="Times New Roman"/>
          <w:sz w:val="24"/>
          <w:szCs w:val="24"/>
        </w:rPr>
      </w:pPr>
      <w:r>
        <w:rPr>
          <w:rFonts w:ascii="Times New Roman" w:hAnsi="Times New Roman"/>
          <w:sz w:val="24"/>
        </w:rPr>
        <w:t>La résolution demande à la Commission d’envisager des mécanismes complémentaires tels que des subventions, des contrats d’écart compensatoire et des contrats d’écart compensatoire appliqués au carbone afin de soutenir la production et la demande d’hydrogène renouvelable.</w:t>
      </w:r>
    </w:p>
    <w:p w14:paraId="56B79E8E" w14:textId="279A576E" w:rsidR="00D17968" w:rsidRPr="009565FD" w:rsidRDefault="00D17968" w:rsidP="00DE4603">
      <w:pPr>
        <w:pStyle w:val="ListParagraph"/>
        <w:spacing w:after="120" w:line="240" w:lineRule="auto"/>
        <w:ind w:left="0"/>
        <w:contextualSpacing w:val="0"/>
        <w:jc w:val="both"/>
        <w:rPr>
          <w:rFonts w:ascii="Times New Roman" w:hAnsi="Times New Roman"/>
          <w:sz w:val="24"/>
          <w:szCs w:val="24"/>
        </w:rPr>
      </w:pPr>
      <w:r>
        <w:rPr>
          <w:rFonts w:ascii="Times New Roman" w:hAnsi="Times New Roman"/>
          <w:sz w:val="24"/>
        </w:rPr>
        <w:t>La résolution insiste également pour que les investissements dans l’hydrogène renouvelable en provenance de pays tiers soient soumis aux principes internationaux du devoir de diligence. Elle prie instamment la Commission d’élaborer des lignes directrices assorties de critères clairs et transparents concernant l’éligibilité des producteurs de pays tiers à une aide de l’UE.</w:t>
      </w:r>
    </w:p>
    <w:p w14:paraId="74A907DB" w14:textId="7DFE43DD" w:rsidR="00673592" w:rsidRPr="009565FD" w:rsidRDefault="00374807" w:rsidP="00DE4603">
      <w:pPr>
        <w:pStyle w:val="ListParagraph"/>
        <w:spacing w:after="120" w:line="240" w:lineRule="auto"/>
        <w:ind w:left="0"/>
        <w:contextualSpacing w:val="0"/>
        <w:jc w:val="both"/>
        <w:rPr>
          <w:rFonts w:ascii="Times New Roman" w:hAnsi="Times New Roman"/>
          <w:sz w:val="24"/>
          <w:szCs w:val="24"/>
        </w:rPr>
      </w:pPr>
      <w:r>
        <w:rPr>
          <w:rFonts w:ascii="Times New Roman" w:hAnsi="Times New Roman"/>
          <w:sz w:val="24"/>
        </w:rPr>
        <w:t>La résolution insiste sur la nécessité de faire de la Banque européenne de l’hydrogène le point de contact unique pour la communication d’informations sur les financements disponibles au niveau de l’Union et au niveau national. Elle invite la Commission à faire de la Banque européenne de l’hydrogène un guichet unique pour le financement de l’hydrogène. La résolution encourage la coopération entre la Banque européenne de l’hydrogène et les programmes des États membres en matière d’importations.</w:t>
      </w:r>
    </w:p>
    <w:p w14:paraId="7613FE35" w14:textId="42B83BB2" w:rsidR="00374807" w:rsidRPr="009565FD" w:rsidRDefault="00374807" w:rsidP="00DE4603">
      <w:pPr>
        <w:pStyle w:val="ListParagraph"/>
        <w:spacing w:after="120" w:line="240" w:lineRule="auto"/>
        <w:ind w:left="0"/>
        <w:contextualSpacing w:val="0"/>
        <w:jc w:val="both"/>
        <w:rPr>
          <w:rFonts w:ascii="Times New Roman" w:hAnsi="Times New Roman"/>
          <w:sz w:val="24"/>
          <w:szCs w:val="24"/>
        </w:rPr>
      </w:pPr>
      <w:r>
        <w:rPr>
          <w:rFonts w:ascii="Times New Roman" w:hAnsi="Times New Roman"/>
          <w:sz w:val="24"/>
        </w:rPr>
        <w:t>La résolution demande que le budget global de la Banque européenne de l’hydrogène soit considérablement augmenté et que d’autres financements soient envisagés en plus du Fonds pour l’innovation.</w:t>
      </w:r>
    </w:p>
    <w:p w14:paraId="471A52EF" w14:textId="1713E572" w:rsidR="00D17968" w:rsidRPr="009565FD" w:rsidRDefault="00D17968" w:rsidP="00DE4603">
      <w:pPr>
        <w:pStyle w:val="ListParagraph"/>
        <w:spacing w:after="120" w:line="240" w:lineRule="auto"/>
        <w:ind w:left="0"/>
        <w:contextualSpacing w:val="0"/>
        <w:jc w:val="both"/>
        <w:rPr>
          <w:rFonts w:ascii="Times New Roman" w:hAnsi="Times New Roman"/>
          <w:sz w:val="24"/>
          <w:szCs w:val="24"/>
        </w:rPr>
      </w:pPr>
      <w:r>
        <w:rPr>
          <w:rFonts w:ascii="Times New Roman" w:hAnsi="Times New Roman"/>
          <w:sz w:val="24"/>
        </w:rPr>
        <w:lastRenderedPageBreak/>
        <w:t xml:space="preserve">Enfin, la résolution insiste sur la nécessité d’un rapport annuel de la Commission qui évalue les progrès accomplis dans le développement du marché de l’hydrogène d’origine renouvelable et bas carbone et évalue les activités de la Banque européenne de l’hydrogène. </w:t>
      </w:r>
      <w:r w:rsidRPr="00A17915">
        <w:rPr>
          <w:rFonts w:ascii="Times New Roman" w:hAnsi="Times New Roman"/>
          <w:sz w:val="24"/>
        </w:rPr>
        <w:t>La résolution demande également à la Commission de soumettre une évaluation complète de la Banque européenne de l’hydrogène avant sa proposition relative à un nouveau cadre financier pluriannuel.</w:t>
      </w:r>
      <w:r>
        <w:rPr>
          <w:rFonts w:ascii="Times New Roman" w:hAnsi="Times New Roman"/>
          <w:sz w:val="24"/>
        </w:rPr>
        <w:t xml:space="preserve"> </w:t>
      </w:r>
    </w:p>
    <w:p w14:paraId="730BFCE2" w14:textId="2031F3F9" w:rsidR="004A6C66" w:rsidRPr="009565FD" w:rsidRDefault="004A6C66" w:rsidP="0D49C50E">
      <w:pPr>
        <w:widowControl w:val="0"/>
        <w:numPr>
          <w:ilvl w:val="0"/>
          <w:numId w:val="27"/>
        </w:numPr>
        <w:ind w:left="567" w:hanging="567"/>
        <w:rPr>
          <w:rFonts w:ascii="Times New Roman" w:hAnsi="Times New Roman"/>
          <w:b/>
          <w:i/>
          <w:szCs w:val="24"/>
        </w:rPr>
      </w:pPr>
      <w:r>
        <w:rPr>
          <w:rFonts w:ascii="Times New Roman" w:hAnsi="Times New Roman"/>
          <w:b/>
        </w:rPr>
        <w:t>Réponse à ces demandes et aperçu des mesures que la Commission a prises ou envisage de prendre:</w:t>
      </w:r>
      <w:r>
        <w:rPr>
          <w:rFonts w:ascii="Times New Roman" w:hAnsi="Times New Roman"/>
        </w:rPr>
        <w:t xml:space="preserve"> </w:t>
      </w:r>
    </w:p>
    <w:p w14:paraId="6CBDC94D" w14:textId="0D4EAFC0" w:rsidR="000370D8" w:rsidRPr="009565FD" w:rsidRDefault="000370D8" w:rsidP="00DE4603">
      <w:pPr>
        <w:widowControl w:val="0"/>
        <w:spacing w:after="120"/>
        <w:rPr>
          <w:rFonts w:ascii="Times New Roman" w:eastAsia="Calibri" w:hAnsi="Times New Roman"/>
        </w:rPr>
      </w:pPr>
      <w:r>
        <w:rPr>
          <w:rFonts w:ascii="Times New Roman" w:hAnsi="Times New Roman"/>
        </w:rPr>
        <w:t>La Commission remercie le Parlement européen d’avoir abordé le sujet de la Banque européenne de l’hydrogène. La Commission se félicite de la résolution et partage pleinement ses objectifs visant à soutenir le développement d’un marché de l’hydrogène renouvelable.</w:t>
      </w:r>
    </w:p>
    <w:p w14:paraId="310DF2E4" w14:textId="1EB90A6E" w:rsidR="000370D8" w:rsidRPr="009565FD" w:rsidRDefault="000370D8" w:rsidP="00DE4603">
      <w:pPr>
        <w:widowControl w:val="0"/>
        <w:spacing w:after="120"/>
        <w:rPr>
          <w:rFonts w:ascii="Times New Roman" w:eastAsia="Calibri" w:hAnsi="Times New Roman"/>
        </w:rPr>
      </w:pPr>
      <w:r>
        <w:rPr>
          <w:rFonts w:ascii="Times New Roman" w:hAnsi="Times New Roman"/>
        </w:rPr>
        <w:t>La Commission a soigneusement examiné la résolution et soutient bon nombre de ses éléments. La Commission partage l’avis du Parlement européen sur l’importance d’un financement suffisant pour tous les piliers de la Banque européenne de l’hydrogène.</w:t>
      </w:r>
    </w:p>
    <w:p w14:paraId="54363EDE" w14:textId="7DD20B09" w:rsidR="000370D8" w:rsidRPr="009565FD" w:rsidDel="001A1F00" w:rsidRDefault="000370D8" w:rsidP="00DE4603">
      <w:pPr>
        <w:widowControl w:val="0"/>
        <w:spacing w:after="120"/>
        <w:rPr>
          <w:rFonts w:ascii="Times New Roman" w:hAnsi="Times New Roman"/>
        </w:rPr>
      </w:pPr>
      <w:r>
        <w:rPr>
          <w:rFonts w:ascii="Times New Roman" w:hAnsi="Times New Roman"/>
        </w:rPr>
        <w:t>Dans la résolution, le Parlement invite à plusieurs reprises la Commission à prendre des mesures dans les domaines décrits.</w:t>
      </w:r>
    </w:p>
    <w:p w14:paraId="6192B5B1" w14:textId="0E073614" w:rsidR="003F48D5" w:rsidRPr="009565FD" w:rsidRDefault="003F48D5" w:rsidP="00DE4603">
      <w:pPr>
        <w:widowControl w:val="0"/>
        <w:spacing w:after="120"/>
        <w:rPr>
          <w:rFonts w:ascii="Times New Roman" w:hAnsi="Times New Roman"/>
          <w:bCs/>
          <w:iCs/>
          <w:szCs w:val="24"/>
        </w:rPr>
      </w:pPr>
      <w:r>
        <w:rPr>
          <w:rFonts w:ascii="Times New Roman" w:hAnsi="Times New Roman"/>
        </w:rPr>
        <w:t xml:space="preserve">En ce qui concerne la </w:t>
      </w:r>
      <w:r>
        <w:rPr>
          <w:rFonts w:ascii="Times New Roman" w:hAnsi="Times New Roman"/>
          <w:b/>
          <w:bCs/>
        </w:rPr>
        <w:t>priorité accordée à la production intérieure (paragraphe 8</w:t>
      </w:r>
      <w:r>
        <w:rPr>
          <w:rFonts w:ascii="Times New Roman" w:hAnsi="Times New Roman"/>
        </w:rPr>
        <w:t>), la première enchère pilote intérieure pour le soutien à l’hydrogène en tant que carburant renouvelable d’origine non biologique produit dans l’UE a été ouverte le 23 novembre 2023 et clôturée le 8 février 2024. L’enchère a suscité 132 offres émanant de projets situés dans 17 pays européens. L’évaluation des propositions et un exercice de retour d’expérience devraient se terminer d’ici mai 2024. La vitesse de déploiement de cet instrument traduit l’urgence du traitement accordé par la Commission au soutien à la production intérieure.</w:t>
      </w:r>
    </w:p>
    <w:p w14:paraId="13304B78" w14:textId="45B2480D" w:rsidR="003F48D5" w:rsidRPr="009565FD" w:rsidRDefault="003F48D5" w:rsidP="00DE4603">
      <w:pPr>
        <w:widowControl w:val="0"/>
        <w:spacing w:after="120"/>
        <w:rPr>
          <w:rFonts w:ascii="Times New Roman" w:hAnsi="Times New Roman"/>
          <w:bCs/>
          <w:iCs/>
          <w:szCs w:val="24"/>
        </w:rPr>
      </w:pPr>
      <w:r>
        <w:rPr>
          <w:rFonts w:ascii="Times New Roman" w:hAnsi="Times New Roman"/>
        </w:rPr>
        <w:t>Toutefois, les importations sont tout aussi importantes en raison de la demande future potentiellement élevée de l’UE dans les secteurs industriels (acier et produits chimiques, par exemple). Le plan REPowerEU [COM(2022) 230] a souligné la nécessité tant de la production intérieure que des importations. Par conséquent, la Commission travaille également à la mise au point d’une enchère internationale pour les importations.</w:t>
      </w:r>
    </w:p>
    <w:p w14:paraId="2CE5D5C0" w14:textId="304C3CBD" w:rsidR="00653FAB" w:rsidRPr="009565FD" w:rsidRDefault="00653FAB" w:rsidP="00DE4603">
      <w:pPr>
        <w:widowControl w:val="0"/>
        <w:spacing w:after="120"/>
        <w:rPr>
          <w:rFonts w:ascii="Times New Roman" w:hAnsi="Times New Roman"/>
        </w:rPr>
      </w:pPr>
      <w:r>
        <w:rPr>
          <w:rFonts w:ascii="Times New Roman" w:hAnsi="Times New Roman"/>
        </w:rPr>
        <w:t xml:space="preserve">En ce qui concerne la </w:t>
      </w:r>
      <w:r>
        <w:rPr>
          <w:rFonts w:ascii="Times New Roman" w:hAnsi="Times New Roman"/>
          <w:b/>
          <w:bCs/>
        </w:rPr>
        <w:t>fixation d’un plafond de prix lors des prochains cycles d’enchères (paragraphe 16)</w:t>
      </w:r>
      <w:r>
        <w:rPr>
          <w:rFonts w:ascii="Times New Roman" w:hAnsi="Times New Roman"/>
        </w:rPr>
        <w:t xml:space="preserve">, sa valeur sera définie sur la base de l’expérience tirée de l’enchère pilote, d’une analyse économique et d’une consultation des parties prenantes. En ce qui concerne la prise en considération de </w:t>
      </w:r>
      <w:r>
        <w:rPr>
          <w:rFonts w:ascii="Times New Roman" w:hAnsi="Times New Roman"/>
          <w:b/>
          <w:bCs/>
        </w:rPr>
        <w:t>mécanismes complémentaires</w:t>
      </w:r>
      <w:r>
        <w:rPr>
          <w:rFonts w:ascii="Times New Roman" w:hAnsi="Times New Roman"/>
        </w:rPr>
        <w:t xml:space="preserve"> pour soutenir la demande, cet aspect pourrait également être analysé dans le cadre d’un exercice de retour d’expérience. Le recours à un régime de primes fixes pour l’enchère pilote est lié au caractère embryonnaire du marché de l’hydrogène (qui ne peut pas encore fournir de prix de référence) et à l’objectif de mettre au point un mécanisme simple pour la première expérience de mise aux enchères. Le recours à des systèmes tels que les contrats d’écart compensatoire appliqués au carbone est considéré comme une option envisageable dans la directive révisée relative au système d’échange de quotas d’émission de l’UE (SEQE-UE), tandis que les possibilités qu’ils offrent et les défis auxquels ils sont confrontés seront analysés plus en détail.</w:t>
      </w:r>
    </w:p>
    <w:p w14:paraId="23EC154D" w14:textId="2E0666DC" w:rsidR="1DC024C6" w:rsidRPr="009565FD" w:rsidRDefault="1DC024C6" w:rsidP="00DE4603">
      <w:pPr>
        <w:widowControl w:val="0"/>
        <w:spacing w:after="120"/>
        <w:rPr>
          <w:rFonts w:ascii="Times New Roman" w:hAnsi="Times New Roman"/>
        </w:rPr>
      </w:pPr>
      <w:r>
        <w:rPr>
          <w:rFonts w:ascii="Times New Roman" w:hAnsi="Times New Roman"/>
        </w:rPr>
        <w:t xml:space="preserve">En ce qui concerne </w:t>
      </w:r>
      <w:r>
        <w:rPr>
          <w:rFonts w:ascii="Times New Roman" w:hAnsi="Times New Roman"/>
          <w:b/>
          <w:bCs/>
        </w:rPr>
        <w:t>l’équilibre géographique et sectoriel</w:t>
      </w:r>
      <w:r>
        <w:rPr>
          <w:rFonts w:ascii="Times New Roman" w:hAnsi="Times New Roman"/>
        </w:rPr>
        <w:t xml:space="preserve"> </w:t>
      </w:r>
      <w:r>
        <w:rPr>
          <w:rFonts w:ascii="Times New Roman" w:hAnsi="Times New Roman"/>
          <w:b/>
          <w:bCs/>
        </w:rPr>
        <w:t>(paragraphes 17 et 21)</w:t>
      </w:r>
      <w:r>
        <w:rPr>
          <w:rFonts w:ascii="Times New Roman" w:hAnsi="Times New Roman"/>
        </w:rPr>
        <w:t xml:space="preserve">, dans le cadre de l’enchère intérieure de la Banque européenne de l’hydrogène axée sur le soutien à la production d’hydrogène renouvelable dans l’UE, la Commission évaluera les éléments de conception de l’enchère pilote lors d’un exercice de retour d’expérience et publiera au printemps 2024 le projet de modalités et conditions applicables à une prochaine enchère. Les aspects liés à l’équilibre géographique et sectoriel peuvent </w:t>
      </w:r>
      <w:r>
        <w:rPr>
          <w:rFonts w:ascii="Times New Roman" w:hAnsi="Times New Roman"/>
        </w:rPr>
        <w:lastRenderedPageBreak/>
        <w:t>s’inscrire dans le cadre de cet exercice.</w:t>
      </w:r>
    </w:p>
    <w:p w14:paraId="7E3CE33F" w14:textId="6BA31AD9" w:rsidR="0079458C" w:rsidRPr="009565FD" w:rsidRDefault="0079458C" w:rsidP="00DE4603">
      <w:pPr>
        <w:widowControl w:val="0"/>
        <w:spacing w:after="120"/>
        <w:rPr>
          <w:rFonts w:ascii="Times New Roman" w:hAnsi="Times New Roman"/>
          <w:bCs/>
          <w:iCs/>
          <w:szCs w:val="24"/>
        </w:rPr>
      </w:pPr>
      <w:r>
        <w:rPr>
          <w:rFonts w:ascii="Times New Roman" w:hAnsi="Times New Roman"/>
        </w:rPr>
        <w:t>L’exercice de retour d’expérience alimentera la consultation des parties prenantes sur les modalités et conditions du deuxième cycle de l’enchère relative à la production d’hydrogène renouvelable au titre du Fonds pour l’innovation. Ce deuxième cycle devrait être lancé avant la fin de 2024. Le choix des secteurs éligibles à l’achat fera partie de cette consultation, de même que d’autres aspects de l’organisation.</w:t>
      </w:r>
    </w:p>
    <w:p w14:paraId="448B77A2" w14:textId="0EAA39B6" w:rsidR="0043502F" w:rsidRPr="009565FD" w:rsidRDefault="00D758E6" w:rsidP="00DE4603">
      <w:pPr>
        <w:widowControl w:val="0"/>
        <w:spacing w:after="120"/>
        <w:rPr>
          <w:rFonts w:ascii="Times New Roman" w:hAnsi="Times New Roman"/>
          <w:bCs/>
          <w:iCs/>
          <w:szCs w:val="24"/>
        </w:rPr>
      </w:pPr>
      <w:r>
        <w:rPr>
          <w:rFonts w:ascii="Times New Roman" w:hAnsi="Times New Roman"/>
        </w:rPr>
        <w:t>L’enchère pilote en cours ne comporte pas de critères d’équilibre géographique spécifiques, étant donné que l’un de ses objectifs est de contribuer à la création d’un marché de l’hydrogène renouvelable au niveau européen et de permettre la détermination des prix. Les aspects liés à l’équilibre géographique feront également l’objet de discussions au cours de l’exercice de retour d’expérience.</w:t>
      </w:r>
    </w:p>
    <w:p w14:paraId="49B0C597" w14:textId="33F2C3EC" w:rsidR="0079458C" w:rsidRPr="009565FD" w:rsidRDefault="005C1622" w:rsidP="00DE4603">
      <w:pPr>
        <w:widowControl w:val="0"/>
        <w:spacing w:after="120"/>
        <w:rPr>
          <w:rFonts w:ascii="Times New Roman" w:hAnsi="Times New Roman"/>
          <w:bCs/>
          <w:iCs/>
          <w:szCs w:val="24"/>
        </w:rPr>
      </w:pPr>
      <w:r>
        <w:rPr>
          <w:rFonts w:ascii="Times New Roman" w:hAnsi="Times New Roman"/>
        </w:rPr>
        <w:t>Néanmoins, le document d’appel de l’enchère prend déjà en compte l’importance de l’équilibre géographique dans le cadre du Fonds pour l’innovation, étant donné qu’il précise que, pour les propositions comportant le même prix d’achat, un ordre de priorité sera défini pour leur classement en fonction d’une liste de critères. Selon le deuxième de ces critères, les propositions situées dans un pays (États membres de l’UE, pays de l’Espace économique européen) qui, lors de la publication de l’appel, avait moins de fonds alloués dans le cadre d’appels précédents au titre du Fonds pour l’innovation, seront considérées comme bénéficiant d’un degré de priorité plus élevé.</w:t>
      </w:r>
    </w:p>
    <w:p w14:paraId="730AF597" w14:textId="0346B290" w:rsidR="00687302" w:rsidRPr="009565FD" w:rsidRDefault="00687302" w:rsidP="00DE4603">
      <w:pPr>
        <w:widowControl w:val="0"/>
        <w:spacing w:after="120"/>
        <w:rPr>
          <w:rFonts w:ascii="Times New Roman" w:hAnsi="Times New Roman"/>
          <w:bCs/>
          <w:iCs/>
          <w:szCs w:val="24"/>
        </w:rPr>
      </w:pPr>
      <w:r>
        <w:rPr>
          <w:rFonts w:ascii="Times New Roman" w:hAnsi="Times New Roman"/>
        </w:rPr>
        <w:t>En ce qui concerne l’</w:t>
      </w:r>
      <w:r>
        <w:rPr>
          <w:rFonts w:ascii="Times New Roman" w:hAnsi="Times New Roman"/>
          <w:b/>
          <w:bCs/>
        </w:rPr>
        <w:t>assistance technique aux États membres (paragraphes 18 et 25)</w:t>
      </w:r>
      <w:r>
        <w:rPr>
          <w:rFonts w:ascii="Times New Roman" w:hAnsi="Times New Roman"/>
        </w:rPr>
        <w:t xml:space="preserve">, il existe actuellement, dans le cadre du Fonds pour l’innovation, trois grandes initiatives qui visent à aider les États membres à constituer une réserve nationale de projets innovants de qualité et à améliorer l’équilibre géographique: </w:t>
      </w:r>
    </w:p>
    <w:p w14:paraId="067C88D0" w14:textId="0352F45A" w:rsidR="00687302" w:rsidRPr="009565FD" w:rsidRDefault="00687302" w:rsidP="00DE4603">
      <w:pPr>
        <w:widowControl w:val="0"/>
        <w:numPr>
          <w:ilvl w:val="0"/>
          <w:numId w:val="36"/>
        </w:numPr>
        <w:spacing w:after="120"/>
        <w:rPr>
          <w:rFonts w:ascii="Times New Roman" w:hAnsi="Times New Roman"/>
          <w:bCs/>
          <w:iCs/>
          <w:szCs w:val="24"/>
        </w:rPr>
      </w:pPr>
      <w:r>
        <w:rPr>
          <w:rFonts w:ascii="Times New Roman" w:hAnsi="Times New Roman"/>
        </w:rPr>
        <w:t>la révision de la directive relative au système d’échange de quotas d’émission de l’Union (SEQE-UE) a introduit une «assistance technique pour les États membres ayant une faible participation effective», dans le but d’améliorer la qualité globale des demandes au titre du Fonds pour l’innovation;</w:t>
      </w:r>
    </w:p>
    <w:p w14:paraId="729936DA" w14:textId="1F394227" w:rsidR="00687302" w:rsidRPr="009565FD" w:rsidRDefault="00687302" w:rsidP="00DE4603">
      <w:pPr>
        <w:widowControl w:val="0"/>
        <w:numPr>
          <w:ilvl w:val="0"/>
          <w:numId w:val="36"/>
        </w:numPr>
        <w:spacing w:after="120"/>
        <w:rPr>
          <w:rFonts w:ascii="Times New Roman" w:hAnsi="Times New Roman"/>
          <w:bCs/>
          <w:iCs/>
          <w:szCs w:val="24"/>
        </w:rPr>
      </w:pPr>
      <w:r>
        <w:rPr>
          <w:rFonts w:ascii="Times New Roman" w:hAnsi="Times New Roman"/>
        </w:rPr>
        <w:t>la Commission soutient les États membres par l’intermédiaire de l’instrument d’appui technique, qui fournit une expertise sur mesure pour la conception et la mise en œuvre de réformes, y compris celles qui encouragent les investissements dans l’accélération de la transition vers une énergie verte grâce à l’hydrogène; et</w:t>
      </w:r>
    </w:p>
    <w:p w14:paraId="3A6C97DE" w14:textId="25E15482" w:rsidR="00EA13C8" w:rsidRPr="009565FD" w:rsidRDefault="00687302" w:rsidP="00DE4603">
      <w:pPr>
        <w:widowControl w:val="0"/>
        <w:numPr>
          <w:ilvl w:val="0"/>
          <w:numId w:val="36"/>
        </w:numPr>
        <w:spacing w:after="120"/>
        <w:rPr>
          <w:rFonts w:ascii="Times New Roman" w:hAnsi="Times New Roman"/>
          <w:bCs/>
          <w:iCs/>
          <w:szCs w:val="24"/>
        </w:rPr>
      </w:pPr>
      <w:r>
        <w:rPr>
          <w:rFonts w:ascii="Times New Roman" w:hAnsi="Times New Roman"/>
        </w:rPr>
        <w:t>des sessions de formation sont organisées tous les points de contact nationaux des États membres et les représentants du groupe d’experts du Fonds pour l’innovation sur les critères d’attribution, la sensibilisation et la communication.</w:t>
      </w:r>
    </w:p>
    <w:p w14:paraId="5DD27107" w14:textId="3E35BF90" w:rsidR="007B19EE" w:rsidRPr="009565FD" w:rsidRDefault="007B19EE" w:rsidP="00DE4603">
      <w:pPr>
        <w:widowControl w:val="0"/>
        <w:spacing w:after="120"/>
        <w:rPr>
          <w:rFonts w:ascii="Times New Roman" w:hAnsi="Times New Roman"/>
        </w:rPr>
      </w:pPr>
      <w:r>
        <w:rPr>
          <w:rFonts w:ascii="Times New Roman" w:hAnsi="Times New Roman"/>
        </w:rPr>
        <w:t xml:space="preserve">En ce qui concerne les aspects liés au </w:t>
      </w:r>
      <w:r>
        <w:rPr>
          <w:rFonts w:ascii="Times New Roman" w:hAnsi="Times New Roman"/>
          <w:b/>
          <w:bCs/>
        </w:rPr>
        <w:t>cumul avec d’autres financements publics</w:t>
      </w:r>
      <w:r>
        <w:rPr>
          <w:rFonts w:ascii="Times New Roman" w:hAnsi="Times New Roman"/>
        </w:rPr>
        <w:t xml:space="preserve"> </w:t>
      </w:r>
      <w:r>
        <w:rPr>
          <w:rFonts w:ascii="Times New Roman" w:hAnsi="Times New Roman"/>
          <w:b/>
          <w:bCs/>
        </w:rPr>
        <w:t>(paragraphe 20)</w:t>
      </w:r>
      <w:r>
        <w:rPr>
          <w:rFonts w:ascii="Times New Roman" w:hAnsi="Times New Roman"/>
        </w:rPr>
        <w:t>, les règles en vigueur de l’enchère pilote limitent le cumul des aides car elles visent à créer des conditions de concurrence équitables pour les demandeurs. La définition détaillée des règles de cumul lors des prochains cycles sera également abordée lors de l’exercice de retour d’expérience qui aura lieu après la clôture de l’enchère pilote.</w:t>
      </w:r>
    </w:p>
    <w:p w14:paraId="416A90D6" w14:textId="5C815B09" w:rsidR="2104E947" w:rsidRPr="009565FD" w:rsidRDefault="43CDED96" w:rsidP="00DE4603">
      <w:pPr>
        <w:widowControl w:val="0"/>
        <w:spacing w:after="120"/>
        <w:rPr>
          <w:rFonts w:ascii="Times New Roman" w:hAnsi="Times New Roman"/>
        </w:rPr>
      </w:pPr>
      <w:r>
        <w:rPr>
          <w:rFonts w:ascii="Times New Roman" w:hAnsi="Times New Roman"/>
        </w:rPr>
        <w:t>En ce qui concerne l’</w:t>
      </w:r>
      <w:r>
        <w:rPr>
          <w:rFonts w:ascii="Times New Roman" w:hAnsi="Times New Roman"/>
          <w:b/>
          <w:bCs/>
        </w:rPr>
        <w:t>alliance européenne pour un hydrogène propre (paragraphe 25)</w:t>
      </w:r>
      <w:r>
        <w:rPr>
          <w:rFonts w:ascii="Times New Roman" w:hAnsi="Times New Roman"/>
        </w:rPr>
        <w:t>, cette dernière maintiendra ses activités et pourra soutenir la Banque européenne de l’hydrogène avec son vaste groupe de parties prenantes, notamment en partageant des connaissances et des conseils et en échangeant les bonnes pratiques. Il serait contre-productif d’inclure les activités de l’alliance européenne pour un hydrogène propre dans la Banque européenne de l’hydrogène, étant donné que l’alliance mène de nombreuses activités qui ne sont pas directement pertinentes pour les activités prévues pour la Banque européenne de l’hydrogène. Par conséquent, la Banque européenne de l’hydrogène peut être soutenue par l’alliance européenne pour un hydrogène propre dans le cadre de ses actions, comme cela a déjà été le cas lors de discussions préliminaires. Ce soutien peut être fourni sans que la portée des activités ou la gouvernance de l’alliance européenne pour un hydrogène propre soit modifiée.</w:t>
      </w:r>
    </w:p>
    <w:p w14:paraId="5357D2F0" w14:textId="698E6267" w:rsidR="2104E947" w:rsidRPr="009565FD" w:rsidRDefault="43CDED96" w:rsidP="00DE4603">
      <w:pPr>
        <w:widowControl w:val="0"/>
        <w:spacing w:after="120"/>
        <w:rPr>
          <w:rFonts w:ascii="Times New Roman" w:hAnsi="Times New Roman"/>
        </w:rPr>
      </w:pPr>
      <w:r>
        <w:rPr>
          <w:rFonts w:ascii="Times New Roman" w:hAnsi="Times New Roman"/>
        </w:rPr>
        <w:t>L’alliance européenne pour un hydrogène propre soutiendra la Banque européenne de l’hydrogène pour les actions de financement liées aux enchères de cette dernière. Dans un souci d’efficacité et de transparence, la Banque européenne de l’hydrogène ne mettra pas en place d’activités qui sont déjà couvertes par l’alliance européenne pour un hydrogène propre. Une coopération étroite dans le cadre des actions liées au financement peut contribuer à promouvoir la visibilité et la portée des travaux liés au financement et des enchères organisées par la Banque européenne de l’hydrogène.</w:t>
      </w:r>
    </w:p>
    <w:p w14:paraId="1B271CB9" w14:textId="2B4DA41B" w:rsidR="00D517BA" w:rsidRPr="009565FD" w:rsidRDefault="00EF29EB" w:rsidP="00DE4603">
      <w:pPr>
        <w:widowControl w:val="0"/>
        <w:spacing w:after="120"/>
        <w:rPr>
          <w:rFonts w:ascii="Times New Roman" w:hAnsi="Times New Roman"/>
        </w:rPr>
      </w:pPr>
      <w:r>
        <w:rPr>
          <w:rFonts w:ascii="Times New Roman" w:hAnsi="Times New Roman"/>
        </w:rPr>
        <w:t xml:space="preserve">En ce qui concerne les </w:t>
      </w:r>
      <w:r>
        <w:rPr>
          <w:rFonts w:ascii="Times New Roman" w:hAnsi="Times New Roman"/>
          <w:b/>
          <w:bCs/>
        </w:rPr>
        <w:t>entités de l’UE qui s’occupent du domaine de l’hydrogène (paragraphe 26)</w:t>
      </w:r>
      <w:r>
        <w:rPr>
          <w:rFonts w:ascii="Times New Roman" w:hAnsi="Times New Roman"/>
        </w:rPr>
        <w:t>, l’entreprise commune «Hydrogène propre» est un partenariat public-privé soutenant les activités de recherche et d’innovation dans le domaine des technologies de l’hydrogène en Europe. L’Observatoire des piles à combustible et de l’hydrogène, lancé dans le cadre de l’entreprise commune Piles à combustible et Hydrogène 2 (entreprise commune PCH 2), poursuit ses activités depuis novembre 2021 sous le nom d’Observatoire européen de l’hydrogène (EHO). Il s’agit d’une plateforme ouverte qui fournit des données et des informations actualisées sur l’ensemble du secteur de l’hydrogène. Les activités de l’entreprise commune PCH 2 et de l’Observatoire sont différentes de celles de la Banque européenne de l’hydrogène, qui se concentre davantage sur l’accélération de l’essor du marché.</w:t>
      </w:r>
    </w:p>
    <w:p w14:paraId="2A592AEF" w14:textId="313806A3" w:rsidR="00E104F0" w:rsidRPr="009565FD" w:rsidRDefault="00EF29EB" w:rsidP="00DE4603">
      <w:pPr>
        <w:widowControl w:val="0"/>
        <w:spacing w:after="120"/>
        <w:rPr>
          <w:rFonts w:ascii="Times New Roman" w:hAnsi="Times New Roman"/>
        </w:rPr>
      </w:pPr>
      <w:r>
        <w:rPr>
          <w:rFonts w:ascii="Times New Roman" w:hAnsi="Times New Roman"/>
        </w:rPr>
        <w:t>En ce qui concerne le</w:t>
      </w:r>
      <w:r>
        <w:rPr>
          <w:rFonts w:ascii="Times New Roman" w:hAnsi="Times New Roman"/>
          <w:b/>
          <w:bCs/>
        </w:rPr>
        <w:t xml:space="preserve"> projet pilote de développement du marché de l’hydrogène</w:t>
      </w:r>
      <w:r>
        <w:rPr>
          <w:rFonts w:ascii="Times New Roman" w:hAnsi="Times New Roman"/>
        </w:rPr>
        <w:t xml:space="preserve"> dans le cadre de la Banque européenne de l’hydrogène </w:t>
      </w:r>
      <w:r>
        <w:rPr>
          <w:rFonts w:ascii="Times New Roman" w:hAnsi="Times New Roman"/>
          <w:b/>
          <w:bCs/>
        </w:rPr>
        <w:t>(paragraphes 9, 27 et 28)</w:t>
      </w:r>
      <w:r>
        <w:rPr>
          <w:rFonts w:ascii="Times New Roman" w:hAnsi="Times New Roman"/>
        </w:rPr>
        <w:t>, les colégislateurs sont convenus à titre provisoire, au titre du règlement relatif au marché intérieur de l’hydrogène et du gaz, d’un «mécanisme de soutien au développement du marché de l’hydrogène» dans le cadre de la Banque européenne de l’hydrogène.</w:t>
      </w:r>
    </w:p>
    <w:p w14:paraId="204A0425" w14:textId="5C9D64AB" w:rsidR="006559AE" w:rsidRPr="009565FD" w:rsidRDefault="006559AE" w:rsidP="00DE4603">
      <w:pPr>
        <w:spacing w:after="120"/>
        <w:rPr>
          <w:rFonts w:ascii="Times New Roman" w:hAnsi="Times New Roman"/>
        </w:rPr>
      </w:pPr>
      <w:r>
        <w:rPr>
          <w:rFonts w:ascii="Times New Roman" w:hAnsi="Times New Roman"/>
        </w:rPr>
        <w:t>Ce nouveau mécanisme pour l’hydrogène peut, dans le domaine de l’hydrogène renouvelable, s’appuyer sur les enseignements tirés et l’expérience acquise lors de la mise en place et de l’exploitation d’AggregateEU, le mécanisme d’agrégation de la demande et d’achat commun de gaz naturel prévu dans le cadre de la plateforme énergétique de l’UE. Toutefois, AggregateEU ne peut pas être transposée telle quelle pour l’hydrogène, étant donné que l’architecture juridique, technique et financière relative au gaz naturel est différente de celle liée à l’hydrogène. Ce nouveau mécanisme contribuera à la Banque européenne de l’hydrogène en renforçant la transparence en ce qui concerne la demande, l’offre, les flux et les prix de l’hydrogène.</w:t>
      </w:r>
    </w:p>
    <w:p w14:paraId="25937F51" w14:textId="50E25802" w:rsidR="006559AE" w:rsidRPr="009565FD" w:rsidRDefault="006559AE" w:rsidP="00DE4603">
      <w:pPr>
        <w:spacing w:after="120"/>
        <w:rPr>
          <w:rFonts w:ascii="Times New Roman" w:hAnsi="Times New Roman"/>
        </w:rPr>
      </w:pPr>
      <w:r>
        <w:rPr>
          <w:rFonts w:ascii="Times New Roman" w:hAnsi="Times New Roman"/>
        </w:rPr>
        <w:t xml:space="preserve">Sur la base de l’expérience acquise avec AggregateEU, la Commission devra passer un contrat avec un prestataire de services et garantir le financement correspondant pour lancer et exploiter ce mécanisme pour l’hydrogène. </w:t>
      </w:r>
    </w:p>
    <w:p w14:paraId="06DD89CA" w14:textId="1F68564E" w:rsidR="006559AE" w:rsidRPr="009565FD" w:rsidRDefault="006559AE" w:rsidP="00DE4603">
      <w:pPr>
        <w:widowControl w:val="0"/>
        <w:spacing w:after="120"/>
        <w:rPr>
          <w:rFonts w:ascii="Times New Roman" w:hAnsi="Times New Roman"/>
        </w:rPr>
      </w:pPr>
      <w:r>
        <w:rPr>
          <w:rFonts w:ascii="Times New Roman" w:hAnsi="Times New Roman"/>
        </w:rPr>
        <w:t>Avant l’expiration de ce mécanisme pour l’hydrogène, la Commission présentera au Parlement européen et au Conseil un rapport évaluant ses performances. Ce rapport pourrait être accompagné d’une proposition législative visant à mettre au point un mécanisme d’agrégation volontaire de la demande et d’achat commun d’hydrogène.</w:t>
      </w:r>
    </w:p>
    <w:p w14:paraId="303C345B" w14:textId="68716077" w:rsidR="25C086B0" w:rsidRPr="009565FD" w:rsidRDefault="25C086B0" w:rsidP="00DE4603">
      <w:pPr>
        <w:widowControl w:val="0"/>
        <w:spacing w:after="120"/>
        <w:rPr>
          <w:rFonts w:ascii="Times New Roman" w:hAnsi="Times New Roman"/>
        </w:rPr>
      </w:pPr>
      <w:r>
        <w:rPr>
          <w:rFonts w:ascii="Times New Roman" w:hAnsi="Times New Roman"/>
        </w:rPr>
        <w:t xml:space="preserve">En ce qui concerne un </w:t>
      </w:r>
      <w:r>
        <w:rPr>
          <w:rFonts w:ascii="Times New Roman" w:hAnsi="Times New Roman"/>
          <w:b/>
          <w:bCs/>
        </w:rPr>
        <w:t>système de certification commun solide (paragraphe 32)</w:t>
      </w:r>
      <w:r>
        <w:rPr>
          <w:rFonts w:ascii="Times New Roman" w:hAnsi="Times New Roman"/>
        </w:rPr>
        <w:t xml:space="preserve">, la Commission a reçu plusieurs demandes émanant de systèmes volontaires visant à obtenir la reconnaissance de la certification de l’hydrogène renouvelable. Certains de ces systèmes visent à certifier l’hydrogène renouvelable produit en dehors de l’UE. Les règles régissant la certification de l’hydrogène renouvelable s’appliquent à la fois à la production intérieure et à l’hydrogène importé. Certains aspects pertinents pour le processus de certification, tels que les règles fondées sur la notion de zones de dépôt des offres définie dans le droit de l’Union, permettent le recours à des notions équivalentes hors de l’UE. Le processus de reconnaissance sera achevé une fois que les systèmes satisferont à toutes les exigences requises. Les premiers systèmes de certification devraient être reconnus en 2024. </w:t>
      </w:r>
    </w:p>
    <w:p w14:paraId="5C5326B4" w14:textId="06804E40" w:rsidR="0016064D" w:rsidRPr="009565FD" w:rsidRDefault="64656BE1" w:rsidP="00DE4603">
      <w:pPr>
        <w:widowControl w:val="0"/>
        <w:spacing w:after="120"/>
        <w:rPr>
          <w:rFonts w:ascii="Times New Roman" w:hAnsi="Times New Roman"/>
        </w:rPr>
      </w:pPr>
      <w:r>
        <w:rPr>
          <w:rFonts w:ascii="Times New Roman" w:hAnsi="Times New Roman"/>
        </w:rPr>
        <w:t xml:space="preserve">En ce qui concerne les </w:t>
      </w:r>
      <w:r>
        <w:rPr>
          <w:rFonts w:ascii="Times New Roman" w:hAnsi="Times New Roman"/>
          <w:b/>
          <w:bCs/>
        </w:rPr>
        <w:t>producteurs de pays tiers et les importations dans l’UE (paragraphes 33, 34 et 36)</w:t>
      </w:r>
      <w:r>
        <w:rPr>
          <w:rFonts w:ascii="Times New Roman" w:hAnsi="Times New Roman"/>
        </w:rPr>
        <w:t>, les critères applicables aux enchères pour les importations seront élaborés une fois que la Commission aura obtenu le financement du volet international de la Banque européenne de l’hydrogène. Ces critères incluront les conditions de participation des producteurs de pays tiers.</w:t>
      </w:r>
    </w:p>
    <w:p w14:paraId="2F003D38" w14:textId="53911E9B" w:rsidR="00405A37" w:rsidRPr="009565FD" w:rsidRDefault="148F52F2" w:rsidP="00DE4603">
      <w:pPr>
        <w:widowControl w:val="0"/>
        <w:spacing w:after="120"/>
        <w:rPr>
          <w:rFonts w:ascii="Times New Roman" w:hAnsi="Times New Roman"/>
        </w:rPr>
      </w:pPr>
      <w:r>
        <w:rPr>
          <w:rFonts w:ascii="Times New Roman" w:hAnsi="Times New Roman"/>
        </w:rPr>
        <w:t xml:space="preserve">En ce qui concerne les </w:t>
      </w:r>
      <w:r>
        <w:rPr>
          <w:rFonts w:ascii="Times New Roman" w:hAnsi="Times New Roman"/>
          <w:b/>
          <w:bCs/>
        </w:rPr>
        <w:t>investissements dans les infrastructures (paragraphe 37)</w:t>
      </w:r>
      <w:r>
        <w:rPr>
          <w:rFonts w:ascii="Times New Roman" w:hAnsi="Times New Roman"/>
        </w:rPr>
        <w:t>, il est essentiel de développer rapidement des infrastructures spécialisées pour l’hydrogène dans et vers l’UE, reliant l’offre et la demande, pour atteindre les objectifs de décarbonation de l’UE. Le règlement révisé sur les réseaux transeuropéens d’énergie (RTE-E) est un instrument unique pour la planification des infrastructures énergétiques européennes. La Banque européenne de l’hydrogène facilitera la planification des infrastructures en fournissant les informations sur les flux d’hydrogène qu’elle recueillera dans le cadre de ses activités (par exemple, des informations sur les points de livraison). Divers fonds de l’UE soutiennent le développement d’infrastructures et d’investissements pour l’hydrogène tout au long de la chaîne d’approvisionnement en hydrogène, notamment le mécanisme pour l’interconnexion en Europe, les financements de la politique de cohésion et la facilité pour la reprise et la résilience.</w:t>
      </w:r>
    </w:p>
    <w:p w14:paraId="2F1D0A71" w14:textId="63AD69CD" w:rsidR="00496820" w:rsidRPr="009565FD" w:rsidRDefault="00E104F0" w:rsidP="00DE4603">
      <w:pPr>
        <w:widowControl w:val="0"/>
        <w:spacing w:after="120"/>
        <w:rPr>
          <w:rFonts w:ascii="Times New Roman" w:hAnsi="Times New Roman"/>
        </w:rPr>
      </w:pPr>
      <w:r>
        <w:rPr>
          <w:rFonts w:ascii="Times New Roman" w:hAnsi="Times New Roman"/>
        </w:rPr>
        <w:t xml:space="preserve">En ce qui concerne la </w:t>
      </w:r>
      <w:r>
        <w:rPr>
          <w:rFonts w:ascii="Times New Roman" w:hAnsi="Times New Roman"/>
          <w:b/>
          <w:bCs/>
        </w:rPr>
        <w:t>planification budgétaire de la Banque européenne de l’hydrogène (paragraphe 41)</w:t>
      </w:r>
      <w:r>
        <w:rPr>
          <w:rFonts w:ascii="Times New Roman" w:hAnsi="Times New Roman"/>
        </w:rPr>
        <w:t>, dans le discours qu’elle a prononcé lors de la Semaine européenne de l’hydrogène en novembre 2023, la présidente de la Commission a annoncé le lancement d’un deuxième cycle d’enchères doté d’un budget qui reste à déterminer afin de concrétiser l’intention de la Commission de faire en sorte que la Banque européenne de l’hydrogène apporte un soutien total de 3 milliards d’euros au secteur.</w:t>
      </w:r>
    </w:p>
    <w:p w14:paraId="08266666" w14:textId="0EC0CDCB" w:rsidR="00496820" w:rsidRPr="009565FD" w:rsidRDefault="00496820" w:rsidP="00DE4603">
      <w:pPr>
        <w:widowControl w:val="0"/>
        <w:spacing w:after="120"/>
        <w:rPr>
          <w:rFonts w:ascii="Times New Roman" w:hAnsi="Times New Roman"/>
          <w:bCs/>
          <w:iCs/>
          <w:szCs w:val="24"/>
        </w:rPr>
      </w:pPr>
      <w:r>
        <w:rPr>
          <w:rFonts w:ascii="Times New Roman" w:hAnsi="Times New Roman"/>
        </w:rPr>
        <w:t>Cela fait suite à l’annonce par la présidente d’un montant de 3 milliards d’euros en faveur de la Banque de l’hydrogène dans son discours sur l’état de l’Union de 2022, à la Commission est déterminée à donner suite.</w:t>
      </w:r>
    </w:p>
    <w:p w14:paraId="44330642" w14:textId="1C245A7D" w:rsidR="00496820" w:rsidRPr="009565FD" w:rsidRDefault="00496820" w:rsidP="00DE4603">
      <w:pPr>
        <w:widowControl w:val="0"/>
        <w:spacing w:after="120"/>
        <w:rPr>
          <w:rFonts w:ascii="Times New Roman" w:hAnsi="Times New Roman"/>
        </w:rPr>
      </w:pPr>
      <w:r>
        <w:rPr>
          <w:rFonts w:ascii="Times New Roman" w:hAnsi="Times New Roman"/>
        </w:rPr>
        <w:t>Des enchères de suivi pour la production intérieure d’hydrogène renouvelable, dotées d’un budget éventuellement augmenté, ne seront mises en place qu’à condition que le projet pilote soit un succès. On ne pourra conclure que le marché est prêt pour un nouveau soutien de ce type que si un nombre important d’offres sont présentées dans le cadre de l’enchère pilote. Ce n’est qu’alors que davantage de fonds pourront être alloués à cet instrument.</w:t>
      </w:r>
    </w:p>
    <w:p w14:paraId="0678A5E4" w14:textId="41AEA1E3" w:rsidR="00496820" w:rsidRPr="009565FD" w:rsidRDefault="47AA60C5" w:rsidP="00DE4603">
      <w:pPr>
        <w:widowControl w:val="0"/>
        <w:spacing w:after="120"/>
        <w:rPr>
          <w:rFonts w:ascii="Times New Roman" w:hAnsi="Times New Roman"/>
        </w:rPr>
      </w:pPr>
      <w:r>
        <w:rPr>
          <w:rFonts w:ascii="Times New Roman" w:hAnsi="Times New Roman"/>
        </w:rPr>
        <w:t>La fenêtre d’enchère actuelle, ouverte en novembre 2023, a été clôturée le 8 février 2024. La Commission va maintenant procéder aussi rapidement que possible à un exercice de retour d’expérience en vue de la publication, au printemps 2024, du projet de modalités et conditions associées à une deuxième enchère. La fenêtre d’enchère pour cette deuxième enchère ne sera ouverte qu’à l’issue d’une période de consultation des parties prenantes et le budget sera calibré avec le prochain appel à propositions pour l’octroi de subventions en fonction des ressources globales disponibles au titre du Fonds pour l’innovation.</w:t>
      </w:r>
    </w:p>
    <w:p w14:paraId="004A2D6A" w14:textId="39A827E2" w:rsidR="00A0253F" w:rsidRPr="009565FD" w:rsidRDefault="6502CD43" w:rsidP="00DE4603">
      <w:pPr>
        <w:widowControl w:val="0"/>
        <w:spacing w:after="120"/>
        <w:rPr>
          <w:rFonts w:ascii="Times New Roman" w:hAnsi="Times New Roman"/>
        </w:rPr>
      </w:pPr>
      <w:r>
        <w:rPr>
          <w:rFonts w:ascii="Times New Roman" w:hAnsi="Times New Roman"/>
        </w:rPr>
        <w:t>La Commission prend note de l’</w:t>
      </w:r>
      <w:r>
        <w:rPr>
          <w:rFonts w:ascii="Times New Roman" w:hAnsi="Times New Roman"/>
          <w:b/>
          <w:bCs/>
        </w:rPr>
        <w:t>appel du Parlement européen concernant le budget global de la Banque européenne de l’hydrogène (paragraphe 42)</w:t>
      </w:r>
      <w:r>
        <w:rPr>
          <w:rFonts w:ascii="Times New Roman" w:hAnsi="Times New Roman"/>
        </w:rPr>
        <w:t>.</w:t>
      </w:r>
      <w:r>
        <w:rPr>
          <w:rFonts w:ascii="Times New Roman" w:hAnsi="Times New Roman"/>
          <w:b/>
        </w:rPr>
        <w:t xml:space="preserve"> </w:t>
      </w:r>
      <w:r>
        <w:rPr>
          <w:rFonts w:ascii="Times New Roman" w:hAnsi="Times New Roman"/>
        </w:rPr>
        <w:t>La Commission tient à rappeler que la Banque européenne de l’hydrogène a reçu un budget de 800 millions d’euros pour l’enchère intérieure relevant du Fonds pour l’innovation et que le CFP 2021-2027 approuvé en 2020 est déjà soumis à de sérieuses limitations en raison de la multitude de tâches et priorités supplémentaires à financer qui n’auraient pas pu être anticipées au moment de l’accord sur le CFP.</w:t>
      </w:r>
    </w:p>
    <w:sectPr w:rsidR="00A0253F" w:rsidRPr="009565FD" w:rsidSect="000A07D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BD6ED" w14:textId="77777777" w:rsidR="005E6F58" w:rsidRDefault="005E6F58">
      <w:r>
        <w:separator/>
      </w:r>
    </w:p>
  </w:endnote>
  <w:endnote w:type="continuationSeparator" w:id="0">
    <w:p w14:paraId="34F37CD9" w14:textId="77777777" w:rsidR="005E6F58" w:rsidRDefault="005E6F58">
      <w:r>
        <w:continuationSeparator/>
      </w:r>
    </w:p>
  </w:endnote>
  <w:endnote w:type="continuationNotice" w:id="1">
    <w:p w14:paraId="0EA4AD4D" w14:textId="77777777" w:rsidR="005E6F58" w:rsidRDefault="005E6F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9B80"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BDC4BF4"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7BCD"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246D">
      <w:rPr>
        <w:rStyle w:val="PageNumber"/>
      </w:rPr>
      <w:t>2</w:t>
    </w:r>
    <w:r>
      <w:rPr>
        <w:rStyle w:val="PageNumber"/>
      </w:rPr>
      <w:fldChar w:fldCharType="end"/>
    </w:r>
  </w:p>
  <w:p w14:paraId="211C498E"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64A8" w14:textId="0C33B49E" w:rsidR="005E6EC2" w:rsidRPr="00DE4603" w:rsidRDefault="005E6EC2" w:rsidP="00DE4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914F" w14:textId="77777777" w:rsidR="005E6F58" w:rsidRDefault="005E6F58">
      <w:r>
        <w:separator/>
      </w:r>
    </w:p>
  </w:footnote>
  <w:footnote w:type="continuationSeparator" w:id="0">
    <w:p w14:paraId="1897A30B" w14:textId="77777777" w:rsidR="005E6F58" w:rsidRDefault="005E6F58">
      <w:r>
        <w:continuationSeparator/>
      </w:r>
    </w:p>
  </w:footnote>
  <w:footnote w:type="continuationNotice" w:id="1">
    <w:p w14:paraId="73891A3E" w14:textId="77777777" w:rsidR="005E6F58" w:rsidRDefault="005E6F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4D29B" w14:textId="77777777" w:rsidR="006559AE" w:rsidRDefault="006559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C681" w14:textId="77777777" w:rsidR="006559AE" w:rsidRDefault="006559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F702" w14:textId="77777777" w:rsidR="006559AE" w:rsidRDefault="00655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31122A"/>
    <w:multiLevelType w:val="hybridMultilevel"/>
    <w:tmpl w:val="E92AB080"/>
    <w:lvl w:ilvl="0" w:tplc="69881D0E">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A224F95"/>
    <w:multiLevelType w:val="hybridMultilevel"/>
    <w:tmpl w:val="B6E869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0"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3" w15:restartNumberingAfterBreak="0">
    <w:nsid w:val="5AC45D8F"/>
    <w:multiLevelType w:val="hybridMultilevel"/>
    <w:tmpl w:val="EF4E2B3C"/>
    <w:lvl w:ilvl="0" w:tplc="69881D0E">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60E27C5F"/>
    <w:multiLevelType w:val="hybridMultilevel"/>
    <w:tmpl w:val="C994C9CE"/>
    <w:lvl w:ilvl="0" w:tplc="FFFFFFFF">
      <w:start w:val="1"/>
      <w:numFmt w:val="bullet"/>
      <w:lvlText w:val="-"/>
      <w:lvlJc w:val="left"/>
      <w:pPr>
        <w:ind w:left="720" w:hanging="360"/>
      </w:pPr>
      <w:rPr>
        <w:rFonts w:ascii="Calibri" w:hAnsi="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8771EA"/>
    <w:multiLevelType w:val="hybridMultilevel"/>
    <w:tmpl w:val="EDD6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0" w15:restartNumberingAfterBreak="0">
    <w:nsid w:val="746C1691"/>
    <w:multiLevelType w:val="hybridMultilevel"/>
    <w:tmpl w:val="014C1D4E"/>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7"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026323303">
    <w:abstractNumId w:val="7"/>
  </w:num>
  <w:num w:numId="2" w16cid:durableId="1253901337">
    <w:abstractNumId w:val="1"/>
  </w:num>
  <w:num w:numId="3" w16cid:durableId="639923959">
    <w:abstractNumId w:val="36"/>
  </w:num>
  <w:num w:numId="4" w16cid:durableId="111287349">
    <w:abstractNumId w:val="13"/>
  </w:num>
  <w:num w:numId="5" w16cid:durableId="186256414">
    <w:abstractNumId w:val="29"/>
  </w:num>
  <w:num w:numId="6" w16cid:durableId="1269964422">
    <w:abstractNumId w:val="11"/>
  </w:num>
  <w:num w:numId="7" w16cid:durableId="1826123584">
    <w:abstractNumId w:val="6"/>
  </w:num>
  <w:num w:numId="8" w16cid:durableId="738406949">
    <w:abstractNumId w:val="16"/>
  </w:num>
  <w:num w:numId="9" w16cid:durableId="342167592">
    <w:abstractNumId w:val="35"/>
  </w:num>
  <w:num w:numId="10" w16cid:durableId="1592349953">
    <w:abstractNumId w:val="22"/>
  </w:num>
  <w:num w:numId="11" w16cid:durableId="176503412">
    <w:abstractNumId w:val="27"/>
  </w:num>
  <w:num w:numId="12" w16cid:durableId="2008055155">
    <w:abstractNumId w:val="12"/>
  </w:num>
  <w:num w:numId="13" w16cid:durableId="1840540766">
    <w:abstractNumId w:val="17"/>
  </w:num>
  <w:num w:numId="14" w16cid:durableId="105976496">
    <w:abstractNumId w:val="31"/>
  </w:num>
  <w:num w:numId="15" w16cid:durableId="394745985">
    <w:abstractNumId w:val="15"/>
  </w:num>
  <w:num w:numId="16" w16cid:durableId="319502988">
    <w:abstractNumId w:val="37"/>
  </w:num>
  <w:num w:numId="17" w16cid:durableId="2116249197">
    <w:abstractNumId w:val="34"/>
  </w:num>
  <w:num w:numId="18" w16cid:durableId="1631864759">
    <w:abstractNumId w:val="20"/>
  </w:num>
  <w:num w:numId="19" w16cid:durableId="1323587945">
    <w:abstractNumId w:val="21"/>
  </w:num>
  <w:num w:numId="20" w16cid:durableId="1644429437">
    <w:abstractNumId w:val="28"/>
  </w:num>
  <w:num w:numId="21" w16cid:durableId="593128857">
    <w:abstractNumId w:val="4"/>
  </w:num>
  <w:num w:numId="22" w16cid:durableId="23488477">
    <w:abstractNumId w:val="5"/>
  </w:num>
  <w:num w:numId="23" w16cid:durableId="1103837537">
    <w:abstractNumId w:val="19"/>
  </w:num>
  <w:num w:numId="24" w16cid:durableId="941838388">
    <w:abstractNumId w:val="32"/>
  </w:num>
  <w:num w:numId="25" w16cid:durableId="1198153849">
    <w:abstractNumId w:val="10"/>
  </w:num>
  <w:num w:numId="26" w16cid:durableId="1148204016">
    <w:abstractNumId w:val="33"/>
  </w:num>
  <w:num w:numId="27" w16cid:durableId="684987879">
    <w:abstractNumId w:val="9"/>
  </w:num>
  <w:num w:numId="28" w16cid:durableId="335544952">
    <w:abstractNumId w:val="3"/>
  </w:num>
  <w:num w:numId="29" w16cid:durableId="1091009901">
    <w:abstractNumId w:val="14"/>
  </w:num>
  <w:num w:numId="30" w16cid:durableId="181208203">
    <w:abstractNumId w:val="25"/>
  </w:num>
  <w:num w:numId="31" w16cid:durableId="195234530">
    <w:abstractNumId w:val="36"/>
  </w:num>
  <w:num w:numId="32" w16cid:durableId="380980975">
    <w:abstractNumId w:val="30"/>
  </w:num>
  <w:num w:numId="33" w16cid:durableId="1014385316">
    <w:abstractNumId w:val="18"/>
  </w:num>
  <w:num w:numId="34" w16cid:durableId="571237892">
    <w:abstractNumId w:val="24"/>
  </w:num>
  <w:num w:numId="35" w16cid:durableId="314262514">
    <w:abstractNumId w:val="26"/>
  </w:num>
  <w:num w:numId="36" w16cid:durableId="1803648260">
    <w:abstractNumId w:val="23"/>
  </w:num>
  <w:num w:numId="37" w16cid:durableId="115605905">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282"/>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4F5B"/>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309"/>
    <w:rsid w:val="000164BD"/>
    <w:rsid w:val="000166D5"/>
    <w:rsid w:val="00016A8D"/>
    <w:rsid w:val="00016C72"/>
    <w:rsid w:val="00016F5E"/>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5"/>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0D8"/>
    <w:rsid w:val="00037224"/>
    <w:rsid w:val="000372EF"/>
    <w:rsid w:val="0003737B"/>
    <w:rsid w:val="0003745C"/>
    <w:rsid w:val="0003758E"/>
    <w:rsid w:val="000375BA"/>
    <w:rsid w:val="00037990"/>
    <w:rsid w:val="00040060"/>
    <w:rsid w:val="00040281"/>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585"/>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26E"/>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0BD2"/>
    <w:rsid w:val="00051333"/>
    <w:rsid w:val="00051E3C"/>
    <w:rsid w:val="000520B1"/>
    <w:rsid w:val="00052241"/>
    <w:rsid w:val="00052672"/>
    <w:rsid w:val="00052814"/>
    <w:rsid w:val="000529E9"/>
    <w:rsid w:val="00052D3D"/>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762"/>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65A"/>
    <w:rsid w:val="0006680F"/>
    <w:rsid w:val="00066D35"/>
    <w:rsid w:val="00067155"/>
    <w:rsid w:val="00067567"/>
    <w:rsid w:val="00067799"/>
    <w:rsid w:val="00067C33"/>
    <w:rsid w:val="00067FB5"/>
    <w:rsid w:val="000703CB"/>
    <w:rsid w:val="000703FE"/>
    <w:rsid w:val="000705DD"/>
    <w:rsid w:val="000706D4"/>
    <w:rsid w:val="00070BB9"/>
    <w:rsid w:val="0007137F"/>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5D"/>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B9"/>
    <w:rsid w:val="00085BE8"/>
    <w:rsid w:val="00085E04"/>
    <w:rsid w:val="0008608A"/>
    <w:rsid w:val="000863ED"/>
    <w:rsid w:val="00086911"/>
    <w:rsid w:val="00086C30"/>
    <w:rsid w:val="00086D5D"/>
    <w:rsid w:val="00086DA6"/>
    <w:rsid w:val="000875DD"/>
    <w:rsid w:val="00087C2A"/>
    <w:rsid w:val="00087C4C"/>
    <w:rsid w:val="00087CB8"/>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137"/>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C3"/>
    <w:rsid w:val="000A64E1"/>
    <w:rsid w:val="000A6500"/>
    <w:rsid w:val="000A65ED"/>
    <w:rsid w:val="000A6ADD"/>
    <w:rsid w:val="000A6ECC"/>
    <w:rsid w:val="000A716D"/>
    <w:rsid w:val="000A7391"/>
    <w:rsid w:val="000A77D0"/>
    <w:rsid w:val="000A7823"/>
    <w:rsid w:val="000A79F0"/>
    <w:rsid w:val="000A7A88"/>
    <w:rsid w:val="000A7A8B"/>
    <w:rsid w:val="000A7C1F"/>
    <w:rsid w:val="000A7F9D"/>
    <w:rsid w:val="000B01AF"/>
    <w:rsid w:val="000B01C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9C1"/>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4AD"/>
    <w:rsid w:val="000C5518"/>
    <w:rsid w:val="000C5720"/>
    <w:rsid w:val="000C5898"/>
    <w:rsid w:val="000C61AB"/>
    <w:rsid w:val="000C628E"/>
    <w:rsid w:val="000C6577"/>
    <w:rsid w:val="000C6610"/>
    <w:rsid w:val="000C6902"/>
    <w:rsid w:val="000C69CA"/>
    <w:rsid w:val="000C70AA"/>
    <w:rsid w:val="000C71A3"/>
    <w:rsid w:val="000C728E"/>
    <w:rsid w:val="000C755B"/>
    <w:rsid w:val="000C7646"/>
    <w:rsid w:val="000C7708"/>
    <w:rsid w:val="000C7914"/>
    <w:rsid w:val="000C7A75"/>
    <w:rsid w:val="000C7BE4"/>
    <w:rsid w:val="000C7E7C"/>
    <w:rsid w:val="000D0034"/>
    <w:rsid w:val="000D02D7"/>
    <w:rsid w:val="000D0325"/>
    <w:rsid w:val="000D0536"/>
    <w:rsid w:val="000D057B"/>
    <w:rsid w:val="000D0723"/>
    <w:rsid w:val="000D082B"/>
    <w:rsid w:val="000D0AEE"/>
    <w:rsid w:val="000D1461"/>
    <w:rsid w:val="000D1C63"/>
    <w:rsid w:val="000D20A1"/>
    <w:rsid w:val="000D23CE"/>
    <w:rsid w:val="000D2595"/>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1AF"/>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847"/>
    <w:rsid w:val="000F6C35"/>
    <w:rsid w:val="000F6E53"/>
    <w:rsid w:val="000F7126"/>
    <w:rsid w:val="000F7275"/>
    <w:rsid w:val="000F77FE"/>
    <w:rsid w:val="000F7AFB"/>
    <w:rsid w:val="000F7BB0"/>
    <w:rsid w:val="000F7CDA"/>
    <w:rsid w:val="000F7D76"/>
    <w:rsid w:val="00100239"/>
    <w:rsid w:val="001002AB"/>
    <w:rsid w:val="00100451"/>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A68"/>
    <w:rsid w:val="00106D10"/>
    <w:rsid w:val="00107244"/>
    <w:rsid w:val="0010748A"/>
    <w:rsid w:val="001074E6"/>
    <w:rsid w:val="00107718"/>
    <w:rsid w:val="00107767"/>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181"/>
    <w:rsid w:val="00115521"/>
    <w:rsid w:val="0011582E"/>
    <w:rsid w:val="001158F2"/>
    <w:rsid w:val="00115B02"/>
    <w:rsid w:val="00115D2C"/>
    <w:rsid w:val="00115E85"/>
    <w:rsid w:val="00116169"/>
    <w:rsid w:val="001163D1"/>
    <w:rsid w:val="00116539"/>
    <w:rsid w:val="001166A1"/>
    <w:rsid w:val="00116823"/>
    <w:rsid w:val="00116A7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2B"/>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5D6B"/>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5B"/>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4B4"/>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6E30"/>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41A"/>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57C41"/>
    <w:rsid w:val="00160197"/>
    <w:rsid w:val="00160355"/>
    <w:rsid w:val="0016053D"/>
    <w:rsid w:val="0016064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2FF"/>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1A"/>
    <w:rsid w:val="001810AC"/>
    <w:rsid w:val="00181350"/>
    <w:rsid w:val="0018161C"/>
    <w:rsid w:val="0018176E"/>
    <w:rsid w:val="001818CE"/>
    <w:rsid w:val="00181DFD"/>
    <w:rsid w:val="001821DE"/>
    <w:rsid w:val="0018228F"/>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1E"/>
    <w:rsid w:val="001844BB"/>
    <w:rsid w:val="001844C3"/>
    <w:rsid w:val="00184870"/>
    <w:rsid w:val="00184950"/>
    <w:rsid w:val="00184C7C"/>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4FD5"/>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1F00"/>
    <w:rsid w:val="001A2019"/>
    <w:rsid w:val="001A2024"/>
    <w:rsid w:val="001A2787"/>
    <w:rsid w:val="001A2A80"/>
    <w:rsid w:val="001A2C40"/>
    <w:rsid w:val="001A2CC1"/>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BEF"/>
    <w:rsid w:val="001A6ED0"/>
    <w:rsid w:val="001A6F52"/>
    <w:rsid w:val="001A7123"/>
    <w:rsid w:val="001A7453"/>
    <w:rsid w:val="001A7460"/>
    <w:rsid w:val="001A7968"/>
    <w:rsid w:val="001A79CF"/>
    <w:rsid w:val="001A7A26"/>
    <w:rsid w:val="001A7F9C"/>
    <w:rsid w:val="001B001A"/>
    <w:rsid w:val="001B0030"/>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22D"/>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4FA6"/>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1AFD"/>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ABD"/>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0E03"/>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BDB"/>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925"/>
    <w:rsid w:val="00212AFC"/>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902"/>
    <w:rsid w:val="00220EC6"/>
    <w:rsid w:val="002210AF"/>
    <w:rsid w:val="002212B8"/>
    <w:rsid w:val="002216B1"/>
    <w:rsid w:val="00221B95"/>
    <w:rsid w:val="00221CDB"/>
    <w:rsid w:val="00221CDE"/>
    <w:rsid w:val="00221D83"/>
    <w:rsid w:val="00221FFB"/>
    <w:rsid w:val="0022203A"/>
    <w:rsid w:val="00222570"/>
    <w:rsid w:val="00222764"/>
    <w:rsid w:val="00222E0F"/>
    <w:rsid w:val="00223005"/>
    <w:rsid w:val="0022357E"/>
    <w:rsid w:val="00223715"/>
    <w:rsid w:val="002238D6"/>
    <w:rsid w:val="00223C56"/>
    <w:rsid w:val="00223E4D"/>
    <w:rsid w:val="00224042"/>
    <w:rsid w:val="00224502"/>
    <w:rsid w:val="0022467C"/>
    <w:rsid w:val="0022491A"/>
    <w:rsid w:val="00224A14"/>
    <w:rsid w:val="00224A5D"/>
    <w:rsid w:val="00224CD9"/>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71"/>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47F9B"/>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4D0"/>
    <w:rsid w:val="00253A58"/>
    <w:rsid w:val="00253F47"/>
    <w:rsid w:val="00253F7D"/>
    <w:rsid w:val="00253FB8"/>
    <w:rsid w:val="00254470"/>
    <w:rsid w:val="002544C2"/>
    <w:rsid w:val="0025459C"/>
    <w:rsid w:val="002546A9"/>
    <w:rsid w:val="00254775"/>
    <w:rsid w:val="00255137"/>
    <w:rsid w:val="0025526A"/>
    <w:rsid w:val="00255578"/>
    <w:rsid w:val="002556B3"/>
    <w:rsid w:val="002556E1"/>
    <w:rsid w:val="00255A78"/>
    <w:rsid w:val="00255BF8"/>
    <w:rsid w:val="00255C80"/>
    <w:rsid w:val="00255F0A"/>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458"/>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772"/>
    <w:rsid w:val="00274C62"/>
    <w:rsid w:val="00274E39"/>
    <w:rsid w:val="00274E49"/>
    <w:rsid w:val="00275026"/>
    <w:rsid w:val="0027504D"/>
    <w:rsid w:val="002750EB"/>
    <w:rsid w:val="0027528D"/>
    <w:rsid w:val="00275370"/>
    <w:rsid w:val="002754A3"/>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408"/>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2ED"/>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3AC"/>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13D"/>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4F68"/>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2F6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0B"/>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4723"/>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300"/>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B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E3C"/>
    <w:rsid w:val="00306FED"/>
    <w:rsid w:val="003076A7"/>
    <w:rsid w:val="003078FC"/>
    <w:rsid w:val="00307C81"/>
    <w:rsid w:val="003100B4"/>
    <w:rsid w:val="00310475"/>
    <w:rsid w:val="003107E7"/>
    <w:rsid w:val="00310AF2"/>
    <w:rsid w:val="00310CE4"/>
    <w:rsid w:val="0031100E"/>
    <w:rsid w:val="00311194"/>
    <w:rsid w:val="0031125F"/>
    <w:rsid w:val="0031136C"/>
    <w:rsid w:val="00311646"/>
    <w:rsid w:val="0031177F"/>
    <w:rsid w:val="00311B7B"/>
    <w:rsid w:val="00311F51"/>
    <w:rsid w:val="003122E8"/>
    <w:rsid w:val="00312635"/>
    <w:rsid w:val="00312B96"/>
    <w:rsid w:val="00312BA3"/>
    <w:rsid w:val="00313B7C"/>
    <w:rsid w:val="00313C32"/>
    <w:rsid w:val="00314017"/>
    <w:rsid w:val="00314034"/>
    <w:rsid w:val="00314397"/>
    <w:rsid w:val="003144BA"/>
    <w:rsid w:val="00314523"/>
    <w:rsid w:val="00314645"/>
    <w:rsid w:val="003149A3"/>
    <w:rsid w:val="00314B2A"/>
    <w:rsid w:val="00315000"/>
    <w:rsid w:val="003153D9"/>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BB9"/>
    <w:rsid w:val="00325DF1"/>
    <w:rsid w:val="0032655A"/>
    <w:rsid w:val="003268E8"/>
    <w:rsid w:val="00326C01"/>
    <w:rsid w:val="00326D93"/>
    <w:rsid w:val="00326EEC"/>
    <w:rsid w:val="003273F4"/>
    <w:rsid w:val="0032744B"/>
    <w:rsid w:val="00327607"/>
    <w:rsid w:val="00327618"/>
    <w:rsid w:val="00327764"/>
    <w:rsid w:val="003279D2"/>
    <w:rsid w:val="00327C5F"/>
    <w:rsid w:val="00327FFA"/>
    <w:rsid w:val="00330315"/>
    <w:rsid w:val="003308CB"/>
    <w:rsid w:val="00330E1E"/>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BDB"/>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6F9"/>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DCC"/>
    <w:rsid w:val="00353E7D"/>
    <w:rsid w:val="003542D4"/>
    <w:rsid w:val="003543DA"/>
    <w:rsid w:val="00354514"/>
    <w:rsid w:val="0035483F"/>
    <w:rsid w:val="00354B65"/>
    <w:rsid w:val="00354B6B"/>
    <w:rsid w:val="00354B7A"/>
    <w:rsid w:val="00354F05"/>
    <w:rsid w:val="00355439"/>
    <w:rsid w:val="003555F5"/>
    <w:rsid w:val="00355B3F"/>
    <w:rsid w:val="00355D2C"/>
    <w:rsid w:val="0035616C"/>
    <w:rsid w:val="00356450"/>
    <w:rsid w:val="003566CC"/>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9AC"/>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15"/>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350"/>
    <w:rsid w:val="00374622"/>
    <w:rsid w:val="00374807"/>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728"/>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1C"/>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A43"/>
    <w:rsid w:val="00391CD1"/>
    <w:rsid w:val="003922BF"/>
    <w:rsid w:val="00392A69"/>
    <w:rsid w:val="00392E4E"/>
    <w:rsid w:val="003930EB"/>
    <w:rsid w:val="003931D8"/>
    <w:rsid w:val="00393229"/>
    <w:rsid w:val="00393509"/>
    <w:rsid w:val="00393569"/>
    <w:rsid w:val="003936F0"/>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85C"/>
    <w:rsid w:val="003A797C"/>
    <w:rsid w:val="003A7A6F"/>
    <w:rsid w:val="003A7F66"/>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7DF"/>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3C"/>
    <w:rsid w:val="003C53A9"/>
    <w:rsid w:val="003C53B5"/>
    <w:rsid w:val="003C587F"/>
    <w:rsid w:val="003C5A7A"/>
    <w:rsid w:val="003C5D2F"/>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1E39"/>
    <w:rsid w:val="003D21F7"/>
    <w:rsid w:val="003D228D"/>
    <w:rsid w:val="003D23EE"/>
    <w:rsid w:val="003D2589"/>
    <w:rsid w:val="003D25F4"/>
    <w:rsid w:val="003D26D5"/>
    <w:rsid w:val="003D26F7"/>
    <w:rsid w:val="003D2CD5"/>
    <w:rsid w:val="003D2CEE"/>
    <w:rsid w:val="003D2F99"/>
    <w:rsid w:val="003D30D6"/>
    <w:rsid w:val="003D34E8"/>
    <w:rsid w:val="003D362F"/>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481"/>
    <w:rsid w:val="003E2540"/>
    <w:rsid w:val="003E2AA8"/>
    <w:rsid w:val="003E2D9E"/>
    <w:rsid w:val="003E2ED0"/>
    <w:rsid w:val="003E3034"/>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9D6"/>
    <w:rsid w:val="003F1C0F"/>
    <w:rsid w:val="003F1C5C"/>
    <w:rsid w:val="003F1F1D"/>
    <w:rsid w:val="003F2313"/>
    <w:rsid w:val="003F2A8C"/>
    <w:rsid w:val="003F2CEF"/>
    <w:rsid w:val="003F2DEE"/>
    <w:rsid w:val="003F307C"/>
    <w:rsid w:val="003F31AE"/>
    <w:rsid w:val="003F325F"/>
    <w:rsid w:val="003F3282"/>
    <w:rsid w:val="003F34C8"/>
    <w:rsid w:val="003F3650"/>
    <w:rsid w:val="003F366F"/>
    <w:rsid w:val="003F3733"/>
    <w:rsid w:val="003F3919"/>
    <w:rsid w:val="003F3982"/>
    <w:rsid w:val="003F39F1"/>
    <w:rsid w:val="003F3B8F"/>
    <w:rsid w:val="003F3CE3"/>
    <w:rsid w:val="003F416F"/>
    <w:rsid w:val="003F41F2"/>
    <w:rsid w:val="003F441C"/>
    <w:rsid w:val="003F443F"/>
    <w:rsid w:val="003F4464"/>
    <w:rsid w:val="003F44C8"/>
    <w:rsid w:val="003F45EB"/>
    <w:rsid w:val="003F46B8"/>
    <w:rsid w:val="003F48D5"/>
    <w:rsid w:val="003F4C7B"/>
    <w:rsid w:val="003F4D21"/>
    <w:rsid w:val="003F4DA7"/>
    <w:rsid w:val="003F5277"/>
    <w:rsid w:val="003F576C"/>
    <w:rsid w:val="003F57F4"/>
    <w:rsid w:val="003F5BB3"/>
    <w:rsid w:val="003F5C88"/>
    <w:rsid w:val="003F62DB"/>
    <w:rsid w:val="003F62DE"/>
    <w:rsid w:val="003F62ED"/>
    <w:rsid w:val="003F647C"/>
    <w:rsid w:val="003F6545"/>
    <w:rsid w:val="003F66F8"/>
    <w:rsid w:val="003F6877"/>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BC1"/>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A37"/>
    <w:rsid w:val="00405C11"/>
    <w:rsid w:val="00405D37"/>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2EC"/>
    <w:rsid w:val="00411903"/>
    <w:rsid w:val="00411CCB"/>
    <w:rsid w:val="00411E7E"/>
    <w:rsid w:val="00411F4F"/>
    <w:rsid w:val="00412042"/>
    <w:rsid w:val="004124B3"/>
    <w:rsid w:val="00412535"/>
    <w:rsid w:val="00412A7B"/>
    <w:rsid w:val="00412B5E"/>
    <w:rsid w:val="00412C90"/>
    <w:rsid w:val="00412D0B"/>
    <w:rsid w:val="0041303A"/>
    <w:rsid w:val="00413097"/>
    <w:rsid w:val="004130A4"/>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2D78"/>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5A5"/>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D4B"/>
    <w:rsid w:val="00434E88"/>
    <w:rsid w:val="0043502F"/>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B7"/>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3BB8"/>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89"/>
    <w:rsid w:val="004563D6"/>
    <w:rsid w:val="00456654"/>
    <w:rsid w:val="00456C43"/>
    <w:rsid w:val="00456EC9"/>
    <w:rsid w:val="00456EF5"/>
    <w:rsid w:val="00457207"/>
    <w:rsid w:val="004577BF"/>
    <w:rsid w:val="0045781E"/>
    <w:rsid w:val="00457AFC"/>
    <w:rsid w:val="00457CFF"/>
    <w:rsid w:val="004600CC"/>
    <w:rsid w:val="00460494"/>
    <w:rsid w:val="00460563"/>
    <w:rsid w:val="004605BC"/>
    <w:rsid w:val="004606BD"/>
    <w:rsid w:val="00460AD1"/>
    <w:rsid w:val="00461003"/>
    <w:rsid w:val="004618B8"/>
    <w:rsid w:val="00461B72"/>
    <w:rsid w:val="00462001"/>
    <w:rsid w:val="00462117"/>
    <w:rsid w:val="00462400"/>
    <w:rsid w:val="004624B9"/>
    <w:rsid w:val="0046262C"/>
    <w:rsid w:val="004627BC"/>
    <w:rsid w:val="00462C57"/>
    <w:rsid w:val="00462F8E"/>
    <w:rsid w:val="004630A2"/>
    <w:rsid w:val="00463226"/>
    <w:rsid w:val="00463271"/>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6EC7"/>
    <w:rsid w:val="00467357"/>
    <w:rsid w:val="00467610"/>
    <w:rsid w:val="004677AB"/>
    <w:rsid w:val="00467906"/>
    <w:rsid w:val="00467B7D"/>
    <w:rsid w:val="00467CFF"/>
    <w:rsid w:val="00467E58"/>
    <w:rsid w:val="00467FAA"/>
    <w:rsid w:val="00467FFC"/>
    <w:rsid w:val="00470031"/>
    <w:rsid w:val="004700AF"/>
    <w:rsid w:val="0047030E"/>
    <w:rsid w:val="0047041D"/>
    <w:rsid w:val="0047052C"/>
    <w:rsid w:val="004707D6"/>
    <w:rsid w:val="00470B1D"/>
    <w:rsid w:val="00470D18"/>
    <w:rsid w:val="00470F57"/>
    <w:rsid w:val="0047102C"/>
    <w:rsid w:val="00471161"/>
    <w:rsid w:val="004711CD"/>
    <w:rsid w:val="0047151E"/>
    <w:rsid w:val="00471868"/>
    <w:rsid w:val="00471ADB"/>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360"/>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540"/>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5EA"/>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4CA"/>
    <w:rsid w:val="00492517"/>
    <w:rsid w:val="00492788"/>
    <w:rsid w:val="00492A71"/>
    <w:rsid w:val="00492AA1"/>
    <w:rsid w:val="00492D47"/>
    <w:rsid w:val="00492DA2"/>
    <w:rsid w:val="00492E70"/>
    <w:rsid w:val="00492E75"/>
    <w:rsid w:val="004934CD"/>
    <w:rsid w:val="00493B0F"/>
    <w:rsid w:val="00493B38"/>
    <w:rsid w:val="00493B68"/>
    <w:rsid w:val="00493BA4"/>
    <w:rsid w:val="00493CCF"/>
    <w:rsid w:val="00493D3C"/>
    <w:rsid w:val="0049439A"/>
    <w:rsid w:val="00494683"/>
    <w:rsid w:val="004949AD"/>
    <w:rsid w:val="00494E20"/>
    <w:rsid w:val="00494F75"/>
    <w:rsid w:val="00495054"/>
    <w:rsid w:val="004951BE"/>
    <w:rsid w:val="0049526A"/>
    <w:rsid w:val="00495557"/>
    <w:rsid w:val="00495604"/>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20"/>
    <w:rsid w:val="00496865"/>
    <w:rsid w:val="00497272"/>
    <w:rsid w:val="00497671"/>
    <w:rsid w:val="0049782B"/>
    <w:rsid w:val="0049794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688"/>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62E"/>
    <w:rsid w:val="004D378E"/>
    <w:rsid w:val="004D3797"/>
    <w:rsid w:val="004D3A2C"/>
    <w:rsid w:val="004D3B94"/>
    <w:rsid w:val="004D3BF7"/>
    <w:rsid w:val="004D3E24"/>
    <w:rsid w:val="004D3FDF"/>
    <w:rsid w:val="004D4312"/>
    <w:rsid w:val="004D4544"/>
    <w:rsid w:val="004D4647"/>
    <w:rsid w:val="004D4C47"/>
    <w:rsid w:val="004D5477"/>
    <w:rsid w:val="004D5481"/>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9E0"/>
    <w:rsid w:val="00506C13"/>
    <w:rsid w:val="00506CFE"/>
    <w:rsid w:val="00507067"/>
    <w:rsid w:val="00507367"/>
    <w:rsid w:val="00507380"/>
    <w:rsid w:val="005074C9"/>
    <w:rsid w:val="005075AB"/>
    <w:rsid w:val="005078B3"/>
    <w:rsid w:val="00507918"/>
    <w:rsid w:val="00507ABB"/>
    <w:rsid w:val="00507D22"/>
    <w:rsid w:val="00507D75"/>
    <w:rsid w:val="00510059"/>
    <w:rsid w:val="005101C7"/>
    <w:rsid w:val="005105F7"/>
    <w:rsid w:val="0051085D"/>
    <w:rsid w:val="005108B1"/>
    <w:rsid w:val="00510991"/>
    <w:rsid w:val="005109F2"/>
    <w:rsid w:val="00510B8E"/>
    <w:rsid w:val="00510BAA"/>
    <w:rsid w:val="00510E9B"/>
    <w:rsid w:val="00510F84"/>
    <w:rsid w:val="00510FAF"/>
    <w:rsid w:val="00510FF4"/>
    <w:rsid w:val="0051108C"/>
    <w:rsid w:val="00511288"/>
    <w:rsid w:val="00511343"/>
    <w:rsid w:val="005114EF"/>
    <w:rsid w:val="0051152C"/>
    <w:rsid w:val="0051194C"/>
    <w:rsid w:val="00511E58"/>
    <w:rsid w:val="005120EA"/>
    <w:rsid w:val="0051212A"/>
    <w:rsid w:val="00512267"/>
    <w:rsid w:val="00512314"/>
    <w:rsid w:val="005123D3"/>
    <w:rsid w:val="00512A6D"/>
    <w:rsid w:val="00512BA1"/>
    <w:rsid w:val="00512E00"/>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9DF"/>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5C53"/>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1A"/>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443"/>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366"/>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1FD"/>
    <w:rsid w:val="00565272"/>
    <w:rsid w:val="00565921"/>
    <w:rsid w:val="00565D02"/>
    <w:rsid w:val="00565F56"/>
    <w:rsid w:val="00566022"/>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A23"/>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397"/>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4B"/>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229"/>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22"/>
    <w:rsid w:val="005C1634"/>
    <w:rsid w:val="005C1AC5"/>
    <w:rsid w:val="005C1B7D"/>
    <w:rsid w:val="005C21A3"/>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5B"/>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34D"/>
    <w:rsid w:val="005D077F"/>
    <w:rsid w:val="005D10A9"/>
    <w:rsid w:val="005D1144"/>
    <w:rsid w:val="005D19AC"/>
    <w:rsid w:val="005D1C5B"/>
    <w:rsid w:val="005D1EF4"/>
    <w:rsid w:val="005D2072"/>
    <w:rsid w:val="005D221A"/>
    <w:rsid w:val="005D2333"/>
    <w:rsid w:val="005D234F"/>
    <w:rsid w:val="005D246D"/>
    <w:rsid w:val="005D2483"/>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817"/>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6F58"/>
    <w:rsid w:val="005E74B4"/>
    <w:rsid w:val="005E79D7"/>
    <w:rsid w:val="005E7E6E"/>
    <w:rsid w:val="005E7E8D"/>
    <w:rsid w:val="005F006A"/>
    <w:rsid w:val="005F00E1"/>
    <w:rsid w:val="005F00FC"/>
    <w:rsid w:val="005F0231"/>
    <w:rsid w:val="005F02B2"/>
    <w:rsid w:val="005F0691"/>
    <w:rsid w:val="005F09F5"/>
    <w:rsid w:val="005F0A1F"/>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CFF"/>
    <w:rsid w:val="00604DE8"/>
    <w:rsid w:val="00605261"/>
    <w:rsid w:val="0060548A"/>
    <w:rsid w:val="006054D2"/>
    <w:rsid w:val="006055B8"/>
    <w:rsid w:val="0060563D"/>
    <w:rsid w:val="00605BE0"/>
    <w:rsid w:val="00605BE6"/>
    <w:rsid w:val="00605FAA"/>
    <w:rsid w:val="00606608"/>
    <w:rsid w:val="0060683B"/>
    <w:rsid w:val="00606BA1"/>
    <w:rsid w:val="00606BA3"/>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5905"/>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752"/>
    <w:rsid w:val="0062190D"/>
    <w:rsid w:val="006219AD"/>
    <w:rsid w:val="00621B7A"/>
    <w:rsid w:val="00621C4D"/>
    <w:rsid w:val="00621D64"/>
    <w:rsid w:val="00621E7D"/>
    <w:rsid w:val="00622278"/>
    <w:rsid w:val="0062254B"/>
    <w:rsid w:val="0062280F"/>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8D7"/>
    <w:rsid w:val="00632A39"/>
    <w:rsid w:val="00632C15"/>
    <w:rsid w:val="00632EE5"/>
    <w:rsid w:val="006334FA"/>
    <w:rsid w:val="00633969"/>
    <w:rsid w:val="00633A06"/>
    <w:rsid w:val="00633A5F"/>
    <w:rsid w:val="00633CAE"/>
    <w:rsid w:val="00633E70"/>
    <w:rsid w:val="006340AF"/>
    <w:rsid w:val="006341F7"/>
    <w:rsid w:val="00634297"/>
    <w:rsid w:val="00634644"/>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7DE"/>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25E"/>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2D69"/>
    <w:rsid w:val="0065326D"/>
    <w:rsid w:val="0065343C"/>
    <w:rsid w:val="0065343E"/>
    <w:rsid w:val="0065373D"/>
    <w:rsid w:val="00653842"/>
    <w:rsid w:val="006539EE"/>
    <w:rsid w:val="00653E17"/>
    <w:rsid w:val="00653FAB"/>
    <w:rsid w:val="00654090"/>
    <w:rsid w:val="00654280"/>
    <w:rsid w:val="006542F2"/>
    <w:rsid w:val="006543E4"/>
    <w:rsid w:val="006546BB"/>
    <w:rsid w:val="0065481D"/>
    <w:rsid w:val="00654A84"/>
    <w:rsid w:val="00654AB8"/>
    <w:rsid w:val="00654AD7"/>
    <w:rsid w:val="00654B50"/>
    <w:rsid w:val="00654B83"/>
    <w:rsid w:val="00655010"/>
    <w:rsid w:val="006550AE"/>
    <w:rsid w:val="00655436"/>
    <w:rsid w:val="006554E8"/>
    <w:rsid w:val="006555CF"/>
    <w:rsid w:val="006556B5"/>
    <w:rsid w:val="00655798"/>
    <w:rsid w:val="006559AE"/>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A4A"/>
    <w:rsid w:val="00672CD3"/>
    <w:rsid w:val="006732E8"/>
    <w:rsid w:val="00673426"/>
    <w:rsid w:val="00673482"/>
    <w:rsid w:val="0067359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858"/>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002"/>
    <w:rsid w:val="006825F9"/>
    <w:rsid w:val="00682847"/>
    <w:rsid w:val="006829C2"/>
    <w:rsid w:val="00682A2B"/>
    <w:rsid w:val="00682C58"/>
    <w:rsid w:val="00683473"/>
    <w:rsid w:val="00683520"/>
    <w:rsid w:val="006836B9"/>
    <w:rsid w:val="0068374A"/>
    <w:rsid w:val="006838ED"/>
    <w:rsid w:val="00683A16"/>
    <w:rsid w:val="00683EE8"/>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302"/>
    <w:rsid w:val="0068775A"/>
    <w:rsid w:val="00687BC0"/>
    <w:rsid w:val="00687CCF"/>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861"/>
    <w:rsid w:val="00694A94"/>
    <w:rsid w:val="00694C68"/>
    <w:rsid w:val="00694E98"/>
    <w:rsid w:val="0069509A"/>
    <w:rsid w:val="006952CE"/>
    <w:rsid w:val="00695629"/>
    <w:rsid w:val="006956AF"/>
    <w:rsid w:val="00695BC0"/>
    <w:rsid w:val="00695C46"/>
    <w:rsid w:val="00695D25"/>
    <w:rsid w:val="00696041"/>
    <w:rsid w:val="006963CB"/>
    <w:rsid w:val="006969DC"/>
    <w:rsid w:val="00696A00"/>
    <w:rsid w:val="00696E73"/>
    <w:rsid w:val="00696EAD"/>
    <w:rsid w:val="00696EF5"/>
    <w:rsid w:val="006971B0"/>
    <w:rsid w:val="006971C7"/>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154"/>
    <w:rsid w:val="006A2238"/>
    <w:rsid w:val="006A22D0"/>
    <w:rsid w:val="006A2370"/>
    <w:rsid w:val="006A2479"/>
    <w:rsid w:val="006A25BC"/>
    <w:rsid w:val="006A264A"/>
    <w:rsid w:val="006A299A"/>
    <w:rsid w:val="006A2D94"/>
    <w:rsid w:val="006A300D"/>
    <w:rsid w:val="006A3278"/>
    <w:rsid w:val="006A327C"/>
    <w:rsid w:val="006A32A0"/>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38"/>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DEB"/>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15"/>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3EF"/>
    <w:rsid w:val="006C440F"/>
    <w:rsid w:val="006C4623"/>
    <w:rsid w:val="006C4703"/>
    <w:rsid w:val="006C4EB7"/>
    <w:rsid w:val="006C52E8"/>
    <w:rsid w:val="006C5346"/>
    <w:rsid w:val="006C5541"/>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D7F77"/>
    <w:rsid w:val="006E0258"/>
    <w:rsid w:val="006E06B3"/>
    <w:rsid w:val="006E09ED"/>
    <w:rsid w:val="006E0BB8"/>
    <w:rsid w:val="006E0D37"/>
    <w:rsid w:val="006E0FB9"/>
    <w:rsid w:val="006E14B3"/>
    <w:rsid w:val="006E175D"/>
    <w:rsid w:val="006E191C"/>
    <w:rsid w:val="006E1963"/>
    <w:rsid w:val="006E1B55"/>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239"/>
    <w:rsid w:val="006E5332"/>
    <w:rsid w:val="006E533F"/>
    <w:rsid w:val="006E53A3"/>
    <w:rsid w:val="006E5696"/>
    <w:rsid w:val="006E5BBA"/>
    <w:rsid w:val="006E6338"/>
    <w:rsid w:val="006E638A"/>
    <w:rsid w:val="006E66A7"/>
    <w:rsid w:val="006E68C1"/>
    <w:rsid w:val="006E6EAF"/>
    <w:rsid w:val="006E6F14"/>
    <w:rsid w:val="006E70CD"/>
    <w:rsid w:val="006E79B9"/>
    <w:rsid w:val="006F007E"/>
    <w:rsid w:val="006F02FD"/>
    <w:rsid w:val="006F04CB"/>
    <w:rsid w:val="006F0D91"/>
    <w:rsid w:val="006F0DA1"/>
    <w:rsid w:val="006F0E98"/>
    <w:rsid w:val="006F14F2"/>
    <w:rsid w:val="006F18BB"/>
    <w:rsid w:val="006F1A95"/>
    <w:rsid w:val="006F1AB5"/>
    <w:rsid w:val="006F1B02"/>
    <w:rsid w:val="006F1BCA"/>
    <w:rsid w:val="006F1CA0"/>
    <w:rsid w:val="006F1D16"/>
    <w:rsid w:val="006F1EFF"/>
    <w:rsid w:val="006F23EC"/>
    <w:rsid w:val="006F2578"/>
    <w:rsid w:val="006F2F10"/>
    <w:rsid w:val="006F344B"/>
    <w:rsid w:val="006F3664"/>
    <w:rsid w:val="006F40BA"/>
    <w:rsid w:val="006F42AE"/>
    <w:rsid w:val="006F4507"/>
    <w:rsid w:val="006F4BF0"/>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3EA"/>
    <w:rsid w:val="00706625"/>
    <w:rsid w:val="0070690C"/>
    <w:rsid w:val="00706952"/>
    <w:rsid w:val="00706B0E"/>
    <w:rsid w:val="00706B40"/>
    <w:rsid w:val="00706C63"/>
    <w:rsid w:val="00706FC4"/>
    <w:rsid w:val="00707203"/>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3E69"/>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278"/>
    <w:rsid w:val="0072339E"/>
    <w:rsid w:val="007233C9"/>
    <w:rsid w:val="0072350A"/>
    <w:rsid w:val="00723619"/>
    <w:rsid w:val="00723859"/>
    <w:rsid w:val="00723D05"/>
    <w:rsid w:val="00723D0A"/>
    <w:rsid w:val="00723F44"/>
    <w:rsid w:val="00723FE9"/>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3A40"/>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1B"/>
    <w:rsid w:val="00735BA3"/>
    <w:rsid w:val="00736037"/>
    <w:rsid w:val="0073605C"/>
    <w:rsid w:val="007364DE"/>
    <w:rsid w:val="007365B7"/>
    <w:rsid w:val="00736924"/>
    <w:rsid w:val="00736971"/>
    <w:rsid w:val="00736A21"/>
    <w:rsid w:val="00736CB2"/>
    <w:rsid w:val="007371C1"/>
    <w:rsid w:val="007371F5"/>
    <w:rsid w:val="007373D9"/>
    <w:rsid w:val="00737595"/>
    <w:rsid w:val="00737925"/>
    <w:rsid w:val="00737C55"/>
    <w:rsid w:val="00737D5E"/>
    <w:rsid w:val="0074002E"/>
    <w:rsid w:val="00740045"/>
    <w:rsid w:val="007401CE"/>
    <w:rsid w:val="00740260"/>
    <w:rsid w:val="0074028F"/>
    <w:rsid w:val="007402F4"/>
    <w:rsid w:val="0074062F"/>
    <w:rsid w:val="00740B5A"/>
    <w:rsid w:val="00740E95"/>
    <w:rsid w:val="0074107F"/>
    <w:rsid w:val="00741125"/>
    <w:rsid w:val="0074122F"/>
    <w:rsid w:val="0074166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08"/>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894"/>
    <w:rsid w:val="00761949"/>
    <w:rsid w:val="00761B7E"/>
    <w:rsid w:val="00761CEB"/>
    <w:rsid w:val="00762031"/>
    <w:rsid w:val="007620CF"/>
    <w:rsid w:val="0076220C"/>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6B1"/>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CDE"/>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58C"/>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5D"/>
    <w:rsid w:val="007A16F4"/>
    <w:rsid w:val="007A194E"/>
    <w:rsid w:val="007A195E"/>
    <w:rsid w:val="007A19B2"/>
    <w:rsid w:val="007A19E0"/>
    <w:rsid w:val="007A1D46"/>
    <w:rsid w:val="007A2072"/>
    <w:rsid w:val="007A2162"/>
    <w:rsid w:val="007A216C"/>
    <w:rsid w:val="007A242A"/>
    <w:rsid w:val="007A2553"/>
    <w:rsid w:val="007A2A37"/>
    <w:rsid w:val="007A2E2A"/>
    <w:rsid w:val="007A3364"/>
    <w:rsid w:val="007A3552"/>
    <w:rsid w:val="007A3CC4"/>
    <w:rsid w:val="007A3D28"/>
    <w:rsid w:val="007A3DD7"/>
    <w:rsid w:val="007A3FE3"/>
    <w:rsid w:val="007A4074"/>
    <w:rsid w:val="007A41F4"/>
    <w:rsid w:val="007A44F7"/>
    <w:rsid w:val="007A476B"/>
    <w:rsid w:val="007A483E"/>
    <w:rsid w:val="007A4DE6"/>
    <w:rsid w:val="007A4E7D"/>
    <w:rsid w:val="007A518E"/>
    <w:rsid w:val="007A51C1"/>
    <w:rsid w:val="007A55C4"/>
    <w:rsid w:val="007A55F4"/>
    <w:rsid w:val="007A56CE"/>
    <w:rsid w:val="007A5738"/>
    <w:rsid w:val="007A573A"/>
    <w:rsid w:val="007A58E0"/>
    <w:rsid w:val="007A5B85"/>
    <w:rsid w:val="007A5D89"/>
    <w:rsid w:val="007A5EEB"/>
    <w:rsid w:val="007A5F26"/>
    <w:rsid w:val="007A60E5"/>
    <w:rsid w:val="007A64CF"/>
    <w:rsid w:val="007A6708"/>
    <w:rsid w:val="007A685F"/>
    <w:rsid w:val="007A6ED6"/>
    <w:rsid w:val="007A70F9"/>
    <w:rsid w:val="007A71D7"/>
    <w:rsid w:val="007A7600"/>
    <w:rsid w:val="007A7960"/>
    <w:rsid w:val="007B0002"/>
    <w:rsid w:val="007B017D"/>
    <w:rsid w:val="007B01AF"/>
    <w:rsid w:val="007B075C"/>
    <w:rsid w:val="007B083D"/>
    <w:rsid w:val="007B09B4"/>
    <w:rsid w:val="007B09D1"/>
    <w:rsid w:val="007B1265"/>
    <w:rsid w:val="007B185D"/>
    <w:rsid w:val="007B19EE"/>
    <w:rsid w:val="007B1A21"/>
    <w:rsid w:val="007B1ACD"/>
    <w:rsid w:val="007B1DF1"/>
    <w:rsid w:val="007B21B1"/>
    <w:rsid w:val="007B234D"/>
    <w:rsid w:val="007B2840"/>
    <w:rsid w:val="007B28B4"/>
    <w:rsid w:val="007B2980"/>
    <w:rsid w:val="007B2CF1"/>
    <w:rsid w:val="007B2E6D"/>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7AF"/>
    <w:rsid w:val="007B58B3"/>
    <w:rsid w:val="007B5B06"/>
    <w:rsid w:val="007B5E6F"/>
    <w:rsid w:val="007B5F7A"/>
    <w:rsid w:val="007B6199"/>
    <w:rsid w:val="007B63AE"/>
    <w:rsid w:val="007B677E"/>
    <w:rsid w:val="007B690E"/>
    <w:rsid w:val="007B6AAE"/>
    <w:rsid w:val="007B6C4C"/>
    <w:rsid w:val="007B6F26"/>
    <w:rsid w:val="007B6F5B"/>
    <w:rsid w:val="007B7279"/>
    <w:rsid w:val="007B7837"/>
    <w:rsid w:val="007B7A69"/>
    <w:rsid w:val="007B7DF3"/>
    <w:rsid w:val="007B7E46"/>
    <w:rsid w:val="007B7F1B"/>
    <w:rsid w:val="007C056D"/>
    <w:rsid w:val="007C05EB"/>
    <w:rsid w:val="007C0F4F"/>
    <w:rsid w:val="007C1743"/>
    <w:rsid w:val="007C18E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474"/>
    <w:rsid w:val="007D0527"/>
    <w:rsid w:val="007D0846"/>
    <w:rsid w:val="007D0C47"/>
    <w:rsid w:val="007D0D50"/>
    <w:rsid w:val="007D0DD4"/>
    <w:rsid w:val="007D0EF7"/>
    <w:rsid w:val="007D16FF"/>
    <w:rsid w:val="007D1A42"/>
    <w:rsid w:val="007D1A5A"/>
    <w:rsid w:val="007D1AFC"/>
    <w:rsid w:val="007D1DE9"/>
    <w:rsid w:val="007D215B"/>
    <w:rsid w:val="007D221D"/>
    <w:rsid w:val="007D269C"/>
    <w:rsid w:val="007D26D0"/>
    <w:rsid w:val="007D2913"/>
    <w:rsid w:val="007D2B58"/>
    <w:rsid w:val="007D2B94"/>
    <w:rsid w:val="007D2CAF"/>
    <w:rsid w:val="007D31A0"/>
    <w:rsid w:val="007D34B9"/>
    <w:rsid w:val="007D35B2"/>
    <w:rsid w:val="007D3A7E"/>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8F"/>
    <w:rsid w:val="007D6BAA"/>
    <w:rsid w:val="007D6FC8"/>
    <w:rsid w:val="007D7175"/>
    <w:rsid w:val="007D73E1"/>
    <w:rsid w:val="007D769B"/>
    <w:rsid w:val="007D76AE"/>
    <w:rsid w:val="007D77C7"/>
    <w:rsid w:val="007D7AED"/>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0BD"/>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8DE"/>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4C6"/>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27FF4"/>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D1"/>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230"/>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5B5"/>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7B"/>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6DBF"/>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84B"/>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BF4"/>
    <w:rsid w:val="00865D6C"/>
    <w:rsid w:val="00865DC7"/>
    <w:rsid w:val="00865FE9"/>
    <w:rsid w:val="00866341"/>
    <w:rsid w:val="00866B94"/>
    <w:rsid w:val="00866EB5"/>
    <w:rsid w:val="00866EEF"/>
    <w:rsid w:val="00867014"/>
    <w:rsid w:val="00867290"/>
    <w:rsid w:val="008672FE"/>
    <w:rsid w:val="00867459"/>
    <w:rsid w:val="008674CD"/>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6B"/>
    <w:rsid w:val="008714E6"/>
    <w:rsid w:val="0087151E"/>
    <w:rsid w:val="00871919"/>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2F7"/>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1609"/>
    <w:rsid w:val="008A1BAA"/>
    <w:rsid w:val="008A1BC1"/>
    <w:rsid w:val="008A1E72"/>
    <w:rsid w:val="008A2413"/>
    <w:rsid w:val="008A25A6"/>
    <w:rsid w:val="008A2904"/>
    <w:rsid w:val="008A291F"/>
    <w:rsid w:val="008A29ED"/>
    <w:rsid w:val="008A2E0C"/>
    <w:rsid w:val="008A34E0"/>
    <w:rsid w:val="008A368E"/>
    <w:rsid w:val="008A36F0"/>
    <w:rsid w:val="008A37E5"/>
    <w:rsid w:val="008A3C7A"/>
    <w:rsid w:val="008A401D"/>
    <w:rsid w:val="008A4256"/>
    <w:rsid w:val="008A451C"/>
    <w:rsid w:val="008A47DC"/>
    <w:rsid w:val="008A4824"/>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A7C0E"/>
    <w:rsid w:val="008B007B"/>
    <w:rsid w:val="008B052D"/>
    <w:rsid w:val="008B0B57"/>
    <w:rsid w:val="008B0CB1"/>
    <w:rsid w:val="008B1089"/>
    <w:rsid w:val="008B1146"/>
    <w:rsid w:val="008B114F"/>
    <w:rsid w:val="008B1150"/>
    <w:rsid w:val="008B1161"/>
    <w:rsid w:val="008B1293"/>
    <w:rsid w:val="008B13DE"/>
    <w:rsid w:val="008B1813"/>
    <w:rsid w:val="008B1870"/>
    <w:rsid w:val="008B19A2"/>
    <w:rsid w:val="008B21B6"/>
    <w:rsid w:val="008B2236"/>
    <w:rsid w:val="008B226B"/>
    <w:rsid w:val="008B22DB"/>
    <w:rsid w:val="008B28A2"/>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0EDE"/>
    <w:rsid w:val="008C1B54"/>
    <w:rsid w:val="008C23C8"/>
    <w:rsid w:val="008C23C9"/>
    <w:rsid w:val="008C24CB"/>
    <w:rsid w:val="008C2C78"/>
    <w:rsid w:val="008C2E28"/>
    <w:rsid w:val="008C2E55"/>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2CE2"/>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8FF"/>
    <w:rsid w:val="008D7B61"/>
    <w:rsid w:val="008D7FB4"/>
    <w:rsid w:val="008E05F9"/>
    <w:rsid w:val="008E0629"/>
    <w:rsid w:val="008E06C1"/>
    <w:rsid w:val="008E072A"/>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D7"/>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0E12"/>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27B"/>
    <w:rsid w:val="0091762D"/>
    <w:rsid w:val="009177D8"/>
    <w:rsid w:val="00917A4F"/>
    <w:rsid w:val="00917B90"/>
    <w:rsid w:val="0092005C"/>
    <w:rsid w:val="00920132"/>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6BCA"/>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0AF"/>
    <w:rsid w:val="00932106"/>
    <w:rsid w:val="009326FE"/>
    <w:rsid w:val="00932746"/>
    <w:rsid w:val="009328DF"/>
    <w:rsid w:val="009329F8"/>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2D6"/>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41E"/>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706"/>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5FD"/>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7"/>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4F9D"/>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55"/>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915"/>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3FB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CBF"/>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AC2"/>
    <w:rsid w:val="009D1C5A"/>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666"/>
    <w:rsid w:val="009E0768"/>
    <w:rsid w:val="009E07CF"/>
    <w:rsid w:val="009E0978"/>
    <w:rsid w:val="009E0AD2"/>
    <w:rsid w:val="009E0B18"/>
    <w:rsid w:val="009E1439"/>
    <w:rsid w:val="009E149D"/>
    <w:rsid w:val="009E175C"/>
    <w:rsid w:val="009E175E"/>
    <w:rsid w:val="009E187B"/>
    <w:rsid w:val="009E19FF"/>
    <w:rsid w:val="009E1C11"/>
    <w:rsid w:val="009E1CA3"/>
    <w:rsid w:val="009E1D65"/>
    <w:rsid w:val="009E1DD1"/>
    <w:rsid w:val="009E1E6F"/>
    <w:rsid w:val="009E208F"/>
    <w:rsid w:val="009E2103"/>
    <w:rsid w:val="009E216E"/>
    <w:rsid w:val="009E2245"/>
    <w:rsid w:val="009E22DA"/>
    <w:rsid w:val="009E276A"/>
    <w:rsid w:val="009E27E3"/>
    <w:rsid w:val="009E29A1"/>
    <w:rsid w:val="009E2BAE"/>
    <w:rsid w:val="009E2D74"/>
    <w:rsid w:val="009E2FE1"/>
    <w:rsid w:val="009E2FF2"/>
    <w:rsid w:val="009E3297"/>
    <w:rsid w:val="009E358D"/>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AFA"/>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0AD7"/>
    <w:rsid w:val="00A010DC"/>
    <w:rsid w:val="00A012C7"/>
    <w:rsid w:val="00A01677"/>
    <w:rsid w:val="00A019AB"/>
    <w:rsid w:val="00A01B12"/>
    <w:rsid w:val="00A01E2A"/>
    <w:rsid w:val="00A01E81"/>
    <w:rsid w:val="00A022D4"/>
    <w:rsid w:val="00A023B0"/>
    <w:rsid w:val="00A0253F"/>
    <w:rsid w:val="00A026FE"/>
    <w:rsid w:val="00A029F2"/>
    <w:rsid w:val="00A02A02"/>
    <w:rsid w:val="00A02D43"/>
    <w:rsid w:val="00A02D4C"/>
    <w:rsid w:val="00A033EB"/>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B69"/>
    <w:rsid w:val="00A15C50"/>
    <w:rsid w:val="00A15CF5"/>
    <w:rsid w:val="00A15F89"/>
    <w:rsid w:val="00A1649C"/>
    <w:rsid w:val="00A1660F"/>
    <w:rsid w:val="00A16616"/>
    <w:rsid w:val="00A16B1D"/>
    <w:rsid w:val="00A16C9D"/>
    <w:rsid w:val="00A16EBB"/>
    <w:rsid w:val="00A1735A"/>
    <w:rsid w:val="00A174E3"/>
    <w:rsid w:val="00A1785B"/>
    <w:rsid w:val="00A178CF"/>
    <w:rsid w:val="00A17915"/>
    <w:rsid w:val="00A17926"/>
    <w:rsid w:val="00A17D9B"/>
    <w:rsid w:val="00A17DAE"/>
    <w:rsid w:val="00A203C1"/>
    <w:rsid w:val="00A203E2"/>
    <w:rsid w:val="00A20603"/>
    <w:rsid w:val="00A20A4E"/>
    <w:rsid w:val="00A20C1B"/>
    <w:rsid w:val="00A21277"/>
    <w:rsid w:val="00A212EF"/>
    <w:rsid w:val="00A21569"/>
    <w:rsid w:val="00A217EC"/>
    <w:rsid w:val="00A21900"/>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4EC"/>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BDF"/>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9F"/>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287"/>
    <w:rsid w:val="00A50335"/>
    <w:rsid w:val="00A511D6"/>
    <w:rsid w:val="00A516D5"/>
    <w:rsid w:val="00A5191C"/>
    <w:rsid w:val="00A51C53"/>
    <w:rsid w:val="00A520B6"/>
    <w:rsid w:val="00A52135"/>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AA5"/>
    <w:rsid w:val="00A62B74"/>
    <w:rsid w:val="00A62C13"/>
    <w:rsid w:val="00A62C24"/>
    <w:rsid w:val="00A62C74"/>
    <w:rsid w:val="00A62C7B"/>
    <w:rsid w:val="00A62CB7"/>
    <w:rsid w:val="00A62DFF"/>
    <w:rsid w:val="00A62E6A"/>
    <w:rsid w:val="00A62FA7"/>
    <w:rsid w:val="00A631E9"/>
    <w:rsid w:val="00A63518"/>
    <w:rsid w:val="00A63587"/>
    <w:rsid w:val="00A635B2"/>
    <w:rsid w:val="00A63CE6"/>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6C"/>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500"/>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30"/>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53F"/>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05C"/>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3F"/>
    <w:rsid w:val="00A97CE6"/>
    <w:rsid w:val="00AA02CB"/>
    <w:rsid w:val="00AA05DF"/>
    <w:rsid w:val="00AA0AC1"/>
    <w:rsid w:val="00AA0B79"/>
    <w:rsid w:val="00AA0FDB"/>
    <w:rsid w:val="00AA1092"/>
    <w:rsid w:val="00AA13DA"/>
    <w:rsid w:val="00AA1532"/>
    <w:rsid w:val="00AA17A3"/>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9C2"/>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27F"/>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4EA"/>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99D"/>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30D"/>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842"/>
    <w:rsid w:val="00AE1BDE"/>
    <w:rsid w:val="00AE1C39"/>
    <w:rsid w:val="00AE2025"/>
    <w:rsid w:val="00AE230F"/>
    <w:rsid w:val="00AE2421"/>
    <w:rsid w:val="00AE26DD"/>
    <w:rsid w:val="00AE2A19"/>
    <w:rsid w:val="00AE2E4E"/>
    <w:rsid w:val="00AE2EA0"/>
    <w:rsid w:val="00AE368F"/>
    <w:rsid w:val="00AE3797"/>
    <w:rsid w:val="00AE386E"/>
    <w:rsid w:val="00AE3E00"/>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395"/>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869"/>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864"/>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4FB"/>
    <w:rsid w:val="00B4556A"/>
    <w:rsid w:val="00B45626"/>
    <w:rsid w:val="00B45AF9"/>
    <w:rsid w:val="00B45B79"/>
    <w:rsid w:val="00B45B7A"/>
    <w:rsid w:val="00B46406"/>
    <w:rsid w:val="00B46A37"/>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81"/>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2E"/>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2E6"/>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B"/>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8E6"/>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A7DE7"/>
    <w:rsid w:val="00BB04F4"/>
    <w:rsid w:val="00BB0E11"/>
    <w:rsid w:val="00BB0F25"/>
    <w:rsid w:val="00BB0F4D"/>
    <w:rsid w:val="00BB1628"/>
    <w:rsid w:val="00BB1646"/>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1CC"/>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B795A"/>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6CA"/>
    <w:rsid w:val="00BD5802"/>
    <w:rsid w:val="00BD618C"/>
    <w:rsid w:val="00BD6441"/>
    <w:rsid w:val="00BD64BE"/>
    <w:rsid w:val="00BD6593"/>
    <w:rsid w:val="00BD6630"/>
    <w:rsid w:val="00BD6C37"/>
    <w:rsid w:val="00BD6DFD"/>
    <w:rsid w:val="00BD6FDD"/>
    <w:rsid w:val="00BD7460"/>
    <w:rsid w:val="00BD74BF"/>
    <w:rsid w:val="00BD7DF7"/>
    <w:rsid w:val="00BE0156"/>
    <w:rsid w:val="00BE05B9"/>
    <w:rsid w:val="00BE0AC6"/>
    <w:rsid w:val="00BE0F8B"/>
    <w:rsid w:val="00BE0F99"/>
    <w:rsid w:val="00BE101D"/>
    <w:rsid w:val="00BE1176"/>
    <w:rsid w:val="00BE12C9"/>
    <w:rsid w:val="00BE140E"/>
    <w:rsid w:val="00BE1529"/>
    <w:rsid w:val="00BE16A3"/>
    <w:rsid w:val="00BE16AB"/>
    <w:rsid w:val="00BE1CB8"/>
    <w:rsid w:val="00BE1DF7"/>
    <w:rsid w:val="00BE1EB7"/>
    <w:rsid w:val="00BE2334"/>
    <w:rsid w:val="00BE254C"/>
    <w:rsid w:val="00BE2550"/>
    <w:rsid w:val="00BE2748"/>
    <w:rsid w:val="00BE2A26"/>
    <w:rsid w:val="00BE2A83"/>
    <w:rsid w:val="00BE2A90"/>
    <w:rsid w:val="00BE2B6A"/>
    <w:rsid w:val="00BE2C59"/>
    <w:rsid w:val="00BE3137"/>
    <w:rsid w:val="00BE3459"/>
    <w:rsid w:val="00BE3474"/>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3CB"/>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126"/>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078"/>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CA3"/>
    <w:rsid w:val="00C07E81"/>
    <w:rsid w:val="00C07ED2"/>
    <w:rsid w:val="00C10448"/>
    <w:rsid w:val="00C1050F"/>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0A2"/>
    <w:rsid w:val="00C14C63"/>
    <w:rsid w:val="00C14F48"/>
    <w:rsid w:val="00C151E3"/>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0F9E"/>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1DDD"/>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A6"/>
    <w:rsid w:val="00C54DFB"/>
    <w:rsid w:val="00C55124"/>
    <w:rsid w:val="00C552C8"/>
    <w:rsid w:val="00C5537A"/>
    <w:rsid w:val="00C55395"/>
    <w:rsid w:val="00C55402"/>
    <w:rsid w:val="00C5552B"/>
    <w:rsid w:val="00C5579F"/>
    <w:rsid w:val="00C5599F"/>
    <w:rsid w:val="00C55A42"/>
    <w:rsid w:val="00C55BED"/>
    <w:rsid w:val="00C55D4D"/>
    <w:rsid w:val="00C5671B"/>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C45"/>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4CF1"/>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630"/>
    <w:rsid w:val="00C859B5"/>
    <w:rsid w:val="00C85B6F"/>
    <w:rsid w:val="00C86183"/>
    <w:rsid w:val="00C86245"/>
    <w:rsid w:val="00C86370"/>
    <w:rsid w:val="00C8668E"/>
    <w:rsid w:val="00C867AE"/>
    <w:rsid w:val="00C867E1"/>
    <w:rsid w:val="00C86D7B"/>
    <w:rsid w:val="00C86EEC"/>
    <w:rsid w:val="00C87318"/>
    <w:rsid w:val="00C875F0"/>
    <w:rsid w:val="00C8771A"/>
    <w:rsid w:val="00C904A8"/>
    <w:rsid w:val="00C90603"/>
    <w:rsid w:val="00C90DA1"/>
    <w:rsid w:val="00C90E75"/>
    <w:rsid w:val="00C90F11"/>
    <w:rsid w:val="00C90F7A"/>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D92"/>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B6E"/>
    <w:rsid w:val="00CA3CDD"/>
    <w:rsid w:val="00CA3DCC"/>
    <w:rsid w:val="00CA404F"/>
    <w:rsid w:val="00CA463C"/>
    <w:rsid w:val="00CA474B"/>
    <w:rsid w:val="00CA4760"/>
    <w:rsid w:val="00CA4863"/>
    <w:rsid w:val="00CA4C2D"/>
    <w:rsid w:val="00CA4C6A"/>
    <w:rsid w:val="00CA51C3"/>
    <w:rsid w:val="00CA5B28"/>
    <w:rsid w:val="00CA5CEA"/>
    <w:rsid w:val="00CA5D19"/>
    <w:rsid w:val="00CA5EB8"/>
    <w:rsid w:val="00CA633D"/>
    <w:rsid w:val="00CA63D9"/>
    <w:rsid w:val="00CA6759"/>
    <w:rsid w:val="00CA6BA8"/>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0B6"/>
    <w:rsid w:val="00CB7274"/>
    <w:rsid w:val="00CB72C9"/>
    <w:rsid w:val="00CB740D"/>
    <w:rsid w:val="00CB7483"/>
    <w:rsid w:val="00CB78B6"/>
    <w:rsid w:val="00CB7B22"/>
    <w:rsid w:val="00CB7C5C"/>
    <w:rsid w:val="00CB7DE0"/>
    <w:rsid w:val="00CC0468"/>
    <w:rsid w:val="00CC0543"/>
    <w:rsid w:val="00CC05D3"/>
    <w:rsid w:val="00CC0609"/>
    <w:rsid w:val="00CC071E"/>
    <w:rsid w:val="00CC083E"/>
    <w:rsid w:val="00CC1463"/>
    <w:rsid w:val="00CC158D"/>
    <w:rsid w:val="00CC168E"/>
    <w:rsid w:val="00CC1BF3"/>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711"/>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2D"/>
    <w:rsid w:val="00CE495C"/>
    <w:rsid w:val="00CE5216"/>
    <w:rsid w:val="00CE52E3"/>
    <w:rsid w:val="00CE5986"/>
    <w:rsid w:val="00CE5DD1"/>
    <w:rsid w:val="00CE5E30"/>
    <w:rsid w:val="00CE5E85"/>
    <w:rsid w:val="00CE5FAA"/>
    <w:rsid w:val="00CE63FA"/>
    <w:rsid w:val="00CE6B86"/>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161"/>
    <w:rsid w:val="00CF2280"/>
    <w:rsid w:val="00CF2348"/>
    <w:rsid w:val="00CF2501"/>
    <w:rsid w:val="00CF255C"/>
    <w:rsid w:val="00CF2631"/>
    <w:rsid w:val="00CF27A9"/>
    <w:rsid w:val="00CF27DB"/>
    <w:rsid w:val="00CF29EB"/>
    <w:rsid w:val="00CF2D06"/>
    <w:rsid w:val="00CF3014"/>
    <w:rsid w:val="00CF36BD"/>
    <w:rsid w:val="00CF3769"/>
    <w:rsid w:val="00CF3C30"/>
    <w:rsid w:val="00CF497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21B"/>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2C"/>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68"/>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C8F"/>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768"/>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D4C"/>
    <w:rsid w:val="00D36E44"/>
    <w:rsid w:val="00D36F14"/>
    <w:rsid w:val="00D3736D"/>
    <w:rsid w:val="00D37550"/>
    <w:rsid w:val="00D376ED"/>
    <w:rsid w:val="00D37715"/>
    <w:rsid w:val="00D37B46"/>
    <w:rsid w:val="00D37C00"/>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7BA"/>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4"/>
    <w:rsid w:val="00D53989"/>
    <w:rsid w:val="00D5399E"/>
    <w:rsid w:val="00D539DD"/>
    <w:rsid w:val="00D53E5D"/>
    <w:rsid w:val="00D53FF4"/>
    <w:rsid w:val="00D5414C"/>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5E1"/>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1A93"/>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8B5"/>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0F50"/>
    <w:rsid w:val="00D711FF"/>
    <w:rsid w:val="00D714AE"/>
    <w:rsid w:val="00D7165F"/>
    <w:rsid w:val="00D717C5"/>
    <w:rsid w:val="00D71CFA"/>
    <w:rsid w:val="00D724E2"/>
    <w:rsid w:val="00D72500"/>
    <w:rsid w:val="00D72826"/>
    <w:rsid w:val="00D728E2"/>
    <w:rsid w:val="00D729DC"/>
    <w:rsid w:val="00D72A45"/>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8E6"/>
    <w:rsid w:val="00D75DE5"/>
    <w:rsid w:val="00D75FA2"/>
    <w:rsid w:val="00D76097"/>
    <w:rsid w:val="00D7635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E33"/>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123"/>
    <w:rsid w:val="00D925AB"/>
    <w:rsid w:val="00D92877"/>
    <w:rsid w:val="00D9294C"/>
    <w:rsid w:val="00D92A24"/>
    <w:rsid w:val="00D92AB6"/>
    <w:rsid w:val="00D92BFF"/>
    <w:rsid w:val="00D92DE5"/>
    <w:rsid w:val="00D92F09"/>
    <w:rsid w:val="00D930B9"/>
    <w:rsid w:val="00D93630"/>
    <w:rsid w:val="00D937F1"/>
    <w:rsid w:val="00D93A9F"/>
    <w:rsid w:val="00D93FD0"/>
    <w:rsid w:val="00D940D6"/>
    <w:rsid w:val="00D941A4"/>
    <w:rsid w:val="00D942BE"/>
    <w:rsid w:val="00D944F1"/>
    <w:rsid w:val="00D9471D"/>
    <w:rsid w:val="00D94A2A"/>
    <w:rsid w:val="00D94A4A"/>
    <w:rsid w:val="00D94A8C"/>
    <w:rsid w:val="00D94BA6"/>
    <w:rsid w:val="00D94C8A"/>
    <w:rsid w:val="00D94E8F"/>
    <w:rsid w:val="00D94F9F"/>
    <w:rsid w:val="00D94FD7"/>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63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0B1"/>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9AD"/>
    <w:rsid w:val="00DC5A0D"/>
    <w:rsid w:val="00DC5B9F"/>
    <w:rsid w:val="00DC5C6C"/>
    <w:rsid w:val="00DC5E12"/>
    <w:rsid w:val="00DC5F93"/>
    <w:rsid w:val="00DC6203"/>
    <w:rsid w:val="00DC6387"/>
    <w:rsid w:val="00DC6685"/>
    <w:rsid w:val="00DC6868"/>
    <w:rsid w:val="00DC6B52"/>
    <w:rsid w:val="00DC6DCC"/>
    <w:rsid w:val="00DC6F0E"/>
    <w:rsid w:val="00DC7000"/>
    <w:rsid w:val="00DC742E"/>
    <w:rsid w:val="00DC78B1"/>
    <w:rsid w:val="00DC78B7"/>
    <w:rsid w:val="00DC7FD6"/>
    <w:rsid w:val="00DD0135"/>
    <w:rsid w:val="00DD0249"/>
    <w:rsid w:val="00DD042F"/>
    <w:rsid w:val="00DD05DC"/>
    <w:rsid w:val="00DD061A"/>
    <w:rsid w:val="00DD0948"/>
    <w:rsid w:val="00DD0A7A"/>
    <w:rsid w:val="00DD0B37"/>
    <w:rsid w:val="00DD0BCA"/>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603"/>
    <w:rsid w:val="00DE4976"/>
    <w:rsid w:val="00DE4C64"/>
    <w:rsid w:val="00DE4ED8"/>
    <w:rsid w:val="00DE524F"/>
    <w:rsid w:val="00DE5337"/>
    <w:rsid w:val="00DE534B"/>
    <w:rsid w:val="00DE5DAE"/>
    <w:rsid w:val="00DE5F9A"/>
    <w:rsid w:val="00DE617E"/>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5A4"/>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8CE"/>
    <w:rsid w:val="00E07955"/>
    <w:rsid w:val="00E07B62"/>
    <w:rsid w:val="00E07C2D"/>
    <w:rsid w:val="00E07DD8"/>
    <w:rsid w:val="00E07E9C"/>
    <w:rsid w:val="00E07EB8"/>
    <w:rsid w:val="00E07F78"/>
    <w:rsid w:val="00E1015B"/>
    <w:rsid w:val="00E10385"/>
    <w:rsid w:val="00E103F8"/>
    <w:rsid w:val="00E104F0"/>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694"/>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5E61"/>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177"/>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CCC"/>
    <w:rsid w:val="00E46D65"/>
    <w:rsid w:val="00E4702F"/>
    <w:rsid w:val="00E4724D"/>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D20"/>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5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896"/>
    <w:rsid w:val="00E709A0"/>
    <w:rsid w:val="00E70A49"/>
    <w:rsid w:val="00E70CDE"/>
    <w:rsid w:val="00E70CEB"/>
    <w:rsid w:val="00E71027"/>
    <w:rsid w:val="00E7102D"/>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6FEF"/>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156"/>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3C8"/>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23D"/>
    <w:rsid w:val="00EB336A"/>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2D4F"/>
    <w:rsid w:val="00ED3995"/>
    <w:rsid w:val="00ED3B96"/>
    <w:rsid w:val="00ED4495"/>
    <w:rsid w:val="00ED44D6"/>
    <w:rsid w:val="00ED465C"/>
    <w:rsid w:val="00ED4867"/>
    <w:rsid w:val="00ED4AD5"/>
    <w:rsid w:val="00ED4E07"/>
    <w:rsid w:val="00ED5067"/>
    <w:rsid w:val="00ED542F"/>
    <w:rsid w:val="00ED5905"/>
    <w:rsid w:val="00ED59D0"/>
    <w:rsid w:val="00ED5C0F"/>
    <w:rsid w:val="00ED602B"/>
    <w:rsid w:val="00ED6042"/>
    <w:rsid w:val="00ED61AC"/>
    <w:rsid w:val="00ED63A3"/>
    <w:rsid w:val="00ED688A"/>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61"/>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4FAB"/>
    <w:rsid w:val="00EE5154"/>
    <w:rsid w:val="00EE52B4"/>
    <w:rsid w:val="00EE56C9"/>
    <w:rsid w:val="00EE5ADD"/>
    <w:rsid w:val="00EE5D24"/>
    <w:rsid w:val="00EE5F0D"/>
    <w:rsid w:val="00EE5F28"/>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9EB"/>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5B8"/>
    <w:rsid w:val="00F109AA"/>
    <w:rsid w:val="00F10DA5"/>
    <w:rsid w:val="00F110EE"/>
    <w:rsid w:val="00F11159"/>
    <w:rsid w:val="00F11195"/>
    <w:rsid w:val="00F11230"/>
    <w:rsid w:val="00F11A18"/>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0B"/>
    <w:rsid w:val="00F27F89"/>
    <w:rsid w:val="00F30122"/>
    <w:rsid w:val="00F30976"/>
    <w:rsid w:val="00F30A24"/>
    <w:rsid w:val="00F30A9C"/>
    <w:rsid w:val="00F30EF5"/>
    <w:rsid w:val="00F30F4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9A4"/>
    <w:rsid w:val="00F34AA8"/>
    <w:rsid w:val="00F34ADB"/>
    <w:rsid w:val="00F35160"/>
    <w:rsid w:val="00F351CA"/>
    <w:rsid w:val="00F35587"/>
    <w:rsid w:val="00F35A7F"/>
    <w:rsid w:val="00F35FE0"/>
    <w:rsid w:val="00F36149"/>
    <w:rsid w:val="00F3623A"/>
    <w:rsid w:val="00F36674"/>
    <w:rsid w:val="00F366E9"/>
    <w:rsid w:val="00F3716D"/>
    <w:rsid w:val="00F37280"/>
    <w:rsid w:val="00F37762"/>
    <w:rsid w:val="00F377AF"/>
    <w:rsid w:val="00F37864"/>
    <w:rsid w:val="00F37875"/>
    <w:rsid w:val="00F3793F"/>
    <w:rsid w:val="00F37EB0"/>
    <w:rsid w:val="00F4010B"/>
    <w:rsid w:val="00F4025A"/>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6B7"/>
    <w:rsid w:val="00F42BCD"/>
    <w:rsid w:val="00F42C82"/>
    <w:rsid w:val="00F43066"/>
    <w:rsid w:val="00F4309B"/>
    <w:rsid w:val="00F430BF"/>
    <w:rsid w:val="00F4339C"/>
    <w:rsid w:val="00F436A4"/>
    <w:rsid w:val="00F43ABF"/>
    <w:rsid w:val="00F43C91"/>
    <w:rsid w:val="00F43E2F"/>
    <w:rsid w:val="00F43EB1"/>
    <w:rsid w:val="00F44238"/>
    <w:rsid w:val="00F44506"/>
    <w:rsid w:val="00F445B7"/>
    <w:rsid w:val="00F4498A"/>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5FA3"/>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51"/>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94B"/>
    <w:rsid w:val="00F75F2B"/>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47"/>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6B"/>
    <w:rsid w:val="00F90D7F"/>
    <w:rsid w:val="00F90DA1"/>
    <w:rsid w:val="00F91322"/>
    <w:rsid w:val="00F91A11"/>
    <w:rsid w:val="00F91A18"/>
    <w:rsid w:val="00F91F66"/>
    <w:rsid w:val="00F92955"/>
    <w:rsid w:val="00F92987"/>
    <w:rsid w:val="00F92996"/>
    <w:rsid w:val="00F92BE5"/>
    <w:rsid w:val="00F92E01"/>
    <w:rsid w:val="00F93041"/>
    <w:rsid w:val="00F93288"/>
    <w:rsid w:val="00F93304"/>
    <w:rsid w:val="00F934D3"/>
    <w:rsid w:val="00F93733"/>
    <w:rsid w:val="00F937B7"/>
    <w:rsid w:val="00F939CB"/>
    <w:rsid w:val="00F93A18"/>
    <w:rsid w:val="00F94395"/>
    <w:rsid w:val="00F945E0"/>
    <w:rsid w:val="00F94837"/>
    <w:rsid w:val="00F9484E"/>
    <w:rsid w:val="00F94BDC"/>
    <w:rsid w:val="00F94EC9"/>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C07"/>
    <w:rsid w:val="00FA1E72"/>
    <w:rsid w:val="00FA2047"/>
    <w:rsid w:val="00FA2708"/>
    <w:rsid w:val="00FA2727"/>
    <w:rsid w:val="00FA2771"/>
    <w:rsid w:val="00FA28AA"/>
    <w:rsid w:val="00FA2A3D"/>
    <w:rsid w:val="00FA2B96"/>
    <w:rsid w:val="00FA2E23"/>
    <w:rsid w:val="00FA31E3"/>
    <w:rsid w:val="00FA35E8"/>
    <w:rsid w:val="00FA3A0A"/>
    <w:rsid w:val="00FA4329"/>
    <w:rsid w:val="00FA47DA"/>
    <w:rsid w:val="00FA48B9"/>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6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AAF"/>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B9F"/>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72"/>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9D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24"/>
    <w:rsid w:val="00FF585E"/>
    <w:rsid w:val="00FF5975"/>
    <w:rsid w:val="00FF5B6B"/>
    <w:rsid w:val="00FF5C2A"/>
    <w:rsid w:val="00FF5EEB"/>
    <w:rsid w:val="00FF6037"/>
    <w:rsid w:val="00FF6664"/>
    <w:rsid w:val="00FF6832"/>
    <w:rsid w:val="00FF6A9D"/>
    <w:rsid w:val="00FF6BB9"/>
    <w:rsid w:val="00FF6F78"/>
    <w:rsid w:val="00FF6FBA"/>
    <w:rsid w:val="00FF7211"/>
    <w:rsid w:val="00FF7E98"/>
    <w:rsid w:val="0184FE55"/>
    <w:rsid w:val="01AE1925"/>
    <w:rsid w:val="0263F40A"/>
    <w:rsid w:val="02BB8AB4"/>
    <w:rsid w:val="037B7B81"/>
    <w:rsid w:val="038F4F71"/>
    <w:rsid w:val="03B0FC79"/>
    <w:rsid w:val="054CCCDA"/>
    <w:rsid w:val="059B874C"/>
    <w:rsid w:val="05E89903"/>
    <w:rsid w:val="067988DC"/>
    <w:rsid w:val="06FB473C"/>
    <w:rsid w:val="091EFC51"/>
    <w:rsid w:val="09EDB0FE"/>
    <w:rsid w:val="09FDA871"/>
    <w:rsid w:val="0A99968C"/>
    <w:rsid w:val="0A9B6B74"/>
    <w:rsid w:val="0B488641"/>
    <w:rsid w:val="0B905EDD"/>
    <w:rsid w:val="0C4A9294"/>
    <w:rsid w:val="0CE0E73E"/>
    <w:rsid w:val="0D49C50E"/>
    <w:rsid w:val="0F9CD41F"/>
    <w:rsid w:val="0FC59638"/>
    <w:rsid w:val="1122646D"/>
    <w:rsid w:val="11BE00CD"/>
    <w:rsid w:val="11E35E9E"/>
    <w:rsid w:val="1298409D"/>
    <w:rsid w:val="13CF0DC9"/>
    <w:rsid w:val="13E18AC7"/>
    <w:rsid w:val="1455A479"/>
    <w:rsid w:val="148F52F2"/>
    <w:rsid w:val="14CD9D59"/>
    <w:rsid w:val="15300F65"/>
    <w:rsid w:val="156ADE2A"/>
    <w:rsid w:val="16094DF7"/>
    <w:rsid w:val="16341E0B"/>
    <w:rsid w:val="16DE6A46"/>
    <w:rsid w:val="178AB111"/>
    <w:rsid w:val="181B6BCC"/>
    <w:rsid w:val="18BF8394"/>
    <w:rsid w:val="18CDBCAE"/>
    <w:rsid w:val="1929159C"/>
    <w:rsid w:val="192ACF2D"/>
    <w:rsid w:val="1BEBB239"/>
    <w:rsid w:val="1C3DE190"/>
    <w:rsid w:val="1C604C37"/>
    <w:rsid w:val="1CBF4EA1"/>
    <w:rsid w:val="1D5CC7B2"/>
    <w:rsid w:val="1D6E9779"/>
    <w:rsid w:val="1D873B76"/>
    <w:rsid w:val="1DC024C6"/>
    <w:rsid w:val="1E2F3B3B"/>
    <w:rsid w:val="1E90F918"/>
    <w:rsid w:val="1EFE294D"/>
    <w:rsid w:val="1F2619F8"/>
    <w:rsid w:val="2104E947"/>
    <w:rsid w:val="2176E835"/>
    <w:rsid w:val="239FEA1D"/>
    <w:rsid w:val="24A0CF95"/>
    <w:rsid w:val="25C086B0"/>
    <w:rsid w:val="26665905"/>
    <w:rsid w:val="278F38D6"/>
    <w:rsid w:val="287E039B"/>
    <w:rsid w:val="28CCADD2"/>
    <w:rsid w:val="2ABC405F"/>
    <w:rsid w:val="2D241655"/>
    <w:rsid w:val="2D713CAA"/>
    <w:rsid w:val="30027ED0"/>
    <w:rsid w:val="305E7E14"/>
    <w:rsid w:val="3129F4C0"/>
    <w:rsid w:val="3171D3E1"/>
    <w:rsid w:val="32345A41"/>
    <w:rsid w:val="332935B3"/>
    <w:rsid w:val="335D3AC1"/>
    <w:rsid w:val="3366077C"/>
    <w:rsid w:val="33AFC982"/>
    <w:rsid w:val="33C0B642"/>
    <w:rsid w:val="34B47935"/>
    <w:rsid w:val="355C86A3"/>
    <w:rsid w:val="35CF6DBA"/>
    <w:rsid w:val="35E7F2B5"/>
    <w:rsid w:val="36638A6A"/>
    <w:rsid w:val="3671C054"/>
    <w:rsid w:val="36F85704"/>
    <w:rsid w:val="3781430E"/>
    <w:rsid w:val="37EC19F7"/>
    <w:rsid w:val="38203AB6"/>
    <w:rsid w:val="38AFA74E"/>
    <w:rsid w:val="38C91188"/>
    <w:rsid w:val="39AFC631"/>
    <w:rsid w:val="3AA94B93"/>
    <w:rsid w:val="3BC2345C"/>
    <w:rsid w:val="3C433183"/>
    <w:rsid w:val="3D81377E"/>
    <w:rsid w:val="3DB572B5"/>
    <w:rsid w:val="3E67FDED"/>
    <w:rsid w:val="3E93BB8E"/>
    <w:rsid w:val="3ED3C65B"/>
    <w:rsid w:val="3FD08764"/>
    <w:rsid w:val="41256BBF"/>
    <w:rsid w:val="4126ACFE"/>
    <w:rsid w:val="414E13E1"/>
    <w:rsid w:val="4242239B"/>
    <w:rsid w:val="4246C0FD"/>
    <w:rsid w:val="428F0D91"/>
    <w:rsid w:val="42BAF74F"/>
    <w:rsid w:val="43A71FB1"/>
    <w:rsid w:val="43CDED96"/>
    <w:rsid w:val="44B055D4"/>
    <w:rsid w:val="45AADB0C"/>
    <w:rsid w:val="46F41EA4"/>
    <w:rsid w:val="47AA60C5"/>
    <w:rsid w:val="48C67EFE"/>
    <w:rsid w:val="4956D444"/>
    <w:rsid w:val="49FAF249"/>
    <w:rsid w:val="4A160C6C"/>
    <w:rsid w:val="4AC10995"/>
    <w:rsid w:val="4AC60760"/>
    <w:rsid w:val="4AE6A04C"/>
    <w:rsid w:val="4B21EDDE"/>
    <w:rsid w:val="4BC6DB78"/>
    <w:rsid w:val="4BD0B11A"/>
    <w:rsid w:val="4DF1DF41"/>
    <w:rsid w:val="4E5EF677"/>
    <w:rsid w:val="4EE02F6B"/>
    <w:rsid w:val="4F393886"/>
    <w:rsid w:val="4F997883"/>
    <w:rsid w:val="4FA51221"/>
    <w:rsid w:val="4FFAC6D8"/>
    <w:rsid w:val="5002589C"/>
    <w:rsid w:val="50DDECBB"/>
    <w:rsid w:val="52B7DB5C"/>
    <w:rsid w:val="52BE3F1B"/>
    <w:rsid w:val="52D11945"/>
    <w:rsid w:val="5332679A"/>
    <w:rsid w:val="5381926B"/>
    <w:rsid w:val="53A33167"/>
    <w:rsid w:val="546F736B"/>
    <w:rsid w:val="58AF3422"/>
    <w:rsid w:val="5AA2F0D5"/>
    <w:rsid w:val="5BE63BCA"/>
    <w:rsid w:val="5C8082E2"/>
    <w:rsid w:val="5DC2F06D"/>
    <w:rsid w:val="5DF360FD"/>
    <w:rsid w:val="5E19682E"/>
    <w:rsid w:val="5E7B9563"/>
    <w:rsid w:val="5E7D07C7"/>
    <w:rsid w:val="5FA9FD0F"/>
    <w:rsid w:val="61B4A889"/>
    <w:rsid w:val="62C8A1B9"/>
    <w:rsid w:val="63362A30"/>
    <w:rsid w:val="6380837C"/>
    <w:rsid w:val="64656BE1"/>
    <w:rsid w:val="6473A4FB"/>
    <w:rsid w:val="6502CD43"/>
    <w:rsid w:val="65466615"/>
    <w:rsid w:val="65C6B110"/>
    <w:rsid w:val="66F97867"/>
    <w:rsid w:val="68042221"/>
    <w:rsid w:val="687C0ADF"/>
    <w:rsid w:val="699FF282"/>
    <w:rsid w:val="69A9AB7C"/>
    <w:rsid w:val="69F3CA8A"/>
    <w:rsid w:val="6A4F0081"/>
    <w:rsid w:val="6AA5AB51"/>
    <w:rsid w:val="6B5B8ACF"/>
    <w:rsid w:val="6B7286B5"/>
    <w:rsid w:val="6B8748BE"/>
    <w:rsid w:val="6C37D437"/>
    <w:rsid w:val="6E0B5727"/>
    <w:rsid w:val="6E8E1BFE"/>
    <w:rsid w:val="6EEB4C63"/>
    <w:rsid w:val="6F1988F7"/>
    <w:rsid w:val="70529F88"/>
    <w:rsid w:val="70BCB4E3"/>
    <w:rsid w:val="70C9FA79"/>
    <w:rsid w:val="71B2F1ED"/>
    <w:rsid w:val="723C0FCD"/>
    <w:rsid w:val="74216F5E"/>
    <w:rsid w:val="7534C76C"/>
    <w:rsid w:val="76E416CD"/>
    <w:rsid w:val="7770F9DF"/>
    <w:rsid w:val="77C7A827"/>
    <w:rsid w:val="7914A86D"/>
    <w:rsid w:val="794F339D"/>
    <w:rsid w:val="79B8594D"/>
    <w:rsid w:val="79D096F2"/>
    <w:rsid w:val="7B71FFCF"/>
    <w:rsid w:val="7BBF12F0"/>
    <w:rsid w:val="7E404A84"/>
    <w:rsid w:val="7E788C90"/>
    <w:rsid w:val="7EED8F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0FA0C"/>
  <w15:docId w15:val="{8258847B-F837-450D-B8D4-2ACE4C0E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US"/>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US"/>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rPr>
  </w:style>
  <w:style w:type="paragraph" w:customStyle="1" w:styleId="normal12hanging0">
    <w:name w:val="normal12hanging"/>
    <w:basedOn w:val="Normal"/>
    <w:rsid w:val="00E709A0"/>
    <w:pPr>
      <w:ind w:left="357" w:hanging="357"/>
      <w:jc w:val="left"/>
    </w:pPr>
    <w:rPr>
      <w:rFonts w:ascii="Times New Roman" w:hAnsi="Times New Roman"/>
      <w:szCs w:val="24"/>
    </w:rPr>
  </w:style>
  <w:style w:type="paragraph" w:customStyle="1" w:styleId="CharCharChar">
    <w:name w:val="Char Char Char"/>
    <w:basedOn w:val="Normal"/>
    <w:next w:val="Normal"/>
    <w:rsid w:val="00E709A0"/>
    <w:pPr>
      <w:spacing w:after="160" w:line="240" w:lineRule="exact"/>
      <w:jc w:val="left"/>
    </w:pPr>
    <w:rPr>
      <w:rFonts w:ascii="Tahoma" w:hAnsi="Tahoma"/>
    </w:rPr>
  </w:style>
  <w:style w:type="paragraph" w:customStyle="1" w:styleId="CharCharChar0">
    <w:name w:val="Char Char Char0"/>
    <w:basedOn w:val="Normal"/>
    <w:uiPriority w:val="99"/>
    <w:rsid w:val="0092510C"/>
    <w:pPr>
      <w:spacing w:after="160" w:line="240" w:lineRule="exact"/>
      <w:jc w:val="left"/>
    </w:pPr>
    <w:rPr>
      <w:rFonts w:ascii="Tahoma" w:hAnsi="Tahoma"/>
      <w:sz w:val="20"/>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rPr>
  </w:style>
  <w:style w:type="paragraph" w:customStyle="1" w:styleId="Char1">
    <w:name w:val="Char1"/>
    <w:basedOn w:val="Normal"/>
    <w:rsid w:val="00F47B73"/>
    <w:pPr>
      <w:spacing w:after="160" w:line="240" w:lineRule="exact"/>
      <w:jc w:val="left"/>
    </w:pPr>
    <w:rPr>
      <w:rFonts w:ascii="Tahoma" w:hAnsi="Tahoma"/>
      <w:sz w:val="20"/>
    </w:rPr>
  </w:style>
  <w:style w:type="paragraph" w:customStyle="1" w:styleId="Char">
    <w:name w:val="Char"/>
    <w:basedOn w:val="Normal"/>
    <w:rsid w:val="00124A7A"/>
    <w:pPr>
      <w:spacing w:after="160" w:line="240" w:lineRule="exact"/>
      <w:jc w:val="left"/>
    </w:pPr>
    <w:rPr>
      <w:rFonts w:ascii="Tahoma" w:hAnsi="Tahoma"/>
      <w:sz w:val="20"/>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rPr>
  </w:style>
  <w:style w:type="paragraph" w:customStyle="1" w:styleId="Car">
    <w:name w:val="Car"/>
    <w:basedOn w:val="Normal"/>
    <w:rsid w:val="00F02465"/>
    <w:pPr>
      <w:spacing w:after="160" w:line="240" w:lineRule="exact"/>
      <w:jc w:val="left"/>
    </w:pPr>
    <w:rPr>
      <w:rFonts w:ascii="Arial" w:hAnsi="Arial" w:cs="Arial"/>
      <w:sz w:val="28"/>
      <w:szCs w:val="28"/>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rPr>
  </w:style>
  <w:style w:type="paragraph" w:customStyle="1" w:styleId="Znak">
    <w:name w:val="Znak"/>
    <w:basedOn w:val="Normal"/>
    <w:rsid w:val="00A76EE9"/>
    <w:pPr>
      <w:spacing w:after="160" w:line="240" w:lineRule="exact"/>
      <w:jc w:val="left"/>
    </w:pPr>
    <w:rPr>
      <w:rFonts w:ascii="Tahoma" w:hAnsi="Tahoma"/>
      <w:sz w:val="20"/>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Dot pt,No Spacing1,List Paragraph Char Char Char,Indicator Text,Numbered Para 1,List Paragraph1,Bullet Points,MAIN CONTENT,List Paragraph12,List Paragraph11,OBC Bullet,F5 List Paragraph,Normal numbered,Bullet lis"/>
    <w:basedOn w:val="Normal"/>
    <w:link w:val="ListParagraphChar"/>
    <w:uiPriority w:val="34"/>
    <w:qFormat/>
    <w:rsid w:val="001C680C"/>
    <w:pPr>
      <w:spacing w:after="200" w:line="276" w:lineRule="auto"/>
      <w:ind w:left="720"/>
      <w:contextualSpacing/>
      <w:jc w:val="left"/>
    </w:pPr>
    <w:rPr>
      <w:rFonts w:ascii="Calibri" w:eastAsia="Calibri" w:hAnsi="Calibri"/>
      <w:sz w:val="22"/>
      <w:szCs w:val="22"/>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US"/>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
    <w:link w:val="ListParagraph"/>
    <w:uiPriority w:val="34"/>
    <w:locked/>
    <w:rsid w:val="00366915"/>
    <w:rPr>
      <w:rFonts w:ascii="Calibri" w:eastAsia="Calibri" w:hAnsi="Calibri"/>
      <w:sz w:val="22"/>
      <w:szCs w:val="22"/>
      <w:lang w:val="fr-FR" w:eastAsia="en-US"/>
    </w:rPr>
  </w:style>
  <w:style w:type="character" w:customStyle="1" w:styleId="cf01">
    <w:name w:val="cf01"/>
    <w:rsid w:val="00687CCF"/>
    <w:rPr>
      <w:rFonts w:ascii="Segoe UI" w:hAnsi="Segoe UI" w:cs="Segoe UI" w:hint="default"/>
      <w:sz w:val="18"/>
      <w:szCs w:val="18"/>
    </w:rPr>
  </w:style>
  <w:style w:type="character" w:styleId="Mention">
    <w:name w:val="Mention"/>
    <w:uiPriority w:val="99"/>
    <w:unhideWhenUsed/>
    <w:rsid w:val="006328D7"/>
    <w:rPr>
      <w:color w:val="2B579A"/>
      <w:shd w:val="clear" w:color="auto" w:fill="E1DFDD"/>
    </w:rPr>
  </w:style>
  <w:style w:type="paragraph" w:customStyle="1" w:styleId="Normal20">
    <w:name w:val="Normal2"/>
    <w:basedOn w:val="Normal"/>
    <w:rsid w:val="00471ADB"/>
    <w:pPr>
      <w:spacing w:before="100" w:beforeAutospacing="1" w:after="100" w:afterAutospacing="1"/>
      <w:jc w:val="left"/>
    </w:pPr>
    <w:rPr>
      <w:rFonts w:ascii="Times New Roman" w:hAnsi="Times New Roman"/>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41317">
      <w:bodyDiv w:val="1"/>
      <w:marLeft w:val="0"/>
      <w:marRight w:val="0"/>
      <w:marTop w:val="0"/>
      <w:marBottom w:val="0"/>
      <w:divBdr>
        <w:top w:val="none" w:sz="0" w:space="0" w:color="auto"/>
        <w:left w:val="none" w:sz="0" w:space="0" w:color="auto"/>
        <w:bottom w:val="none" w:sz="0" w:space="0" w:color="auto"/>
        <w:right w:val="none" w:sz="0" w:space="0" w:color="auto"/>
      </w:divBdr>
    </w:div>
    <w:div w:id="1789087678">
      <w:bodyDiv w:val="1"/>
      <w:marLeft w:val="0"/>
      <w:marRight w:val="0"/>
      <w:marTop w:val="0"/>
      <w:marBottom w:val="0"/>
      <w:divBdr>
        <w:top w:val="none" w:sz="0" w:space="0" w:color="auto"/>
        <w:left w:val="none" w:sz="0" w:space="0" w:color="auto"/>
        <w:bottom w:val="none" w:sz="0" w:space="0" w:color="auto"/>
        <w:right w:val="none" w:sz="0" w:space="0" w:color="auto"/>
      </w:divBdr>
    </w:div>
    <w:div w:id="206991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8" ma:contentTypeDescription="Create a new document." ma:contentTypeScope="" ma:versionID="7044c1c6c05daf6cb5ad2eb96e2ad88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4412a27233c2922f6c747ea39b1cc663"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E5378-344E-4261-AB3F-2A63022EC0E3}">
  <ds:schemaRefs>
    <ds:schemaRef ds:uri="http://schemas.microsoft.com/sharepoint/v3/contenttype/forms"/>
  </ds:schemaRefs>
</ds:datastoreItem>
</file>

<file path=customXml/itemProps2.xml><?xml version="1.0" encoding="utf-8"?>
<ds:datastoreItem xmlns:ds="http://schemas.openxmlformats.org/officeDocument/2006/customXml" ds:itemID="{A5F8B0A7-7E3D-4314-B193-6281F8B2218C}">
  <ds:schemaRefs>
    <ds:schemaRef ds:uri="http://schemas.openxmlformats.org/officeDocument/2006/bibliography"/>
  </ds:schemaRefs>
</ds:datastoreItem>
</file>

<file path=customXml/itemProps3.xml><?xml version="1.0" encoding="utf-8"?>
<ds:datastoreItem xmlns:ds="http://schemas.openxmlformats.org/officeDocument/2006/customXml" ds:itemID="{F97BDB1D-442A-4741-A859-04A4F6779E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27AE04-7213-4048-9BEB-AE5E75C8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TEL.DOTM</Template>
  <TotalTime>0</TotalTime>
  <Pages>3</Pages>
  <Words>2799</Words>
  <Characters>15956</Characters>
  <Application>Microsoft Office Word</Application>
  <DocSecurity>0</DocSecurity>
  <PresentationFormat>Microsoft Word 8.0b</PresentationFormat>
  <Lines>241</Lines>
  <Paragraphs>53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2017-11-26T08:32:00Z</cp:lastPrinted>
  <dcterms:created xsi:type="dcterms:W3CDTF">2024-05-16T12:59:00Z</dcterms:created>
  <dcterms:modified xsi:type="dcterms:W3CDTF">2024-05-16T12:59:00Z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ContentTypeId">
    <vt:lpwstr>0x010100087E4EC354ADFB40AC5D4FC129E379BA</vt:lpwstr>
  </property>
  <property fmtid="{D5CDD505-2E9C-101B-9397-08002B2CF9AE}" pid="14" name="MediaServiceImageTags">
    <vt:lpwstr/>
  </property>
  <property fmtid="{D5CDD505-2E9C-101B-9397-08002B2CF9AE}" pid="15" name="MSIP_Label_6bd9ddd1-4d20-43f6-abfa-fc3c07406f94_Enabled">
    <vt:lpwstr>true</vt:lpwstr>
  </property>
  <property fmtid="{D5CDD505-2E9C-101B-9397-08002B2CF9AE}" pid="16" name="MSIP_Label_6bd9ddd1-4d20-43f6-abfa-fc3c07406f94_SetDate">
    <vt:lpwstr>2024-01-24T11:03:45Z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23873611-a04b-4b31-bc14-b1a9149f8263</vt:lpwstr>
  </property>
  <property fmtid="{D5CDD505-2E9C-101B-9397-08002B2CF9AE}" pid="21" name="MSIP_Label_6bd9ddd1-4d20-43f6-abfa-fc3c07406f94_ContentBits">
    <vt:lpwstr>0</vt:lpwstr>
  </property>
</Properties>
</file>