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7917A" w14:textId="52576496" w:rsidR="00331DB9" w:rsidRPr="00331DB9" w:rsidRDefault="004A6C66" w:rsidP="00456B58">
      <w:pPr>
        <w:spacing w:after="600"/>
        <w:jc w:val="center"/>
        <w:rPr>
          <w:rFonts w:ascii="Times New Roman" w:hAnsi="Times New Roman"/>
          <w:b/>
        </w:rPr>
      </w:pPr>
      <w:r>
        <w:rPr>
          <w:rFonts w:ascii="Times New Roman" w:hAnsi="Times New Roman"/>
          <w:b/>
        </w:rPr>
        <w:t>Suite donnée à la résolution non législative du Parlement européen sur la dimension de genre de l’augmentation du coût de la vie et des répercussions de la crise énergétique</w:t>
      </w:r>
    </w:p>
    <w:p w14:paraId="241014AD" w14:textId="7B402FB2" w:rsidR="004A6C66" w:rsidRPr="00B507E9" w:rsidRDefault="00456B58" w:rsidP="00A824B4">
      <w:pPr>
        <w:numPr>
          <w:ilvl w:val="0"/>
          <w:numId w:val="27"/>
        </w:numPr>
        <w:ind w:left="567" w:hanging="567"/>
        <w:rPr>
          <w:rFonts w:ascii="Times New Roman" w:hAnsi="Times New Roman"/>
          <w:b/>
          <w:szCs w:val="24"/>
        </w:rPr>
      </w:pPr>
      <w:r>
        <w:rPr>
          <w:rFonts w:ascii="Times New Roman" w:hAnsi="Times New Roman"/>
          <w:b/>
        </w:rPr>
        <w:t xml:space="preserve">Rapporteure: </w:t>
      </w:r>
      <w:r>
        <w:rPr>
          <w:rFonts w:ascii="Times New Roman" w:hAnsi="Times New Roman"/>
        </w:rPr>
        <w:t>Alice KUHNKE (Verts/ALE/SE)</w:t>
      </w:r>
    </w:p>
    <w:p w14:paraId="31CC6E14" w14:textId="34E53B0C" w:rsidR="004A6C66" w:rsidRPr="00B507E9" w:rsidRDefault="00535D4D" w:rsidP="00A824B4">
      <w:pPr>
        <w:numPr>
          <w:ilvl w:val="0"/>
          <w:numId w:val="27"/>
        </w:numPr>
        <w:ind w:left="567" w:hanging="567"/>
        <w:rPr>
          <w:rFonts w:ascii="Times New Roman" w:hAnsi="Times New Roman"/>
          <w:i/>
          <w:szCs w:val="24"/>
        </w:rPr>
      </w:pPr>
      <w:r>
        <w:rPr>
          <w:rFonts w:ascii="Times New Roman" w:hAnsi="Times New Roman"/>
          <w:b/>
        </w:rPr>
        <w:t xml:space="preserve">Numéros de référence: </w:t>
      </w:r>
      <w:r>
        <w:rPr>
          <w:rFonts w:ascii="Times New Roman" w:hAnsi="Times New Roman"/>
        </w:rPr>
        <w:t xml:space="preserve">2023/2115 (INI) / </w:t>
      </w:r>
      <w:r>
        <w:rPr>
          <w:rStyle w:val="normaltextrun"/>
          <w:rFonts w:ascii="Times New Roman" w:hAnsi="Times New Roman"/>
          <w:color w:val="000000"/>
          <w:bdr w:val="none" w:sz="0" w:space="0" w:color="auto" w:frame="1"/>
        </w:rPr>
        <w:t xml:space="preserve">A9-0430/2023 / </w:t>
      </w:r>
      <w:r>
        <w:rPr>
          <w:rFonts w:ascii="Times New Roman" w:hAnsi="Times New Roman"/>
        </w:rPr>
        <w:t>P9_TA(2024)0048</w:t>
      </w:r>
    </w:p>
    <w:p w14:paraId="3F5AC490" w14:textId="7BE598FB" w:rsidR="005A00C3" w:rsidRPr="00B507E9" w:rsidRDefault="004A6C66" w:rsidP="00A824B4">
      <w:pPr>
        <w:numPr>
          <w:ilvl w:val="0"/>
          <w:numId w:val="27"/>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18 janvier 2024</w:t>
      </w:r>
    </w:p>
    <w:p w14:paraId="56045FE8" w14:textId="71015431" w:rsidR="00EC0A27" w:rsidRPr="00B507E9" w:rsidRDefault="00EC0A27" w:rsidP="00A824B4">
      <w:pPr>
        <w:numPr>
          <w:ilvl w:val="0"/>
          <w:numId w:val="27"/>
        </w:numPr>
        <w:ind w:left="567" w:hanging="567"/>
        <w:rPr>
          <w:rFonts w:ascii="Times New Roman" w:hAnsi="Times New Roman"/>
          <w:i/>
          <w:szCs w:val="24"/>
        </w:rPr>
      </w:pPr>
      <w:r>
        <w:rPr>
          <w:rFonts w:ascii="Times New Roman" w:hAnsi="Times New Roman"/>
          <w:b/>
        </w:rPr>
        <w:t>Commission parlementaire compétente:</w:t>
      </w:r>
      <w:r>
        <w:rPr>
          <w:rFonts w:ascii="Times New Roman" w:hAnsi="Times New Roman"/>
        </w:rPr>
        <w:t xml:space="preserve"> commission des droits des femmes et de l’égalité des genres (FEMM)</w:t>
      </w:r>
    </w:p>
    <w:p w14:paraId="0746F4E6" w14:textId="421CD472" w:rsidR="001B7875" w:rsidRDefault="004A6C66" w:rsidP="001B7875">
      <w:pPr>
        <w:widowControl w:val="0"/>
        <w:numPr>
          <w:ilvl w:val="0"/>
          <w:numId w:val="27"/>
        </w:numPr>
        <w:ind w:left="567" w:hanging="567"/>
        <w:rPr>
          <w:rFonts w:ascii="Times New Roman" w:hAnsi="Times New Roman"/>
          <w:szCs w:val="24"/>
        </w:rPr>
      </w:pPr>
      <w:r>
        <w:rPr>
          <w:rFonts w:ascii="Times New Roman" w:hAnsi="Times New Roman"/>
          <w:b/>
        </w:rPr>
        <w:t>Analyse/évaluation succincte de la résolution et des demandes qu’elle contient:</w:t>
      </w:r>
    </w:p>
    <w:p w14:paraId="5595FADF" w14:textId="68365425" w:rsidR="00F84EF0" w:rsidRPr="001B7875" w:rsidRDefault="000818CE" w:rsidP="00456B58">
      <w:pPr>
        <w:widowControl w:val="0"/>
        <w:spacing w:after="120"/>
        <w:rPr>
          <w:rFonts w:ascii="Times New Roman" w:hAnsi="Times New Roman"/>
          <w:szCs w:val="24"/>
        </w:rPr>
      </w:pPr>
      <w:r>
        <w:rPr>
          <w:rFonts w:ascii="Times New Roman" w:hAnsi="Times New Roman"/>
        </w:rPr>
        <w:t xml:space="preserve">La résolution porte sur les aspects de l’augmentation du coût de la vie liés au genre, l’accent étant mis en particulier sur la crise énergétique. </w:t>
      </w:r>
    </w:p>
    <w:p w14:paraId="42C52037" w14:textId="17CA3C36" w:rsidR="002447E8" w:rsidRDefault="00AF7E84" w:rsidP="00456B58">
      <w:pPr>
        <w:widowControl w:val="0"/>
        <w:spacing w:after="120"/>
        <w:rPr>
          <w:rFonts w:ascii="Times New Roman" w:hAnsi="Times New Roman"/>
          <w:szCs w:val="24"/>
        </w:rPr>
      </w:pPr>
      <w:r>
        <w:rPr>
          <w:rFonts w:ascii="Times New Roman" w:hAnsi="Times New Roman"/>
        </w:rPr>
        <w:t xml:space="preserve">Le Parlement y souligne que les femmes sont touchées de manière disproportionnée par la pauvreté, qui complique l’accès à des produits de base tels que la nourriture, le logement et l’énergie, et que la récente augmentation du coût de la vie et la crise énergétique ont aggravé ces difficultés. Il préconise la mise en œuvre de politiques qui aident les plus vulnérables à faire face à ces difficultés tout en s’attaquant à leurs causes profondes et en tenant compte des aspects liés au genre qu’elles comportent. Le Parlement regrette que la recommandation (UE) 2023/2407 de la Commission sur la précarité énergétique «ne reconnaisse pas» ces aspects et il demande l’intégration d’une perspective de genre dans les politiques du pacte vert afin de garantir une transition juste. </w:t>
      </w:r>
    </w:p>
    <w:p w14:paraId="40F07D50" w14:textId="44749332" w:rsidR="002447E8" w:rsidRDefault="002447E8" w:rsidP="00456B58">
      <w:pPr>
        <w:widowControl w:val="0"/>
        <w:spacing w:after="120"/>
        <w:rPr>
          <w:rFonts w:ascii="Times New Roman" w:hAnsi="Times New Roman"/>
          <w:szCs w:val="24"/>
        </w:rPr>
      </w:pPr>
      <w:r>
        <w:rPr>
          <w:rFonts w:ascii="Times New Roman" w:hAnsi="Times New Roman"/>
        </w:rPr>
        <w:t>La plupart des demandes s’adressent tant aux États membres qu’à la Commission. Plusieurs d’entre elles concernent l’UE dans son ensemble. Par ailleurs, deux demandes s’adressent à des entreprises, une au Conseil, une à l’observatoire européen de la précarité énergétique et une à des gouvernements locaux.</w:t>
      </w:r>
    </w:p>
    <w:p w14:paraId="6D2F0F01" w14:textId="078121E5" w:rsidR="004A6C66" w:rsidRPr="00870C99" w:rsidRDefault="004A6C66" w:rsidP="456EDED1">
      <w:pPr>
        <w:widowControl w:val="0"/>
        <w:numPr>
          <w:ilvl w:val="0"/>
          <w:numId w:val="27"/>
        </w:numPr>
        <w:ind w:left="567" w:hanging="567"/>
        <w:rPr>
          <w:rFonts w:ascii="Times New Roman" w:hAnsi="Times New Roman"/>
          <w:b/>
          <w:bCs/>
          <w:i/>
          <w:iCs/>
        </w:rPr>
      </w:pPr>
      <w:r>
        <w:rPr>
          <w:rFonts w:ascii="Times New Roman" w:hAnsi="Times New Roman"/>
          <w:b/>
        </w:rPr>
        <w:t>Réponse à ces demandes et aperçu des mesures que la Commission a prises ou envisage de prendre:</w:t>
      </w:r>
      <w:r>
        <w:rPr>
          <w:rFonts w:ascii="Times New Roman" w:hAnsi="Times New Roman"/>
        </w:rPr>
        <w:t xml:space="preserve"> </w:t>
      </w:r>
    </w:p>
    <w:p w14:paraId="3F38E1FC" w14:textId="78A339A1" w:rsidR="00FD440E" w:rsidRPr="00FD440E" w:rsidRDefault="00653208" w:rsidP="00456B58">
      <w:pPr>
        <w:widowControl w:val="0"/>
        <w:spacing w:after="120"/>
        <w:rPr>
          <w:rFonts w:ascii="Times New Roman" w:hAnsi="Times New Roman"/>
        </w:rPr>
      </w:pPr>
      <w:r>
        <w:rPr>
          <w:rFonts w:ascii="Times New Roman" w:hAnsi="Times New Roman"/>
        </w:rPr>
        <w:t xml:space="preserve">En ce qui concerne le </w:t>
      </w:r>
      <w:r>
        <w:rPr>
          <w:rFonts w:ascii="Times New Roman" w:hAnsi="Times New Roman"/>
          <w:b/>
        </w:rPr>
        <w:t>paragraphe 1</w:t>
      </w:r>
      <w:r>
        <w:rPr>
          <w:rFonts w:ascii="Times New Roman" w:hAnsi="Times New Roman"/>
        </w:rPr>
        <w:t xml:space="preserve"> de la résolution, où il est demandé que </w:t>
      </w:r>
      <w:r>
        <w:rPr>
          <w:rFonts w:ascii="Times New Roman" w:hAnsi="Times New Roman"/>
          <w:b/>
        </w:rPr>
        <w:t>le pacte vert pour l’Europe garantisse «une transition juste et socialement équitable (...) en tenant compte des besoins spécifiques des femmes»</w:t>
      </w:r>
      <w:r>
        <w:rPr>
          <w:rFonts w:ascii="Times New Roman" w:hAnsi="Times New Roman"/>
        </w:rPr>
        <w:t>, la Commission a présenté une proposition de recommandation du Conseil visant à assurer une transition équitable vers la neutralité climatique, dans le cadre du paquet «Ajustement à l’objectif 55». Par cette recommandation, adoptée à l’unanimité en juin 2022 (2022/C 243/04), les États membres de l’UE s’engagent à mettre en place des trains de mesures complets visant à garantir des transitions équitables aux niveaux national et régional, en abordant notamment les répercussions sur l’emploi, les incidences sociales et les effets distributifs de la transition écologique, y compris les aspects liés à l’égalité entre les femmes et les hommes. La Commission continuera de surveiller la mise en œuvre de la recommandation et d’œuvrer au renforcement du cadre pour une transition juste dans l’UE, qui inclut la dimension de genre.</w:t>
      </w:r>
    </w:p>
    <w:p w14:paraId="3F58829B" w14:textId="724B82AB" w:rsidR="56B99363" w:rsidRPr="00456B58" w:rsidRDefault="00B308AC" w:rsidP="00456B58">
      <w:pPr>
        <w:widowControl w:val="0"/>
        <w:spacing w:after="120"/>
        <w:rPr>
          <w:rFonts w:ascii="Times New Roman" w:hAnsi="Times New Roman"/>
          <w:color w:val="000000"/>
        </w:rPr>
      </w:pPr>
      <w:r>
        <w:rPr>
          <w:rFonts w:ascii="Times New Roman" w:hAnsi="Times New Roman"/>
        </w:rPr>
        <w:t xml:space="preserve">En ce qui concerne le </w:t>
      </w:r>
      <w:r>
        <w:rPr>
          <w:rFonts w:ascii="Times New Roman" w:hAnsi="Times New Roman"/>
          <w:b/>
        </w:rPr>
        <w:t>paragraphe 2</w:t>
      </w:r>
      <w:r>
        <w:rPr>
          <w:rFonts w:ascii="Times New Roman" w:hAnsi="Times New Roman"/>
        </w:rPr>
        <w:t xml:space="preserve">, selon lequel </w:t>
      </w:r>
      <w:r>
        <w:rPr>
          <w:rFonts w:ascii="Times New Roman" w:hAnsi="Times New Roman"/>
          <w:b/>
        </w:rPr>
        <w:t>la recommandation (UE) 2023/2407 de la Commission ne reconnaît pas les aspects liés au genre de la précarité énergétique ni la nécessité essentielle de disposer de données ventilées par sexe</w:t>
      </w:r>
      <w:r>
        <w:rPr>
          <w:rFonts w:ascii="Times New Roman" w:hAnsi="Times New Roman"/>
        </w:rPr>
        <w:t>, la Commission rappelle que la recommandation reconnaît explicitement que:</w:t>
      </w:r>
      <w:r>
        <w:rPr>
          <w:rFonts w:ascii="Times New Roman" w:hAnsi="Times New Roman"/>
          <w:color w:val="000000"/>
        </w:rPr>
        <w:t xml:space="preserve"> «(...) les femmes, et notamment les mères isolées et les femmes âgées, sont particulièrement </w:t>
      </w:r>
      <w:r>
        <w:rPr>
          <w:rFonts w:ascii="Times New Roman" w:hAnsi="Times New Roman"/>
          <w:color w:val="000000"/>
        </w:rPr>
        <w:lastRenderedPageBreak/>
        <w:t>touchées par la précarité énergétique en raison des inégalités structurelles que présente la répartition des revenus, du statut socio-économique des femmes et de l’écart entre les femmes et les hommes en matière de prise en charge des responsabilités familiales». Elle reconnaît en outre que la précarité énergétique est un phénomène multidimensionnel qui a des causes structurelles sous-jacentes, et elle encourage donc les États membres à privilégier des mesures structurelles efficaces et bien ciblées afin de s’attaquer aux causes profondes de la précarité énergétique, accompagnées de mesures bien ciblées visant à rendre l’énergie plus abordable. La recommandation recense par ailleurs un ensemble de treize indicateurs de précarité énergétique auxquels les États membres peuvent se référer au regard de leur contexte national pour mettre en évidence la précarité énergétique sur leur territoire. Ces indicateurs reflètent différentes dimensions de la précarité énergétique, et certains peuvent aussi être ventilés par sexe, âge et autres caractéristiques pertinentes.</w:t>
      </w:r>
    </w:p>
    <w:p w14:paraId="4524EC1E" w14:textId="289186B0" w:rsidR="00336EFE" w:rsidRPr="00456B58" w:rsidRDefault="00F86B5F" w:rsidP="00456B58">
      <w:pPr>
        <w:widowControl w:val="0"/>
        <w:spacing w:after="120"/>
        <w:rPr>
          <w:rFonts w:ascii="Times New Roman" w:hAnsi="Times New Roman"/>
          <w:color w:val="000000"/>
        </w:rPr>
      </w:pPr>
      <w:r>
        <w:rPr>
          <w:rFonts w:ascii="Times New Roman" w:hAnsi="Times New Roman"/>
          <w:color w:val="000000"/>
        </w:rPr>
        <w:t xml:space="preserve">En ce qui concerne les </w:t>
      </w:r>
      <w:r>
        <w:rPr>
          <w:rFonts w:ascii="Times New Roman" w:hAnsi="Times New Roman"/>
          <w:b/>
          <w:color w:val="000000"/>
        </w:rPr>
        <w:t xml:space="preserve">paragraphes 3 </w:t>
      </w:r>
      <w:r>
        <w:rPr>
          <w:rFonts w:ascii="Times New Roman" w:hAnsi="Times New Roman"/>
          <w:color w:val="000000"/>
        </w:rPr>
        <w:t>et</w:t>
      </w:r>
      <w:r>
        <w:rPr>
          <w:rFonts w:ascii="Times New Roman" w:hAnsi="Times New Roman"/>
          <w:b/>
          <w:color w:val="000000"/>
        </w:rPr>
        <w:t> 9</w:t>
      </w:r>
      <w:r>
        <w:rPr>
          <w:rFonts w:ascii="Times New Roman" w:hAnsi="Times New Roman"/>
          <w:color w:val="000000"/>
        </w:rPr>
        <w:t xml:space="preserve">, dans lesquels le Parlement invite l’Union à promouvoir </w:t>
      </w:r>
      <w:r>
        <w:rPr>
          <w:rFonts w:ascii="Times New Roman" w:hAnsi="Times New Roman"/>
          <w:b/>
          <w:color w:val="000000"/>
        </w:rPr>
        <w:t>un paquet de mesures pour soutenir les personnes s’efforçant de faire face à l’explosion des coûts de la vie</w:t>
      </w:r>
      <w:r>
        <w:rPr>
          <w:rFonts w:ascii="Times New Roman" w:hAnsi="Times New Roman"/>
          <w:color w:val="000000"/>
        </w:rPr>
        <w:t>, qui prévoit 100 milliards d’euros pour les familles, en particulier les familles monoparentales et les femmes les plus touchées par la précarité énergétique, et pour</w:t>
      </w:r>
      <w:r>
        <w:rPr>
          <w:rFonts w:ascii="Times New Roman" w:hAnsi="Times New Roman"/>
          <w:b/>
          <w:color w:val="000000"/>
        </w:rPr>
        <w:t xml:space="preserve"> rendre l’énergie plus abordable pour les femmes, par exemple en empêchant la spéculation sur les prix</w:t>
      </w:r>
      <w:r>
        <w:rPr>
          <w:rFonts w:ascii="Times New Roman" w:hAnsi="Times New Roman"/>
          <w:color w:val="000000"/>
        </w:rPr>
        <w:t>,</w:t>
      </w:r>
      <w:r>
        <w:rPr>
          <w:rFonts w:ascii="Times New Roman" w:hAnsi="Times New Roman"/>
          <w:b/>
          <w:color w:val="000000"/>
        </w:rPr>
        <w:t xml:space="preserve"> </w:t>
      </w:r>
      <w:r>
        <w:rPr>
          <w:rFonts w:ascii="Times New Roman" w:hAnsi="Times New Roman"/>
          <w:color w:val="000000"/>
        </w:rPr>
        <w:t>il est utile de souligner que l’UE et les États membres ont déjà pris plusieurs initiatives</w:t>
      </w:r>
      <w:r>
        <w:rPr>
          <w:rFonts w:ascii="Times New Roman" w:hAnsi="Times New Roman"/>
        </w:rPr>
        <w:t xml:space="preserve"> pour anticiper les répercussions économiques et sociales négatives de l’augmentation du coût de la vie et les neutraliser</w:t>
      </w:r>
      <w:r>
        <w:rPr>
          <w:rFonts w:ascii="Times New Roman" w:hAnsi="Times New Roman"/>
          <w:color w:val="000000"/>
        </w:rPr>
        <w:t xml:space="preserve">. Selon le </w:t>
      </w:r>
      <w:hyperlink r:id="rId12" w:history="1">
        <w:r>
          <w:rPr>
            <w:rStyle w:val="Hyperlink"/>
            <w:rFonts w:ascii="Times New Roman" w:hAnsi="Times New Roman"/>
          </w:rPr>
          <w:t>rapport annuel 2023 du Comité de la protection sociale</w:t>
        </w:r>
      </w:hyperlink>
      <w:r>
        <w:rPr>
          <w:rFonts w:ascii="Times New Roman" w:hAnsi="Times New Roman"/>
          <w:color w:val="000000"/>
        </w:rPr>
        <w:t>, tous les États membres ont adopté des mesures visant à augmenter le niveau ou la fréquence des prestations sociales existantes, y compris l’indexation de ces prestations afin de les aligner sur l’augmentation du coût de la vie, et presque tous les États membres ont adopté des mesures ad hoc pour atténuer l’incidence de l’inflation sur les revenus, y compris par l’indexation des salaires. Dans de nombreux cas, les bénéficiaires des prestations familiales, parmi lesquelles les familles monoparentales sont généralement bien représentées, faisaient partie des groupes les plus fréquemment ciblés. En ce qui concerne les flambées des prix de l’énergie, au niveau de l’UE, la communication sur la lutte contre la hausse des prix de l’énergie [</w:t>
      </w:r>
      <w:hyperlink r:id="rId13">
        <w:r>
          <w:rPr>
            <w:rFonts w:ascii="Times New Roman" w:hAnsi="Times New Roman"/>
            <w:color w:val="000000"/>
          </w:rPr>
          <w:t>COM(2021)660 final</w:t>
        </w:r>
      </w:hyperlink>
      <w:r>
        <w:rPr>
          <w:rFonts w:ascii="Times New Roman" w:hAnsi="Times New Roman"/>
          <w:color w:val="000000"/>
        </w:rPr>
        <w:t xml:space="preserve">], par exemple, a présenté une panoplie d’instruments d’action visant à aider les États membres à faire face </w:t>
      </w:r>
      <w:r>
        <w:rPr>
          <w:rFonts w:ascii="Times New Roman" w:hAnsi="Times New Roman"/>
        </w:rPr>
        <w:t xml:space="preserve">aux effets immédiats des hausses de prix et à renforcer la résilience face aux chocs futurs. Le règlement </w:t>
      </w:r>
      <w:hyperlink r:id="rId14">
        <w:r>
          <w:rPr>
            <w:rFonts w:ascii="Times New Roman" w:hAnsi="Times New Roman"/>
          </w:rPr>
          <w:t>2022/1854</w:t>
        </w:r>
      </w:hyperlink>
      <w:r>
        <w:rPr>
          <w:rFonts w:ascii="Times New Roman" w:hAnsi="Times New Roman"/>
        </w:rPr>
        <w:t xml:space="preserve"> du Conseil du 6 octobre 2022 sur une intervention d’urgence pour faire face aux prix élevés de l’énergie a introduit des mesures additionnelles pour assurer la collecte et la redistribution des recettes excédentaires du secteur de l’énergie, ces dernières devant générer des revenus permettant aux États membres de financer des mesures en faveur des clients finals d’électricité, tels que les ménages, y compris les familles monoparentales, et les entreprises de plus en plus exposées au risque de ne pas être en mesure de payer leurs factures d’énergie. Dans le même ordre d’idées, </w:t>
      </w:r>
      <w:r>
        <w:rPr>
          <w:rFonts w:ascii="Times New Roman" w:hAnsi="Times New Roman"/>
          <w:color w:val="000000"/>
        </w:rPr>
        <w:t xml:space="preserve">les États membres ont pris des mesures exceptionnelles allant d’une aide d’urgence au revenu à des réductions d’impôts, en passant par des plafonds tarifaires temporaires, selon le </w:t>
      </w:r>
      <w:hyperlink r:id="rId15" w:history="1">
        <w:r>
          <w:rPr>
            <w:rStyle w:val="Hyperlink"/>
            <w:rFonts w:ascii="Times New Roman" w:hAnsi="Times New Roman"/>
          </w:rPr>
          <w:t>document de travail des services de la Commission présentant le rapport sur l’accès aux services essentiels dans l’UE</w:t>
        </w:r>
      </w:hyperlink>
      <w:r>
        <w:rPr>
          <w:rFonts w:ascii="Times New Roman" w:hAnsi="Times New Roman"/>
          <w:color w:val="000000"/>
        </w:rPr>
        <w:t xml:space="preserve">. </w:t>
      </w:r>
    </w:p>
    <w:p w14:paraId="2E301B5D" w14:textId="199F0803" w:rsidR="00F86B5F" w:rsidRPr="00456B58" w:rsidRDefault="008101ED" w:rsidP="00456B58">
      <w:pPr>
        <w:widowControl w:val="0"/>
        <w:spacing w:after="120"/>
        <w:rPr>
          <w:rFonts w:ascii="Times New Roman" w:hAnsi="Times New Roman"/>
          <w:color w:val="000000"/>
        </w:rPr>
      </w:pPr>
      <w:r>
        <w:rPr>
          <w:rFonts w:ascii="Times New Roman" w:hAnsi="Times New Roman"/>
          <w:color w:val="000000"/>
        </w:rPr>
        <w:t>En ce qui concerne l’</w:t>
      </w:r>
      <w:r>
        <w:rPr>
          <w:rFonts w:ascii="Times New Roman" w:hAnsi="Times New Roman"/>
          <w:b/>
          <w:color w:val="000000"/>
        </w:rPr>
        <w:t>appel lancé au paragraphe 3</w:t>
      </w:r>
      <w:r>
        <w:rPr>
          <w:rFonts w:ascii="Times New Roman" w:hAnsi="Times New Roman"/>
          <w:color w:val="000000"/>
        </w:rPr>
        <w:t xml:space="preserve"> en faveur d’un </w:t>
      </w:r>
      <w:r>
        <w:rPr>
          <w:rFonts w:ascii="Times New Roman" w:hAnsi="Times New Roman"/>
          <w:b/>
          <w:color w:val="000000"/>
        </w:rPr>
        <w:t>fonds d’au moins 20 milliards d’euros pour renforcer la mise en œuvre du mécanisme de la garantie européenne pour l’enfance</w:t>
      </w:r>
      <w:r>
        <w:rPr>
          <w:rFonts w:ascii="Times New Roman" w:hAnsi="Times New Roman"/>
          <w:color w:val="000000"/>
        </w:rPr>
        <w:t xml:space="preserve">, les États membres peuvent faire appel à des fonds de l’UE pour lutter contre la pauvreté des enfants et soutenir ces derniers, notamment le Fonds social européen plus (FSE+), le Fonds européen de développement région (FEDER), l’instrument d’appui technique, la </w:t>
      </w:r>
      <w:hyperlink r:id="rId16">
        <w:r>
          <w:rPr>
            <w:rFonts w:ascii="Times New Roman" w:hAnsi="Times New Roman"/>
          </w:rPr>
          <w:t>facilité pour la reprise et la résilience</w:t>
        </w:r>
      </w:hyperlink>
      <w:r>
        <w:rPr>
          <w:rFonts w:ascii="Times New Roman" w:hAnsi="Times New Roman"/>
        </w:rPr>
        <w:t xml:space="preserve"> (</w:t>
      </w:r>
      <w:r>
        <w:rPr>
          <w:rFonts w:ascii="Times New Roman" w:hAnsi="Times New Roman"/>
          <w:color w:val="000000"/>
        </w:rPr>
        <w:t xml:space="preserve">FRR), entre autres. Ainsi, 6,1 milliards d’euros ont été alloués au titre des programmes du FSE+ pour lutter contre la pauvreté infantile (avec le cofinancement des États membres, le montant </w:t>
      </w:r>
      <w:r>
        <w:rPr>
          <w:rFonts w:ascii="Times New Roman" w:hAnsi="Times New Roman"/>
          <w:color w:val="000000"/>
        </w:rPr>
        <w:lastRenderedPageBreak/>
        <w:t>total s’élève à 8,9 milliards d’euros). De plus, les États membres mobilisent également des ressources nationales pour lutter contre la pauvreté et l’exclusion des enfants. La majeure partie de ce financement doit encore être mise en œuvre.</w:t>
      </w:r>
    </w:p>
    <w:p w14:paraId="18D15585" w14:textId="40BD1596" w:rsidR="00546515" w:rsidRPr="00456B58" w:rsidRDefault="00546515" w:rsidP="00456B58">
      <w:pPr>
        <w:widowControl w:val="0"/>
        <w:spacing w:after="120"/>
        <w:rPr>
          <w:rFonts w:ascii="Times New Roman" w:hAnsi="Times New Roman"/>
          <w:color w:val="000000"/>
        </w:rPr>
      </w:pPr>
      <w:r>
        <w:rPr>
          <w:rFonts w:ascii="Times New Roman" w:hAnsi="Times New Roman"/>
          <w:color w:val="000000"/>
        </w:rPr>
        <w:t xml:space="preserve">En ce qui concerne le </w:t>
      </w:r>
      <w:r>
        <w:rPr>
          <w:rFonts w:ascii="Times New Roman" w:hAnsi="Times New Roman"/>
          <w:b/>
          <w:color w:val="000000"/>
        </w:rPr>
        <w:t>paragraphe 4</w:t>
      </w:r>
      <w:r>
        <w:rPr>
          <w:rFonts w:ascii="Times New Roman" w:hAnsi="Times New Roman"/>
          <w:color w:val="000000"/>
        </w:rPr>
        <w:t xml:space="preserve">, dans lequel le Parlement invite les États membres </w:t>
      </w:r>
      <w:r>
        <w:rPr>
          <w:rFonts w:ascii="Times New Roman" w:hAnsi="Times New Roman"/>
          <w:b/>
          <w:color w:val="000000"/>
        </w:rPr>
        <w:t>à garantir des services d’utilité publique et des denrées alimentaires abordables pour les ménages vulnérables, à interdire les interruptions de l’approvisionnement énergétique et à améliorer l’efficacité énergétique par la rénovation des logements</w:t>
      </w:r>
      <w:r>
        <w:rPr>
          <w:rFonts w:ascii="Times New Roman" w:hAnsi="Times New Roman"/>
          <w:color w:val="000000"/>
        </w:rPr>
        <w:t>, la Commission est déterminée à faire respecter le p</w:t>
      </w:r>
      <w:r>
        <w:rPr>
          <w:rFonts w:ascii="Times New Roman" w:hAnsi="Times New Roman"/>
        </w:rPr>
        <w:t>rincipe 20 du socle européen des droits sociaux selon lequel toute personne a le droit d'accéder à des services essentiels de qualité, y compris l'eau, l'assainissement, l'énergie, les transports, les services financiers et les communications numériques. L’UE soutient en particulier l’accès des personnes dans le besoin à ces services essentiels, par l’intermédiaire de ses différents fonds (par exemple,</w:t>
      </w:r>
      <w:hyperlink r:id="rId17">
        <w:r>
          <w:rPr>
            <w:rFonts w:ascii="Times New Roman" w:hAnsi="Times New Roman"/>
          </w:rPr>
          <w:t xml:space="preserve"> le FSE+</w:t>
        </w:r>
      </w:hyperlink>
      <w:r>
        <w:rPr>
          <w:rFonts w:ascii="Times New Roman" w:hAnsi="Times New Roman"/>
        </w:rPr>
        <w:t xml:space="preserve">, </w:t>
      </w:r>
      <w:hyperlink r:id="rId18">
        <w:r>
          <w:rPr>
            <w:rFonts w:ascii="Times New Roman" w:hAnsi="Times New Roman"/>
          </w:rPr>
          <w:t>le FEDER</w:t>
        </w:r>
      </w:hyperlink>
      <w:r>
        <w:rPr>
          <w:rFonts w:ascii="Times New Roman" w:hAnsi="Times New Roman"/>
        </w:rPr>
        <w:t>, le FRR). La Commission soutient l’appel en faveur de l’interdiction des interruptions de l’approvisionnement énergétique et se félicite de l’accord trouvé par les colégislateurs sur la proposition de règlement visant à améliorer l’organisation du marché de l’électricité dans l’Union (2023/0077 COD) afin de garantir une protection totale des clients vulnérables et en situation de précarité énergétique contre ces interruptions.</w:t>
      </w:r>
      <w:r>
        <w:rPr>
          <w:rFonts w:ascii="Times New Roman" w:hAnsi="Times New Roman"/>
          <w:snapToGrid w:val="0"/>
        </w:rPr>
        <w:t xml:space="preserve"> La Commission rappelle que l’article 24, paragraphe 2, de la directive (UE) 2023/1791 relative à l’efficacité énergétique (refonte) oblige les États membres à accorder la priorité aux mesures d’amélioration de l’efficacité énergétique et aux mesures connexes de protection des consommateurs, au profit des groupes vulnérables. De même, la proposition de refonte de la directive relative à la performance énergétique des bâtiments [2021/0426 (COD)], sur laquelle les colégislateurs ont trouvé un accord politique en décembre 2023, prévoit que les États membres devront prendre des mesures de financement de nature à encourager les rénovations ciblant en particulier les clients vulnérables et les bâtiments les moins performants, dans lesquels vit une plus grande proportion de ménages en situation de précarité énergétique.</w:t>
      </w:r>
    </w:p>
    <w:p w14:paraId="757E5E47" w14:textId="40CE8C4C" w:rsidR="004C7926" w:rsidRPr="008604B0" w:rsidRDefault="004D3BAA" w:rsidP="00456B58">
      <w:pPr>
        <w:widowControl w:val="0"/>
        <w:spacing w:after="120"/>
        <w:rPr>
          <w:rFonts w:ascii="Times New Roman" w:hAnsi="Times New Roman"/>
          <w:snapToGrid w:val="0"/>
          <w:szCs w:val="24"/>
        </w:rPr>
      </w:pPr>
      <w:r>
        <w:rPr>
          <w:rFonts w:ascii="Times New Roman" w:hAnsi="Times New Roman"/>
          <w:color w:val="000000"/>
        </w:rPr>
        <w:t xml:space="preserve">En ce qui concerne le </w:t>
      </w:r>
      <w:r>
        <w:rPr>
          <w:rFonts w:ascii="Times New Roman" w:hAnsi="Times New Roman"/>
          <w:b/>
          <w:color w:val="000000"/>
        </w:rPr>
        <w:t>paragraphe 7</w:t>
      </w:r>
      <w:r>
        <w:rPr>
          <w:rFonts w:ascii="Times New Roman" w:hAnsi="Times New Roman"/>
          <w:color w:val="000000"/>
        </w:rPr>
        <w:t xml:space="preserve">, qui préconise des </w:t>
      </w:r>
      <w:r>
        <w:rPr>
          <w:rFonts w:ascii="Times New Roman" w:hAnsi="Times New Roman"/>
          <w:b/>
          <w:color w:val="000000"/>
        </w:rPr>
        <w:t>mesures urgentes pour lutter contre la pauvreté touchant les femmes et briser le cycle intergénérationnel de la pauvreté, et invite la Commission à élaborer une stratégie européenne ambitieuse de lutte contre la pauvreté à l’horizon 2030</w:t>
      </w:r>
      <w:r>
        <w:rPr>
          <w:rFonts w:ascii="Times New Roman" w:hAnsi="Times New Roman"/>
          <w:color w:val="000000"/>
        </w:rPr>
        <w:t>, la Commission convient de la nécessité de lutter contre la pauvreté et de briser le cycle intergénérationnel de la pauvreté. À cette fin</w:t>
      </w:r>
      <w:r>
        <w:rPr>
          <w:rFonts w:ascii="Times New Roman" w:hAnsi="Times New Roman"/>
        </w:rPr>
        <w:t xml:space="preserve">, </w:t>
      </w:r>
      <w:r>
        <w:rPr>
          <w:rFonts w:ascii="Times New Roman" w:hAnsi="Times New Roman"/>
          <w:snapToGrid w:val="0"/>
        </w:rPr>
        <w:t xml:space="preserve">l’UE s’est engagée à réduire le nombre de personnes exposées au risque de pauvreté ou d’exclusion sociale d’au moins 15 millions (dont au moins 5 millions d’enfants) d’ici à 2030 par rapport à 2019, et tous les États membres ont fixé leurs objectifs nationaux de réduction de la pauvreté devant être atteints à l’horizon 2030. Conformément au plan d’action sur le socle européen des droits sociaux, l’UE a également pris un certain nombre de mesures pour atteindre son objectif de réduction de la pauvreté, par exemple en adoptant la directive (UE) 2022/2041 relative à des salaires minimaux adéquats et la recommandation du Conseil relative à un revenu minimum adéquat pour garantir une inclusion active (2023/C 41/01), ainsi que pour briser le cycle intergénérationnel de la pauvreté en adoptant la recommandation (UE) 2021/1004 du Conseil établissant une garantie européenne pour l’enfance. L’Union européenne complète également les actions des États membres visant à lutter contre la pauvreté et ses effets au moyen de financements de l’UE, par exemple en soutenant les plus démunis, y compris les femmes, au titre du FSE+. Ainsi, en 2018, les femmes représentaient environ la moitié du nombre total de personnes bénéficiant d’un soutien du Fonds européen d’aide aux plus démunis (FEAD) qui fait désormais partie du FSE+ dans le cadre financier pluriannuel 2021-2027. La Commission considère que la priorité devrait désormais consister à mettre pleinement en œuvre les initiatives adoptées tout en exploitant pleinement les possibilités de financement disponibles de l’UE, à continuer de soutenir les plus vulnérables, notamment les femmes, et à les sortir de la pauvreté, ainsi qu’à atteindre les objectifs de </w:t>
      </w:r>
      <w:r>
        <w:rPr>
          <w:rFonts w:ascii="Times New Roman" w:hAnsi="Times New Roman"/>
          <w:snapToGrid w:val="0"/>
        </w:rPr>
        <w:lastRenderedPageBreak/>
        <w:t xml:space="preserve">l’UE et des États membres à l’horizon 2030 (conformément au plan d’action sur le socle européen des droits sociaux). </w:t>
      </w:r>
    </w:p>
    <w:p w14:paraId="35732F8C" w14:textId="4EBC3EA0" w:rsidR="00BB000A" w:rsidRPr="002B666B" w:rsidRDefault="00FB51E3" w:rsidP="00456B58">
      <w:pPr>
        <w:spacing w:after="120"/>
        <w:rPr>
          <w:rFonts w:ascii="Times New Roman" w:hAnsi="Times New Roman"/>
          <w:snapToGrid w:val="0"/>
          <w:szCs w:val="24"/>
        </w:rPr>
      </w:pPr>
      <w:r>
        <w:rPr>
          <w:rFonts w:ascii="Times New Roman" w:hAnsi="Times New Roman"/>
          <w:snapToGrid w:val="0"/>
        </w:rPr>
        <w:t xml:space="preserve">En ce qui concerne les </w:t>
      </w:r>
      <w:r>
        <w:rPr>
          <w:rFonts w:ascii="Times New Roman" w:hAnsi="Times New Roman"/>
          <w:b/>
          <w:snapToGrid w:val="0"/>
        </w:rPr>
        <w:t>paragraphes 11, 12</w:t>
      </w:r>
      <w:r>
        <w:rPr>
          <w:rFonts w:ascii="Times New Roman" w:hAnsi="Times New Roman"/>
          <w:snapToGrid w:val="0"/>
        </w:rPr>
        <w:t xml:space="preserve"> et </w:t>
      </w:r>
      <w:r>
        <w:rPr>
          <w:rFonts w:ascii="Times New Roman" w:hAnsi="Times New Roman"/>
          <w:b/>
          <w:snapToGrid w:val="0"/>
        </w:rPr>
        <w:t>13</w:t>
      </w:r>
      <w:r>
        <w:rPr>
          <w:rFonts w:ascii="Times New Roman" w:hAnsi="Times New Roman"/>
          <w:snapToGrid w:val="0"/>
        </w:rPr>
        <w:t>, qui préconisent</w:t>
      </w:r>
      <w:r>
        <w:rPr>
          <w:rFonts w:ascii="Times New Roman" w:hAnsi="Times New Roman"/>
          <w:b/>
          <w:snapToGrid w:val="0"/>
        </w:rPr>
        <w:t xml:space="preserve"> l’intégration de l’égalité entre les femmes et les hommes dans les politiques énergétiques, en particulier dans celles qui s’attaquent à la crise énergétique</w:t>
      </w:r>
      <w:r>
        <w:rPr>
          <w:rFonts w:ascii="Times New Roman" w:hAnsi="Times New Roman"/>
          <w:snapToGrid w:val="0"/>
        </w:rPr>
        <w:t>, la</w:t>
      </w:r>
      <w:r>
        <w:rPr>
          <w:rStyle w:val="normaltextrun"/>
          <w:rFonts w:ascii="Times New Roman" w:hAnsi="Times New Roman"/>
          <w:color w:val="000000"/>
        </w:rPr>
        <w:t xml:space="preserve"> Commission reconnaît que la précarité énergétique touche particulièrement les femmes, comme souligné dans la recommandation (UE) 2023/2407 de la Commission qui porte sur celle-ci</w:t>
      </w:r>
      <w:r>
        <w:rPr>
          <w:rFonts w:ascii="Times New Roman" w:hAnsi="Times New Roman"/>
          <w:color w:val="000000"/>
        </w:rPr>
        <w:t xml:space="preserve">. </w:t>
      </w:r>
      <w:r>
        <w:rPr>
          <w:rFonts w:ascii="Times New Roman" w:hAnsi="Times New Roman"/>
        </w:rPr>
        <w:t>Par la recommandation du Conseil visant à assurer une transition équitable vers la neutralité climatique (2022/C 243/04), la Commission et les États membres se sont engagés à traiter de manière globale les aspects sociaux et liés à l’emploi de la transition énergétique.</w:t>
      </w:r>
      <w:r>
        <w:rPr>
          <w:rStyle w:val="normaltextrun"/>
          <w:rFonts w:ascii="Times New Roman" w:hAnsi="Times New Roman"/>
          <w:color w:val="000000"/>
        </w:rPr>
        <w:t xml:space="preserve"> La recommandation porte sur des questions telles que l’emploi de qualité, les transitions d’un emploi à l’autre, l’accès à une éducation et à une formation de qualité, l’équité des systèmes de prélèvements et de prestations et des systèmes de protection sociale, et l’accès aux services essentiels, entre autres, en ce qu’elles sont importantes lorsque l’on aborde le problème des inégalités hommes-femmes. Le Centre commun de recherche de la Commission européenne a récemment publié un </w:t>
      </w:r>
      <w:hyperlink r:id="rId19" w:history="1">
        <w:r>
          <w:rPr>
            <w:rStyle w:val="Hyperlink"/>
            <w:rFonts w:ascii="Times New Roman" w:hAnsi="Times New Roman"/>
          </w:rPr>
          <w:t>rapport intitulé «Genre et énergie: les effets de la transition énergétique sur les femmes»</w:t>
        </w:r>
      </w:hyperlink>
      <w:r>
        <w:rPr>
          <w:rStyle w:val="normaltextrun"/>
          <w:rFonts w:ascii="Times New Roman" w:hAnsi="Times New Roman"/>
          <w:color w:val="000000"/>
        </w:rPr>
        <w:t xml:space="preserve">, qui met en lumière l’incidence des disparités entre les hommes et les femmes en matière d’accès à l’énergie et souligne la nécessité d’une action immédiate pour combler les écarts en la matière et favoriser la résilience sociale. Les conclusions de l’étude insistent sur la nécessité d’une collecte de données substantielle. La publication fournit d’importants éléments probants qui peuvent contribuer à intégrer l’égalité entre les femmes et les hommes dans les domaines d’action pertinents. Dans cet esprit, </w:t>
      </w:r>
      <w:r>
        <w:rPr>
          <w:rFonts w:ascii="Times New Roman" w:hAnsi="Times New Roman"/>
        </w:rPr>
        <w:t>la Commission a présenté le règlement (UE) 2023/955 instituant un Fonds social pour le climat</w:t>
      </w:r>
      <w:hyperlink r:id="rId20"/>
      <w:r>
        <w:rPr>
          <w:rFonts w:ascii="Times New Roman" w:hAnsi="Times New Roman"/>
        </w:rPr>
        <w:t xml:space="preserve"> pour</w:t>
      </w:r>
      <w:r>
        <w:rPr>
          <w:rFonts w:ascii="Times New Roman" w:hAnsi="Times New Roman"/>
          <w:color w:val="000000"/>
        </w:rPr>
        <w:t xml:space="preserve"> faire face aux conséquences sociales du nouveau système d’échange de quotas d’émission (SEQE2) sur les ménages les plus vulnérables et sur les microentreprises, notamment sur les citoyens en situation de précarité énergétique. </w:t>
      </w:r>
      <w:r>
        <w:rPr>
          <w:rFonts w:ascii="Times New Roman" w:hAnsi="Times New Roman"/>
          <w:snapToGrid w:val="0"/>
        </w:rPr>
        <w:t xml:space="preserve">Une attention particulière est clairement portée aux femmes dans le règlement, qui reconnaît explicitement que «[l]es femmes sont touchées de manière disproportionnée par la précarité énergétique et la précarité en matière de transport, en particulier les mères célibataires, qui représentent 85 % des familles monoparentales, ainsi que les femmes célibataires, les femmes handicapées et les femmes âgées vivant seules». En outre, les femmes ont des schémas de mobilité différents et plus complexes. Les familles monoparentales avec enfants à charge sont particulièrement exposées au risque de pauvreté des enfants. Il convient de prendre en considération et de promouvoir l’égalité entre les femmes et les hommes et l’égalité des chances pour tous, ainsi que l’intégration de ces objectifs (...) tout au long de la préparation et de la mise en œuvre des plans afin de veiller à ne laisser personne de côté». </w:t>
      </w:r>
      <w:r>
        <w:rPr>
          <w:rFonts w:ascii="Times New Roman" w:hAnsi="Times New Roman"/>
        </w:rPr>
        <w:t>De plus, la Commission prépare actuellement de nouvelles orientations à l’intention des États membres sur le recensement et l’évaluation de la situation des groupes vulnérables dans le cadre du Fonds social pour le climat, qui doivent inclure la dimension de genre.</w:t>
      </w:r>
    </w:p>
    <w:p w14:paraId="0B29B11F" w14:textId="62491C95" w:rsidR="00BD5305" w:rsidRDefault="00BD5305" w:rsidP="00456B58">
      <w:pPr>
        <w:spacing w:after="120"/>
        <w:rPr>
          <w:rFonts w:ascii="Times New Roman" w:hAnsi="Times New Roman"/>
          <w:color w:val="000000"/>
        </w:rPr>
      </w:pPr>
      <w:r>
        <w:rPr>
          <w:rFonts w:ascii="Times New Roman" w:hAnsi="Times New Roman"/>
          <w:color w:val="000000"/>
        </w:rPr>
        <w:t xml:space="preserve">En ce qui concerne l’appel lancé au </w:t>
      </w:r>
      <w:r>
        <w:rPr>
          <w:rFonts w:ascii="Times New Roman" w:hAnsi="Times New Roman"/>
          <w:b/>
          <w:color w:val="000000"/>
        </w:rPr>
        <w:t>paragraphe 12</w:t>
      </w:r>
      <w:r>
        <w:rPr>
          <w:rFonts w:ascii="Times New Roman" w:hAnsi="Times New Roman"/>
          <w:color w:val="000000"/>
        </w:rPr>
        <w:t xml:space="preserve"> pour que </w:t>
      </w:r>
      <w:r>
        <w:rPr>
          <w:rFonts w:ascii="Times New Roman" w:hAnsi="Times New Roman"/>
          <w:b/>
          <w:color w:val="000000"/>
        </w:rPr>
        <w:t>soit reconnue la contribution des initiatives dirigées par des femmes aux solutions énergétiques durables, y compris au niveau des ménages, des communautés et au niveau local</w:t>
      </w:r>
      <w:r>
        <w:rPr>
          <w:rFonts w:ascii="Times New Roman" w:hAnsi="Times New Roman"/>
          <w:color w:val="000000"/>
        </w:rPr>
        <w:t xml:space="preserve">, la Commission reconnaît cette contribution et entend continuer à la promouvoir au moyen de diverses initiatives, allant d’initiatives visant à réduire l’écart en matière d’emploi entre les hommes et les femmes dans le secteur de l’énergie (pour en savoir plus, voir la réponse au paragraphe 44) aux initiatives en faveur du développement des communautés énergétiques. Au sujet de ce dernier point, la communauté énergétique est un concept présenté dans la législation de l’UE, par exemple dans la directive (UE) 2019/944 concernant des règles communes pour le marché intérieur de l’électricité visant à favoriser les communautés énergétiques. Ces communautés, qui sont souvent ancrées dans l’économie sociale, constituent un point d’entrée important pour les citoyens, </w:t>
      </w:r>
      <w:r>
        <w:rPr>
          <w:rFonts w:ascii="Times New Roman" w:hAnsi="Times New Roman"/>
          <w:color w:val="000000"/>
        </w:rPr>
        <w:lastRenderedPageBreak/>
        <w:t>notamment pour les femmes, leur permettant de s’engager localement et concrètement dans la transition vers une énergie propre et de promouvoir une transition socialement équitable.</w:t>
      </w:r>
      <w:r>
        <w:rPr>
          <w:rFonts w:ascii="Times New Roman" w:hAnsi="Times New Roman"/>
          <w:snapToGrid w:val="0"/>
        </w:rPr>
        <w:t xml:space="preserve"> </w:t>
      </w:r>
    </w:p>
    <w:p w14:paraId="6D8891A3" w14:textId="5396EFD9" w:rsidR="001B7C54" w:rsidRDefault="0090047E" w:rsidP="00456B58">
      <w:pPr>
        <w:spacing w:after="120"/>
        <w:rPr>
          <w:rFonts w:ascii="Times New Roman" w:hAnsi="Times New Roman"/>
        </w:rPr>
      </w:pPr>
      <w:r>
        <w:rPr>
          <w:rFonts w:ascii="Times New Roman" w:hAnsi="Times New Roman"/>
        </w:rPr>
        <w:t xml:space="preserve">En ce qui concerne les </w:t>
      </w:r>
      <w:r>
        <w:rPr>
          <w:rFonts w:ascii="Times New Roman" w:hAnsi="Times New Roman"/>
          <w:b/>
        </w:rPr>
        <w:t>paragraphes 14</w:t>
      </w:r>
      <w:r>
        <w:rPr>
          <w:rFonts w:ascii="Times New Roman" w:hAnsi="Times New Roman"/>
        </w:rPr>
        <w:t xml:space="preserve"> et </w:t>
      </w:r>
      <w:r>
        <w:rPr>
          <w:rFonts w:ascii="Times New Roman" w:hAnsi="Times New Roman"/>
          <w:b/>
        </w:rPr>
        <w:t>15</w:t>
      </w:r>
      <w:r>
        <w:rPr>
          <w:rFonts w:ascii="Times New Roman" w:hAnsi="Times New Roman"/>
        </w:rPr>
        <w:t>, qui demandent l’</w:t>
      </w:r>
      <w:r>
        <w:rPr>
          <w:rFonts w:ascii="Times New Roman" w:hAnsi="Times New Roman"/>
          <w:b/>
        </w:rPr>
        <w:t>inclusion d’évaluations des incidences selon le genre dans les plans nationaux en matière d’énergie et de climat et, plus généralement, l’intégration de la dimension de genre dans ces plans</w:t>
      </w:r>
      <w:r>
        <w:rPr>
          <w:rFonts w:ascii="Times New Roman" w:hAnsi="Times New Roman"/>
        </w:rPr>
        <w:t xml:space="preserve">, la Commission rappelle que le processus d’élaboration des plans nationaux intégrés en matière d’énergie et de climat (PNEC) originaux et actualisés, ainsi que les obligations relatives à la présentation de rapports annuels, sont fixés dans le règlement (UE) 2018/1999 sur la gouvernance de l’union de l’énergie et de l’action pour le climat, qui impose aux États membres de lutter contre la précarité énergétique à la fois dans leurs plans et dans leurs rapports d’avancement nationaux intégrés bisannuels en matière d’énergie et de climat. En outre, la Commission a publié des orientations à l’intention des États membres pour la mise à jour des plans 2021-2030 (2022/C 495/02). Ces orientations encouragent les États membres à examiner la recommandation du Conseil visant à assurer une transition équitable vers la neutralité climatique (2022/C 243/04), qui indique qu’«il convient d’accorder une attention spéciale aux femmes et à certains groupes qui sont plus susceptibles d’être touchés par la précarité énergétique». La Commission a mis en place un </w:t>
      </w:r>
      <w:bookmarkStart w:id="0" w:name="_Hlk158128343"/>
      <w:r>
        <w:rPr>
          <w:rFonts w:ascii="Times New Roman" w:hAnsi="Times New Roman"/>
        </w:rPr>
        <w:t>groupe de coordination sur la précarité énergétique et les consommateurs vulnérables [décision (UE) 2022/589]</w:t>
      </w:r>
      <w:bookmarkEnd w:id="0"/>
      <w:r>
        <w:rPr>
          <w:rFonts w:ascii="Times New Roman" w:hAnsi="Times New Roman"/>
        </w:rPr>
        <w:t xml:space="preserve"> afin de faciliter les échanges avec et entre les États membres sur la précarité énergétique et les personnes touchées par celle-ci, y compris les consommateurs vulnérables et les ménages financièrement faibles. Le groupe partage des informations sur les mesures d’appui et d’autonomisation des personnes qui se trouvent dans ces situations; traite du caractère abordable de l’énergie, examine des questions spécifiques en vue de déterminer des actions appropriées et des solutions coordonnées conformes au droit de l’Union; s’attache au suivi et à l’évaluation des progrès accomplis en ce qui concerne les causes profondes et les solutions, et a pour objectif d’améliorer la qualité et l’éventail des données et des statistiques.</w:t>
      </w:r>
    </w:p>
    <w:p w14:paraId="3C8F0DE3" w14:textId="5E553F1F" w:rsidR="00AB756F" w:rsidRPr="00AB756F" w:rsidRDefault="00BD5305" w:rsidP="00456B58">
      <w:pPr>
        <w:spacing w:after="120"/>
        <w:rPr>
          <w:rFonts w:ascii="Times New Roman" w:hAnsi="Times New Roman"/>
          <w:szCs w:val="24"/>
        </w:rPr>
      </w:pPr>
      <w:bookmarkStart w:id="1" w:name="_Hlk158052251"/>
      <w:r>
        <w:rPr>
          <w:rFonts w:ascii="Times New Roman" w:hAnsi="Times New Roman"/>
        </w:rPr>
        <w:t xml:space="preserve">En ce qui concerne les </w:t>
      </w:r>
      <w:r>
        <w:rPr>
          <w:rFonts w:ascii="Times New Roman" w:hAnsi="Times New Roman"/>
          <w:b/>
        </w:rPr>
        <w:t>paragraphes 19</w:t>
      </w:r>
      <w:r>
        <w:rPr>
          <w:rFonts w:ascii="Times New Roman" w:hAnsi="Times New Roman"/>
        </w:rPr>
        <w:t xml:space="preserve"> et </w:t>
      </w:r>
      <w:r>
        <w:rPr>
          <w:rFonts w:ascii="Times New Roman" w:hAnsi="Times New Roman"/>
          <w:b/>
        </w:rPr>
        <w:t>20</w:t>
      </w:r>
      <w:r>
        <w:rPr>
          <w:rFonts w:ascii="Times New Roman" w:hAnsi="Times New Roman"/>
        </w:rPr>
        <w:t xml:space="preserve">, qui appellent à </w:t>
      </w:r>
      <w:r>
        <w:rPr>
          <w:rFonts w:ascii="Times New Roman" w:hAnsi="Times New Roman"/>
          <w:b/>
        </w:rPr>
        <w:t>un revenu et à un salaire minimaux adéquats dans le but de promouvoir l’égalité entre les hommes et les femmes et invitent à s’abstenir de prendre des initiatives qui conduiraient à une augmentation des conditions de travail précaires et à une privatisation des services publics</w:t>
      </w:r>
      <w:r>
        <w:rPr>
          <w:rFonts w:ascii="Times New Roman" w:hAnsi="Times New Roman"/>
        </w:rPr>
        <w:t xml:space="preserve">, la Commission demande la mise en œuvre intégrale de la recommandation du Conseil relative à un revenu minimum adéquat pour garantir une inclusion active (2023/C 41/01) et de la directive (UE) 2022/2041 relative à des salaires minimaux adéquats dans l’UE. Les conditions en matière de ressources auxquelles l’obtention d’une aide au revenu minimum est soumise s’appliquent généralement au niveau du ménage mais, souvent, la situation des personnes au sein de ce ménage n’est pas prise en considération. Cela nuit en particulier à l’indépendance économique des femmes, qui sont davantage susceptibles d’avoir des revenus moins élevés, un salaire plus faible et des responsabilités familiales plus importantes. C’est la raison pour laquelle, dans sa recommandation relative à un revenu minimum adéquat, le Conseil recommande aux États membres de faciliter la perception d’une aide au revenu par les membres du ménage pris individuellement plutôt que par le ménage dans sa globalité. Il est nécessaire de prendre des mesures supplémentaires pour faciliter l’utilisation du revenu minimum par les ménages monoparentaux, qui ont principalement des femmes à leur tête. Par conséquent, le Conseil recommande aux États membres de s’adresser de manière proactive aux personnes ne disposant pas de ressources suffisantes, en particulier aux ménages monoparentaux, afin de leur faire connaître le revenu minimum et de les encourager à le demander. En outre, en ce qui concerne le salaire minimum, compte tenu de la surreprésentation des femmes dans les emplois faiblement rémunérés, les améliorations du caractère adéquat des salaires minimaux apportées par la transposition </w:t>
      </w:r>
      <w:r>
        <w:rPr>
          <w:rFonts w:ascii="Times New Roman" w:hAnsi="Times New Roman"/>
        </w:rPr>
        <w:lastRenderedPageBreak/>
        <w:t>de la directive relative à des salaires minimaux adéquats dans l’UE contribueront à l’égalité entre les femmes et les hommes, à la réduction de l’écart de rémunération et de pension entre les femmes et les hommes, ainsi qu’à la sortie des femmes et de leurs familles de la pauvreté. La directive impose aux États membres de mettre en œuvre ses dispositions dans le plein respect de l’autonomie des partenaires sociaux. La Commission surveillera la transposition correcte et en temps utile de la directive par les États membres, qui devrait être réalisée au plus tard le 15 novembre 2024. Par ailleurs, l’action de la Commission s’inspire du socle européen des droits sociaux, qui comprend au moins six principes visant à garantir aux travailleurs des conditions de travail équitables. Enfin, si la conception des systèmes de protection sociale relève de la compétence nationale des États membres, l’UE soutient les réformes nationales visant à améliorer l’accès à la protection sociale et le caractère adéquat de cette dernière, tout en respectant la diversité des systèmes nationaux et en évitant l’érosion des ressources publiques.</w:t>
      </w:r>
      <w:bookmarkEnd w:id="1"/>
    </w:p>
    <w:p w14:paraId="47FEA207" w14:textId="55FB1A63" w:rsidR="00EF0C26" w:rsidRPr="003B42E6" w:rsidRDefault="00AB756F" w:rsidP="00456B58">
      <w:pPr>
        <w:widowControl w:val="0"/>
        <w:spacing w:after="120"/>
        <w:rPr>
          <w:rFonts w:ascii="Times New Roman" w:hAnsi="Times New Roman"/>
        </w:rPr>
      </w:pPr>
      <w:r>
        <w:rPr>
          <w:rFonts w:ascii="Times New Roman" w:hAnsi="Times New Roman"/>
        </w:rPr>
        <w:t xml:space="preserve">En ce qui concerne le </w:t>
      </w:r>
      <w:r>
        <w:rPr>
          <w:rFonts w:ascii="Times New Roman" w:hAnsi="Times New Roman"/>
          <w:b/>
        </w:rPr>
        <w:t>paragraphe 23</w:t>
      </w:r>
      <w:r>
        <w:rPr>
          <w:rFonts w:ascii="Times New Roman" w:hAnsi="Times New Roman"/>
        </w:rPr>
        <w:t xml:space="preserve">, qui réclame que les </w:t>
      </w:r>
      <w:r>
        <w:rPr>
          <w:rFonts w:ascii="Times New Roman" w:hAnsi="Times New Roman"/>
          <w:b/>
        </w:rPr>
        <w:t>femmes aient accès à un logement abordable</w:t>
      </w:r>
      <w:r>
        <w:rPr>
          <w:rFonts w:ascii="Times New Roman" w:hAnsi="Times New Roman"/>
        </w:rPr>
        <w:t>, la Commission est déterminée à atteindre les objectifs de développement durable et, en particulier, l’objectif n° 11, qui préconise de garantir l’accès de tous, y compris des femmes, à un logement adéquat, sûr et abordable, ce que demande aussi le Conseil dans ses conclusions sur l’économie du bien-être (2019/C 400/09). À cette fin, la Commission suit de près la question du caractère abordable du logement au moyen d’indicateurs tels que le taux de surcharge des coûts du logement qui est mis à disposition chaque année par Eurostat, une ventilation par sexe étant possible. La Commission soutient également l’accès des personnes dans le besoin à un logement social ou à une aide au logement de qualité, conformément au principe 19 du socle européen des droits sociaux, et elle a lancé une initiative en faveur d’un logement abordable, qui fait partie de la stratégie pour une vague de rénovations (COM/2020/662 final) et constitue une initiative phare du nouveau Bauhaus européen, qui promeut l’inclusion en tant que valeur fondamentale.</w:t>
      </w:r>
    </w:p>
    <w:p w14:paraId="6E4AE4B6" w14:textId="76D217A4" w:rsidR="00D8782F" w:rsidRPr="00A05D25" w:rsidRDefault="00A05D25" w:rsidP="00456B58">
      <w:pPr>
        <w:widowControl w:val="0"/>
        <w:spacing w:after="120"/>
        <w:rPr>
          <w:rFonts w:ascii="Times New Roman" w:hAnsi="Times New Roman"/>
          <w:bCs/>
          <w:szCs w:val="24"/>
        </w:rPr>
      </w:pPr>
      <w:r>
        <w:rPr>
          <w:rFonts w:ascii="Times New Roman" w:hAnsi="Times New Roman"/>
        </w:rPr>
        <w:t xml:space="preserve">En ce qui concerne le </w:t>
      </w:r>
      <w:r>
        <w:rPr>
          <w:rFonts w:ascii="Times New Roman" w:hAnsi="Times New Roman"/>
          <w:b/>
        </w:rPr>
        <w:t>paragraphe 24</w:t>
      </w:r>
      <w:r>
        <w:rPr>
          <w:rFonts w:ascii="Times New Roman" w:hAnsi="Times New Roman"/>
        </w:rPr>
        <w:t xml:space="preserve">, qui préconise de </w:t>
      </w:r>
      <w:r>
        <w:rPr>
          <w:rFonts w:ascii="Times New Roman" w:hAnsi="Times New Roman"/>
          <w:b/>
        </w:rPr>
        <w:t>donner aux autorités locales la possibilité de renforcer leur contrôle sur les plateformes de location de logements en ligne</w:t>
      </w:r>
      <w:r>
        <w:rPr>
          <w:rFonts w:ascii="Times New Roman" w:hAnsi="Times New Roman"/>
        </w:rPr>
        <w:t>, la Commission est favorable à une approche équilibrée des services de location de logements en ligne, et en particulier des services de location de logements de courte durée, conformément à l’acquis existant. Les colégislateurs sont récemment parvenus à un accord sur la proposition de règlement concernant la collecte et le partage des données relatives aux services de location de logements de courte durée (COM/2022/571 final) fournis en ligne. Ce règlement vise à introduire davantage d’exigences en matière de transparence, que les prestataires de services de location de courte durée et, partant, les plateformes en ligne concernées sont tenus de respecter: les autorités nationales, régionales ou locales pourront obtenir certaines informations auprès des plateformes de location de courte durée, ce qui devrait contribuer à une réglementation plus efficace du marché du logement en ligne à leurs niveaux respectifs.</w:t>
      </w:r>
    </w:p>
    <w:p w14:paraId="3C2585B8" w14:textId="7BD7D21F" w:rsidR="440C7CB8" w:rsidRPr="004744A0" w:rsidRDefault="00A05D25" w:rsidP="00456B58">
      <w:pPr>
        <w:widowControl w:val="0"/>
        <w:spacing w:after="120"/>
        <w:rPr>
          <w:rFonts w:ascii="Times New Roman" w:hAnsi="Times New Roman"/>
          <w:b/>
          <w:bCs/>
          <w:u w:val="single"/>
        </w:rPr>
      </w:pPr>
      <w:r>
        <w:rPr>
          <w:rFonts w:ascii="Times New Roman" w:hAnsi="Times New Roman"/>
        </w:rPr>
        <w:t xml:space="preserve">En ce qui concerne le </w:t>
      </w:r>
      <w:r>
        <w:rPr>
          <w:rFonts w:ascii="Times New Roman" w:hAnsi="Times New Roman"/>
          <w:b/>
        </w:rPr>
        <w:t>paragraphe 25</w:t>
      </w:r>
      <w:r>
        <w:rPr>
          <w:rFonts w:ascii="Times New Roman" w:hAnsi="Times New Roman"/>
        </w:rPr>
        <w:t xml:space="preserve">, qui préconise de </w:t>
      </w:r>
      <w:r>
        <w:rPr>
          <w:rFonts w:ascii="Times New Roman" w:hAnsi="Times New Roman"/>
          <w:b/>
        </w:rPr>
        <w:t>garantir l’approvisionnement en énergie dans les zones éloignées des centres urbains</w:t>
      </w:r>
      <w:r>
        <w:rPr>
          <w:rFonts w:ascii="Times New Roman" w:hAnsi="Times New Roman"/>
        </w:rPr>
        <w:t xml:space="preserve">, les fonds de cohésion de l’UE [FEDER, Fonds de cohésion (FC) et Fonds pour une transition juste (FTJ)] soutiennent la transition énergétique en finançant des améliorations de l’efficacité énergétique et en encourageant la transition vers des sources d’énergie renouvelables dans l’ensemble des régions et territoires de l’UE, y compris dans les zones dépeuplées, rurales et montagneuses, ainsi que dans les territoires les plus concernés par la transition énergétique. Au titre de l’objectif spécifique 5.2 du FEDER relatif au développement intégré des zones rurales, la mobilisation, à partir de janvier 2024, d’environ 420 millions d’euros en faveur de la transition énergétique des zones rurales est programmée, l’accent étant mis en particulier sur le déploiement des énergies renouvelables et sur l’efficacité </w:t>
      </w:r>
      <w:r>
        <w:rPr>
          <w:rFonts w:ascii="Times New Roman" w:hAnsi="Times New Roman"/>
        </w:rPr>
        <w:lastRenderedPageBreak/>
        <w:t>énergétique des bâtiments publics. Ce montant s’ajoute à l’enveloppe totale programmée pour la transition énergétique au titre des fonds de la politique de cohésion, soit environ 47 milliards d’euros pour le FEDER, 5 milliards d’euros pour le Fonds de cohésion et environ 4,6 milliards d’euros pour le FTJ, qui ne sont pas spécifiquement destinés aux zones rurales, mais peuvent y être affectées. En outre, au titre de l’objectif spécifique h), la PAC 2023-2027 fournit aux États membres le cadre stratégique et financier nécessaire pour concevoir les interventions visant à favoriser l’inclusion sociale, y compris celle des femmes et des familles dans les zones rurales, et à accroître la participation des femmes à l’agriculture.</w:t>
      </w:r>
    </w:p>
    <w:p w14:paraId="4C93102D" w14:textId="74E1E855" w:rsidR="0072518A" w:rsidRDefault="00A05D25" w:rsidP="00456B58">
      <w:pPr>
        <w:widowControl w:val="0"/>
        <w:spacing w:after="120"/>
        <w:rPr>
          <w:rFonts w:ascii="Times New Roman" w:hAnsi="Times New Roman"/>
          <w:bCs/>
          <w:szCs w:val="24"/>
        </w:rPr>
      </w:pPr>
      <w:r>
        <w:rPr>
          <w:rFonts w:ascii="Times New Roman" w:hAnsi="Times New Roman"/>
        </w:rPr>
        <w:t xml:space="preserve">En ce qui concerne le </w:t>
      </w:r>
      <w:r>
        <w:rPr>
          <w:rFonts w:ascii="Times New Roman" w:hAnsi="Times New Roman"/>
          <w:b/>
        </w:rPr>
        <w:t>paragraphe 28</w:t>
      </w:r>
      <w:r>
        <w:rPr>
          <w:rFonts w:ascii="Times New Roman" w:hAnsi="Times New Roman"/>
        </w:rPr>
        <w:t xml:space="preserve">, qui préconise </w:t>
      </w:r>
      <w:r>
        <w:rPr>
          <w:rFonts w:ascii="Times New Roman" w:hAnsi="Times New Roman"/>
          <w:b/>
        </w:rPr>
        <w:t>d’intégrer une perspective de genre et intersectionnelle dans la définition de la précarité énergétique</w:t>
      </w:r>
      <w:r>
        <w:rPr>
          <w:rFonts w:ascii="Times New Roman" w:hAnsi="Times New Roman"/>
        </w:rPr>
        <w:t>, la recommandation (UE) 2023/2407 de la Commission sur la précarité énergétique reconnaît le caractère multidimensionnel du problème ainsi que les multiples facteurs systémiques qui l’engendrent et les facteurs qui l’aggravent. Cela permet d’intégrer des perspectives intersectionnelles et de genre dans les définitions opérationnelles de la précarité énergétique élaborées par les États membres et, partant, de reconnaître le caractère divers des ménages vulnérables. Compte tenu de la complexité du problème, il n’existe pas d’indicateur unique permettant de mesurer la précarité énergétique et d’assurer le suivi du problème. La recommandation encourage les États membres à utiliser de multiples indicateurs complémentaires.</w:t>
      </w:r>
    </w:p>
    <w:p w14:paraId="61008452" w14:textId="1250F7AD" w:rsidR="00C32556" w:rsidRPr="00C32556" w:rsidRDefault="00A81F96" w:rsidP="00456B58">
      <w:pPr>
        <w:widowControl w:val="0"/>
        <w:spacing w:after="120"/>
        <w:rPr>
          <w:rFonts w:ascii="Times New Roman" w:hAnsi="Times New Roman"/>
        </w:rPr>
      </w:pPr>
      <w:r>
        <w:rPr>
          <w:rFonts w:ascii="Times New Roman" w:hAnsi="Times New Roman"/>
        </w:rPr>
        <w:t xml:space="preserve">En ce qui concerne les </w:t>
      </w:r>
      <w:r>
        <w:rPr>
          <w:rFonts w:ascii="Times New Roman" w:hAnsi="Times New Roman"/>
          <w:b/>
        </w:rPr>
        <w:t xml:space="preserve">paragraphes 29 </w:t>
      </w:r>
      <w:r>
        <w:rPr>
          <w:rFonts w:ascii="Times New Roman" w:hAnsi="Times New Roman"/>
        </w:rPr>
        <w:t>et </w:t>
      </w:r>
      <w:r>
        <w:rPr>
          <w:rFonts w:ascii="Times New Roman" w:hAnsi="Times New Roman"/>
          <w:b/>
        </w:rPr>
        <w:t>30</w:t>
      </w:r>
      <w:r>
        <w:rPr>
          <w:rFonts w:ascii="Times New Roman" w:hAnsi="Times New Roman"/>
        </w:rPr>
        <w:t xml:space="preserve">, </w:t>
      </w:r>
      <w:r>
        <w:rPr>
          <w:rFonts w:ascii="Times New Roman" w:hAnsi="Times New Roman"/>
          <w:b/>
        </w:rPr>
        <w:t>qui préconisent d’améliorer la collecte et l’analyse des données intersectionnelles et ventilées par genre</w:t>
      </w:r>
      <w:r>
        <w:rPr>
          <w:rFonts w:ascii="Times New Roman" w:hAnsi="Times New Roman"/>
        </w:rPr>
        <w:t xml:space="preserve">, la Commission appuie cette demande, conforme à la </w:t>
      </w:r>
      <w:hyperlink r:id="rId21" w:history="1">
        <w:r>
          <w:rPr>
            <w:rStyle w:val="Hyperlink"/>
            <w:rFonts w:ascii="Times New Roman" w:hAnsi="Times New Roman"/>
          </w:rPr>
          <w:t>stratégie en faveur de l’égalité entre les hommes et les femmes 2020-2025</w:t>
        </w:r>
      </w:hyperlink>
      <w:r>
        <w:rPr>
          <w:rFonts w:ascii="Times New Roman" w:hAnsi="Times New Roman"/>
        </w:rPr>
        <w:t xml:space="preserve"> qui souligne la nécessité de disposer de davantage de données ventilées. Toutefois, les indicateurs les plus utilisés pour mesurer la précarité énergétique sont fondés sur des données au niveau des ménages, portant sur la capacité de ceux-ci à disposer d’un logement suffisamment chauffé (provenant de l’enquête de l’UE sur le revenu et les conditions de vie et de l’enquête sur le budget des ménages), et les différences entre les hommes et les femmes en matière d’exposition à la précarité énergétique ne sont pas répertoriées. </w:t>
      </w:r>
      <w:bookmarkStart w:id="2" w:name="_Hlk158900582"/>
      <w:r>
        <w:rPr>
          <w:rFonts w:ascii="Times New Roman" w:hAnsi="Times New Roman"/>
        </w:rPr>
        <w:t>La Commission travaille donc à la production d’analyses statistiques de données ventilées par genre, en consultation avec les agences et organes concernés</w:t>
      </w:r>
      <w:bookmarkEnd w:id="2"/>
      <w:r>
        <w:rPr>
          <w:rFonts w:ascii="Times New Roman" w:hAnsi="Times New Roman"/>
        </w:rPr>
        <w:t>. Des travaux sont en cours pour que les données annuelles soient complétées par des informations triennales (à partir de 2026). Lorsqu’elles seront disponibles, ces deux ensembles d’informations seront utilisés dans l’analyse statistique dans le but de fournir des informations sur des situations spécifiques de précarité énergétique, portant notamment sur les ménages monoparentaux.</w:t>
      </w:r>
    </w:p>
    <w:p w14:paraId="2E55A410" w14:textId="30A3BFB3" w:rsidR="00C53FDC" w:rsidRDefault="00C32556" w:rsidP="00456B58">
      <w:pPr>
        <w:widowControl w:val="0"/>
        <w:spacing w:after="120"/>
        <w:rPr>
          <w:rFonts w:ascii="Times New Roman" w:hAnsi="Times New Roman"/>
        </w:rPr>
      </w:pPr>
      <w:r>
        <w:rPr>
          <w:rFonts w:ascii="Times New Roman" w:hAnsi="Times New Roman"/>
        </w:rPr>
        <w:t xml:space="preserve">En ce qui concerne les </w:t>
      </w:r>
      <w:r>
        <w:rPr>
          <w:rFonts w:ascii="Times New Roman" w:hAnsi="Times New Roman"/>
          <w:b/>
        </w:rPr>
        <w:t>paragraphes 33, 38</w:t>
      </w:r>
      <w:r>
        <w:rPr>
          <w:rFonts w:ascii="Times New Roman" w:hAnsi="Times New Roman"/>
        </w:rPr>
        <w:t xml:space="preserve"> et </w:t>
      </w:r>
      <w:r>
        <w:rPr>
          <w:rFonts w:ascii="Times New Roman" w:hAnsi="Times New Roman"/>
          <w:b/>
        </w:rPr>
        <w:t>42</w:t>
      </w:r>
      <w:r>
        <w:rPr>
          <w:rFonts w:ascii="Times New Roman" w:hAnsi="Times New Roman"/>
        </w:rPr>
        <w:t xml:space="preserve">, qui exhortent à </w:t>
      </w:r>
      <w:r>
        <w:rPr>
          <w:rFonts w:ascii="Times New Roman" w:hAnsi="Times New Roman"/>
          <w:b/>
        </w:rPr>
        <w:t>soutenir davantage les PME</w:t>
      </w:r>
      <w:r>
        <w:rPr>
          <w:rFonts w:ascii="Times New Roman" w:hAnsi="Times New Roman"/>
        </w:rPr>
        <w:t xml:space="preserve"> (petites et moyennes entreprises) </w:t>
      </w:r>
      <w:r>
        <w:rPr>
          <w:rFonts w:ascii="Times New Roman" w:hAnsi="Times New Roman"/>
          <w:b/>
        </w:rPr>
        <w:t>dirigées par des femmes</w:t>
      </w:r>
      <w:r>
        <w:rPr>
          <w:rFonts w:ascii="Times New Roman" w:hAnsi="Times New Roman"/>
        </w:rPr>
        <w:t xml:space="preserve"> et à </w:t>
      </w:r>
      <w:r>
        <w:rPr>
          <w:rFonts w:ascii="Times New Roman" w:hAnsi="Times New Roman"/>
          <w:b/>
        </w:rPr>
        <w:t>promouvoir l’entrepreneuriat féminin</w:t>
      </w:r>
      <w:r>
        <w:rPr>
          <w:rFonts w:ascii="Times New Roman" w:hAnsi="Times New Roman"/>
        </w:rPr>
        <w:t>, la Commission s’engage à faire progresser l’entrepreneuriat féminin en aidant les femmes à devenir entrepreneuses, à mieux faire valoir leurs intérêts, leurs motivations et leurs choix, et à réaliser pleinement leur potentiel. Elle s’engage à atteindre cet objectif dans le train de mesures de soutien aux PME récemment adopté, conformément à la stratégie axée sur les PME pour une Europe durable et numérique, à la nouvelle stratégie en matière de compétences, au plan d’action en matière d’éducation numérique, et à la stratégie en faveur de l’égalité entre les hommes et les femmes 2020</w:t>
      </w:r>
      <w:r>
        <w:rPr>
          <w:rFonts w:ascii="Times New Roman" w:hAnsi="Times New Roman"/>
        </w:rPr>
        <w:noBreakHyphen/>
        <w:t xml:space="preserve">2025. Pour y parvenir, la Commission a, par exemple, parrainé WEgate, une plateforme européenne qui met en relation les femmes entrepreneurs et aide les femmes à créer leur entreprise. En outre, les produits financiers relevant du volet «Investissements sociaux et compétences» du programme InvestEU favorisent l’accès au financement des femmes entrepreneurs parmi d’autres groupes cibles, soit par le microfinancement, soit par des investissements en fonds propres dans leurs entreprises. Le Fonds européen </w:t>
      </w:r>
      <w:r>
        <w:rPr>
          <w:rFonts w:ascii="Times New Roman" w:hAnsi="Times New Roman"/>
        </w:rPr>
        <w:lastRenderedPageBreak/>
        <w:t>d’investissement, l’un des partenaires chargés de la mise en œuvre d’InvestEU, a fixé des objectifs spécifiques fondés sur la méthode «Défi 2X» afin de soutenir, par l’investissement à impact social, des fonds d’actions qui sont alignés sur cette méthodologie et respectent ses critères de genre.</w:t>
      </w:r>
    </w:p>
    <w:p w14:paraId="33FA96A6" w14:textId="62F5F989" w:rsidR="00FC5516" w:rsidRPr="00492031" w:rsidRDefault="003A4549" w:rsidP="00456B58">
      <w:pPr>
        <w:spacing w:after="120"/>
        <w:rPr>
          <w:rFonts w:ascii="Times New Roman" w:hAnsi="Times New Roman"/>
        </w:rPr>
      </w:pPr>
      <w:bookmarkStart w:id="3" w:name="_Hlk158213897"/>
      <w:r>
        <w:rPr>
          <w:rFonts w:ascii="Times New Roman" w:hAnsi="Times New Roman"/>
        </w:rPr>
        <w:t xml:space="preserve">Le </w:t>
      </w:r>
      <w:r>
        <w:rPr>
          <w:rFonts w:ascii="Times New Roman" w:hAnsi="Times New Roman"/>
          <w:b/>
        </w:rPr>
        <w:t>paragraphe 35</w:t>
      </w:r>
      <w:r>
        <w:rPr>
          <w:rFonts w:ascii="Times New Roman" w:hAnsi="Times New Roman"/>
        </w:rPr>
        <w:t xml:space="preserve"> invite la </w:t>
      </w:r>
      <w:r>
        <w:rPr>
          <w:rFonts w:ascii="Times New Roman" w:hAnsi="Times New Roman"/>
          <w:b/>
        </w:rPr>
        <w:t>Commission à nommer un «coordinateur de l’Union pour l’égalité entre les hommes et les femmes et le climat» et à «introduire des évaluations de l’impact selon le genre dans toutes les politiques de l’UE, en particulier dans les initiatives du pacte vert pour l’Europe»</w:t>
      </w:r>
      <w:r>
        <w:rPr>
          <w:rFonts w:ascii="Times New Roman" w:hAnsi="Times New Roman"/>
        </w:rPr>
        <w:t xml:space="preserve">. Conformément à la stratégie en faveur de l’égalité entre les hommes et les femmes et au pacte vert pour l’Europe, la Commission soutient l’appel du Parlement en faveur d’une transition écologique juste et sera heureuse de pouvoir poursuivre le dialogue avec le Parlement européen sur cette question. La Commission a publié la </w:t>
      </w:r>
      <w:hyperlink r:id="rId22" w:history="1">
        <w:r>
          <w:rPr>
            <w:rStyle w:val="Hyperlink"/>
            <w:rFonts w:ascii="Times New Roman" w:hAnsi="Times New Roman"/>
          </w:rPr>
          <w:t>boîte à outils actualisée pour une meilleure réglementation</w:t>
        </w:r>
      </w:hyperlink>
      <w:r>
        <w:rPr>
          <w:rFonts w:ascii="Times New Roman" w:hAnsi="Times New Roman"/>
        </w:rPr>
        <w:t xml:space="preserve"> en novembre 2021. Elle couvre l’ensemble du cycle politique – planification, adoption, conception, mise en œuvre, application (et contrôle de l’application), évaluation et révision. En particulier, l’outil n° 29 traite de l’impact sur les droits fondamentaux, notamment la promotion de l’égalité, et il fournit une liste de contrôle détaillée pour cette dernière. Dans le cadre de l’amélioration de la réglementation, l’analyse d’impact est un exercice intégré qui analyse les incidences environnementales, sociales et économiques significatives des options stratégiques à l’examen. Les analyses d’impact doivent couvrir toutes les incidences significatives liées à une proposition en cours d’élaboration, notamment les incidences sur l’égalité entre les femmes et les hommes. Par ailleurs, la Commission reconnaît également la nécessité de lutter contre la discrimination intersectionnelle dans le cadre du processus d’élaboration des politiques. La stratégie en faveur de l’égalité entre les hommes et les femmes 2020-2025, par exemple, suit une approche intersectionnelle, à savoir la combinaison du genre et d’autres caractéristiques ou identités personnelles. La Commission prend note de la suggestion formulée par le Parlement européen consistant à nommer un coordinateur de l’Union pour l’égalité entre les hommes et les femmes et le climat. Toutefois, elle rappelle qu’elle respecte les principes qui sous-tendent l’actuel cadre financier pluriannuel et fonctionne selon un principe de stabilité des effectifs. Toute augmentation de la charge de travail devra être accompagnée par une réaffectation et un redéploiement éventuels au sein des services. </w:t>
      </w:r>
      <w:bookmarkEnd w:id="3"/>
    </w:p>
    <w:p w14:paraId="3DAB6BBD" w14:textId="26AD4E57" w:rsidR="00F57849" w:rsidRPr="00F57849" w:rsidRDefault="00F57849" w:rsidP="00456B58">
      <w:pPr>
        <w:pStyle w:val="NormalHanging12a"/>
        <w:spacing w:after="120"/>
        <w:ind w:left="0" w:firstLine="0"/>
        <w:jc w:val="both"/>
        <w:rPr>
          <w:rStyle w:val="cf01"/>
          <w:rFonts w:ascii="Times New Roman" w:hAnsi="Times New Roman" w:cs="Times New Roman"/>
          <w:snapToGrid/>
          <w:sz w:val="24"/>
          <w:szCs w:val="20"/>
        </w:rPr>
      </w:pPr>
      <w:r>
        <w:rPr>
          <w:snapToGrid/>
        </w:rPr>
        <w:t xml:space="preserve">En ce qui concerne le </w:t>
      </w:r>
      <w:r>
        <w:rPr>
          <w:b/>
          <w:snapToGrid/>
        </w:rPr>
        <w:t>paragraphe 40</w:t>
      </w:r>
      <w:r>
        <w:rPr>
          <w:snapToGrid/>
        </w:rPr>
        <w:t xml:space="preserve">, qui préconise l’adoption de </w:t>
      </w:r>
      <w:r>
        <w:rPr>
          <w:b/>
          <w:snapToGrid/>
        </w:rPr>
        <w:t>mesures positives visant à garantir une représentation égale et diversifiée aux postes de prise de décision</w:t>
      </w:r>
      <w:r>
        <w:rPr>
          <w:snapToGrid/>
        </w:rPr>
        <w:t>, la Commission montre l’exemple, en tant qu’employeur, et s’est engagée à parvenir à un équilibre entre les hommes et les femmes à tous les niveaux de sa direction d’ici la fin de 2024, conformément à l’engagement pris dans le cadre de la stratégie de l’UE en faveur de l’égalité entre les hommes et les femmes 2020-2025. Les mesures de soutien comprennent des objectifs de nouveaux recrutements féminins à des fonctions d’encadrement intermédiaire, ainsi que des programmes de développement des compétences d’encadrement. La Commission intensifie ses efforts pour accroître la proportion de femmes occupant des fonctions d’encadrement dans les agences de l’UE, où elle est compétente pour les nommer, et pour garantir une représentation hommes-femmes équilibrée parmi les orateurs et autres intervenants dans les conférences qu’elle organise.</w:t>
      </w:r>
    </w:p>
    <w:p w14:paraId="25E380D8" w14:textId="17375022" w:rsidR="00F636F3" w:rsidRPr="00F57849" w:rsidRDefault="00F57849" w:rsidP="00456B58">
      <w:pPr>
        <w:pStyle w:val="NormalHanging12a"/>
        <w:spacing w:after="120"/>
        <w:ind w:left="0" w:firstLine="0"/>
        <w:contextualSpacing/>
        <w:jc w:val="both"/>
        <w:rPr>
          <w:snapToGrid/>
        </w:rPr>
      </w:pPr>
      <w:r>
        <w:rPr>
          <w:snapToGrid/>
        </w:rPr>
        <w:t xml:space="preserve">En ce qui concerne le </w:t>
      </w:r>
      <w:r>
        <w:rPr>
          <w:b/>
          <w:snapToGrid/>
        </w:rPr>
        <w:t>paragraphe 43</w:t>
      </w:r>
      <w:r>
        <w:rPr>
          <w:snapToGrid/>
        </w:rPr>
        <w:t xml:space="preserve">, qui incite à </w:t>
      </w:r>
      <w:r>
        <w:rPr>
          <w:b/>
          <w:snapToGrid/>
        </w:rPr>
        <w:t>veiller à ce que les femmes et les filles, y compris les femmes vivant dans des zones reculées, ne soient pas touchées de manière disproportionnée par la précarité énergétique</w:t>
      </w:r>
      <w:r>
        <w:rPr>
          <w:snapToGrid/>
        </w:rPr>
        <w:t>, l</w:t>
      </w:r>
      <w:r>
        <w:t xml:space="preserve">a recommandation de la Commission sur la précarité énergétique (C/2023/4080) reconnaît que ce problème a de multiples facettes et est aggravé par certains facteurs, tels que la situation géographique. Le groupe consultatif sur la précarité énergétique a élaboré un ensemble d’indicateurs </w:t>
      </w:r>
      <w:r>
        <w:lastRenderedPageBreak/>
        <w:t xml:space="preserve">locaux qui peuvent contribuer à diagnostiquer les situations de précarité énergétique existant au niveau local et aider les gouvernements locaux à concevoir à ce niveau des plans sociaux éclairés en matière de climat. La Commission a également investi dans la recherche sur les situations de précarité énergétique présentes dans des contextes spécifiques. Ainsi, dans le cadre des mesures en faveur de l’efficacité énergétique relevant d’Horizon 2020, environ 29 millions d’euros en faveur de 16 projets visant à lutter contre la précarité énergétique ont été octroyés (appels 2014-2020). Ces projets ont contribué à l’échange de bonnes pratiques entre les parties prenantes, en donnant aux communautés locales et aux consommateurs les moyens de lutter contre la précarité énergétique. Ils visaient spécifiquement les groupes en situation de précarité énergétique tels que les groupes vulnérables (ComAct, PowerPoor), les personnes vivant dans des zones rurales (ENPOR) et les femmes (EmpowerMed). En outre, la lutte contre les causes sous-jacentes de la précarité énergétique et le fait de veiller à la cohésion socio-économique des différentes régions d’Europe sont des priorités de longue date pour la Commission. Le </w:t>
      </w:r>
      <w:hyperlink r:id="rId23" w:history="1">
        <w:r>
          <w:rPr>
            <w:rStyle w:val="Hyperlink"/>
          </w:rPr>
          <w:t>8</w:t>
        </w:r>
        <w:r>
          <w:rPr>
            <w:rStyle w:val="Hyperlink"/>
            <w:vertAlign w:val="superscript"/>
          </w:rPr>
          <w:t>e</w:t>
        </w:r>
        <w:r>
          <w:rPr>
            <w:rStyle w:val="Hyperlink"/>
          </w:rPr>
          <w:t xml:space="preserve"> rapport sur la cohésion</w:t>
        </w:r>
      </w:hyperlink>
      <w:r>
        <w:t>, publié en février 2022, évalue la cohésion économique, sociale et territoriale dans l’UE et examine la manière dont la politique de cohésion devrait évoluer pour faire face aux défis des transitions écologique et numérique. Le 9</w:t>
      </w:r>
      <w:r>
        <w:rPr>
          <w:vertAlign w:val="superscript"/>
        </w:rPr>
        <w:t>e</w:t>
      </w:r>
      <w:r>
        <w:t xml:space="preserve"> rapport à venir sur la cohésion comprend une section sur la précarité énergétique, qui constitue l’un des défis sociaux auxquels sont confrontées les régions d’Europe.</w:t>
      </w:r>
    </w:p>
    <w:p w14:paraId="7D0F9A94" w14:textId="17822F71" w:rsidR="00C349B8" w:rsidRDefault="00F57849" w:rsidP="00456B58">
      <w:pPr>
        <w:spacing w:after="120"/>
        <w:rPr>
          <w:rFonts w:ascii="Times New Roman" w:hAnsi="Times New Roman"/>
          <w:snapToGrid w:val="0"/>
        </w:rPr>
      </w:pPr>
      <w:r>
        <w:rPr>
          <w:rFonts w:ascii="Times New Roman" w:hAnsi="Times New Roman"/>
        </w:rPr>
        <w:t xml:space="preserve">En ce qui concerne le </w:t>
      </w:r>
      <w:r>
        <w:rPr>
          <w:rFonts w:ascii="Times New Roman" w:hAnsi="Times New Roman"/>
          <w:b/>
        </w:rPr>
        <w:t>paragraphe 44</w:t>
      </w:r>
      <w:r>
        <w:rPr>
          <w:rFonts w:ascii="Times New Roman" w:hAnsi="Times New Roman"/>
        </w:rPr>
        <w:t xml:space="preserve">, qui appelle à </w:t>
      </w:r>
      <w:r>
        <w:rPr>
          <w:rFonts w:ascii="Times New Roman" w:hAnsi="Times New Roman"/>
          <w:b/>
        </w:rPr>
        <w:t>réduire l’écart entre les hommes et les femmes dans le secteur de l’énergie en s’attaquant à la sous-représentation des femmes en ce qui concerne les carrières dans les domaines des sciences, des technologies, de l’ingénierie, des arts et des mathématiques (STIAM)</w:t>
      </w:r>
      <w:r>
        <w:rPr>
          <w:rFonts w:ascii="Times New Roman" w:hAnsi="Times New Roman"/>
        </w:rPr>
        <w:t xml:space="preserve">, la Commission reconnaît l’importance de remédier à l’écart entre les hommes et les femmes en matière d’emploi dans le contexte de la transition écologique. En 2021, la Commission a lancé la </w:t>
      </w:r>
      <w:hyperlink r:id="rId24" w:history="1">
        <w:r>
          <w:rPr>
            <w:rStyle w:val="Hyperlink"/>
            <w:rFonts w:ascii="Times New Roman" w:hAnsi="Times New Roman"/>
          </w:rPr>
          <w:t>plateforme pour l’égalité dans le secteur de l’énergie</w:t>
        </w:r>
      </w:hyperlink>
      <w:r>
        <w:rPr>
          <w:rFonts w:ascii="Times New Roman" w:hAnsi="Times New Roman"/>
        </w:rPr>
        <w:t>, une plateforme de mise en réseau et de bonnes pratiques permettant aux parties prenantes du secteur de l’énergie de promouvoir l’égalité dans le secteur, notamment en favorisant des lieux de travail plus diversifiés et plus inclusifs. Les 28 organisations membres ont présenté des mesures concrètes en matière de diversité et d’inclusion et rendent compte régulièrement de leur mise en œuvre. La plateforme développe aussi des ressources et des contenus sur des questions en matière d’égalité. En outre, la Commission reconnaît que l’écart entre les hommes et les femmes en matière d’emploi dans les secteurs essentiels à la transition écologique est lié à l’écart entre les hommes et les femmes dans le domaine des STIAM et s’emploie à garantir un accès inclusif à l’éducation et à la formation. Ainsi, la recommandation du Conseil visant à assurer une transition équitable vers la neutralité climatique (2022/C 243/04) encourage les États membres à prendre des mesures pour favoriser l’égalité d’accès à une éducation et à une formation de qualité. Il s’agit notamment de fournir une éducation et une formation inclusives et de qualité sur les aptitudes et compétences utiles pour la transition écologique et d’accroître la participation des adultes à l’apprentissage tout au long de la vie. La Commission assure le suivi de la mise en œuvre de la recommandation, l’évaluation des programmes d’éducation et de formation étant prévue en 2024.</w:t>
      </w:r>
    </w:p>
    <w:p w14:paraId="4D932814" w14:textId="7862CB07" w:rsidR="00C349B8" w:rsidRDefault="3B266E73" w:rsidP="00456B58">
      <w:pPr>
        <w:spacing w:after="120"/>
        <w:rPr>
          <w:rFonts w:ascii="Times New Roman" w:hAnsi="Times New Roman"/>
          <w:snapToGrid w:val="0"/>
        </w:rPr>
      </w:pPr>
      <w:r>
        <w:rPr>
          <w:rFonts w:ascii="Times New Roman" w:hAnsi="Times New Roman"/>
        </w:rPr>
        <w:t>En outre, dans le cadre des orientations à l’intention des États membres pour la mise à jour des plans nationaux en matière d’énergie et de climat pour la période 2021-2030 (2022/C 495/02), la Commission encourage les États membres à «garantir un accès équilibré et égal à l’éducation et aux possibilités d’emploi à tous les niveaux et dans tous les secteurs, par exemple en réduisant le déséquilibre actuel entre les hommes et les femmes qui caractérise jusqu’à présent les étudiants en STEM et le secteur de l’énergie».</w:t>
      </w:r>
    </w:p>
    <w:p w14:paraId="309F2906" w14:textId="267B257F" w:rsidR="00C349B8" w:rsidRDefault="00CF7596" w:rsidP="00456B58">
      <w:pPr>
        <w:spacing w:after="120"/>
        <w:rPr>
          <w:rFonts w:ascii="Times New Roman" w:hAnsi="Times New Roman"/>
        </w:rPr>
      </w:pPr>
      <w:r>
        <w:rPr>
          <w:rFonts w:ascii="Times New Roman" w:hAnsi="Times New Roman"/>
        </w:rPr>
        <w:lastRenderedPageBreak/>
        <w:t xml:space="preserve">Avec la </w:t>
      </w:r>
      <w:hyperlink r:id="rId25" w:history="1">
        <w:r>
          <w:rPr>
            <w:rStyle w:val="Hyperlink"/>
            <w:rFonts w:ascii="Times New Roman" w:hAnsi="Times New Roman"/>
          </w:rPr>
          <w:t>stratégie européenne en faveur des universités</w:t>
        </w:r>
      </w:hyperlink>
      <w:r>
        <w:rPr>
          <w:rFonts w:ascii="Times New Roman" w:hAnsi="Times New Roman"/>
        </w:rPr>
        <w:t>, adoptée en janvier 2022, la Commission européenne s’est engagée à renforcer la participation des femmes et des filles aux études et aux carrières dans le domaine des STIM au moyen d’une feuille de route d’activités comprenant un manifeste pour une éducation et des carrières dans le domaine des STI(A)M tenant compte du genre, qui requiert l’engagement de divers acteurs de l’éducation, de la recherche et de l’innovation. La Commission a également financé plusieurs projets dans le cadre d’Horizon 2020 sur cette question. Elle encourage, par exemple, des actions de sensibilisation telles que les «Nuits européennes des chercheurs», «Chercheurs à l’école» et «Science is Wonderful!» (La science, c'est fantastique!), qui sont organisées dans le cadre des actions Marie Skłodowska-Curie et qui accordent une grande importance à la promotion de figures féminines inspirantes incitant les filles à prendre part à la science et à la recherche. Plusieurs projets Erasmus+ portent également sur la participation des femmes et des filles dans le domaine des STIM.</w:t>
      </w:r>
    </w:p>
    <w:p w14:paraId="62EC058E" w14:textId="45F84193" w:rsidR="00C349B8" w:rsidRDefault="00187B8F" w:rsidP="00456B58">
      <w:pPr>
        <w:spacing w:after="120"/>
        <w:rPr>
          <w:rFonts w:ascii="Times New Roman" w:hAnsi="Times New Roman"/>
          <w:color w:val="0E101A"/>
        </w:rPr>
      </w:pPr>
      <w:r>
        <w:rPr>
          <w:rFonts w:ascii="Times New Roman" w:hAnsi="Times New Roman"/>
        </w:rPr>
        <w:t xml:space="preserve">Par ailleurs, dans le cadre du </w:t>
      </w:r>
      <w:hyperlink r:id="rId26" w:history="1">
        <w:r>
          <w:rPr>
            <w:rStyle w:val="Hyperlink"/>
            <w:rFonts w:ascii="Times New Roman" w:hAnsi="Times New Roman"/>
          </w:rPr>
          <w:t>plan d’action en matière d’éducation numérique (2021-2027)</w:t>
        </w:r>
      </w:hyperlink>
      <w:r>
        <w:rPr>
          <w:rFonts w:ascii="Times New Roman" w:hAnsi="Times New Roman"/>
        </w:rPr>
        <w:t>, le programme «Girls Go Circular», un programme en ligne gratuit sur les compétences numériques et entrepreneuriales pour l’économie circulaire, a permis de former plus de 38 000 filles dans 23 pays depuis son lancement en 2020. Il s’étendra aux 27 États membres de l’UE d’ici la fin de 2024. En outre, les «ESTEAM (Entrepreneuriat, Science, Technologie, Ingénierie, Arts et Mathématiques) Fests» réunissent les filles et les femmes et leur permettent d’approfondir des questions clés et d’apprendre les unes des autres.</w:t>
      </w:r>
      <w:r>
        <w:rPr>
          <w:rFonts w:ascii="Times New Roman" w:hAnsi="Times New Roman"/>
          <w:color w:val="0E101A"/>
        </w:rPr>
        <w:t xml:space="preserve"> Depuis le lancement des Fests en 2021, 1 529 filles et femmes dans 9 pays y ont participé.</w:t>
      </w:r>
    </w:p>
    <w:p w14:paraId="2E763313" w14:textId="2E43F8EA" w:rsidR="00BB000A" w:rsidRPr="006436F0" w:rsidRDefault="008F290F" w:rsidP="00456B58">
      <w:pPr>
        <w:spacing w:after="120"/>
        <w:rPr>
          <w:rFonts w:ascii="Times New Roman" w:hAnsi="Times New Roman"/>
        </w:rPr>
      </w:pPr>
      <w:r>
        <w:rPr>
          <w:rFonts w:ascii="Times New Roman" w:hAnsi="Times New Roman"/>
          <w:color w:val="0E101A"/>
        </w:rPr>
        <w:t xml:space="preserve">En ce qui concerne la formation, la </w:t>
      </w:r>
      <w:hyperlink r:id="rId27" w:history="1">
        <w:r>
          <w:rPr>
            <w:rFonts w:ascii="Times New Roman" w:hAnsi="Times New Roman"/>
            <w:color w:val="0E101A"/>
          </w:rPr>
          <w:t>recommandation du Conseil de 2020 en matière d’enseignement et de formation professionnels (EFP)</w:t>
        </w:r>
      </w:hyperlink>
      <w:r>
        <w:rPr>
          <w:rFonts w:ascii="Times New Roman" w:hAnsi="Times New Roman"/>
          <w:color w:val="0E101A"/>
        </w:rPr>
        <w:t xml:space="preserve"> en faveur de la compétitivité durable, de l’équité sociale et de la résilience (2020/C 417/01) invite les États membres, entre autres, à promouvoir l’égalité des chances, notamment en adoptant des mesures ciblées visant à favoriser l’équilibre entre les hommes et les femmes dans les professions traditionnellement considérées comme «masculines» ou «féminines» et à s’attaquer aux stéréotypes sexistes et autres. Un </w:t>
      </w:r>
      <w:hyperlink r:id="rId28" w:history="1">
        <w:r>
          <w:rPr>
            <w:rFonts w:ascii="Times New Roman" w:hAnsi="Times New Roman"/>
            <w:color w:val="0E101A"/>
          </w:rPr>
          <w:t>appel à propositions Erasmus+ 2024</w:t>
        </w:r>
      </w:hyperlink>
      <w:r>
        <w:rPr>
          <w:rFonts w:ascii="Times New Roman" w:hAnsi="Times New Roman"/>
          <w:color w:val="0E101A"/>
        </w:rPr>
        <w:t xml:space="preserve"> soutient des projets proposant des moyens de surmonter les obstacles empêchant les filles et les femmes de poursuivre une carrière dans le domaine de l’EFP dans le secteur des technologies vertes/propres et d’accroître la participation des femmes dans ce secteur, au moyen d’actions telles que des campagnes, des programmes d’accompagnement ou d’orientation professionnelle ou grâce à des figures inspirantes, entre autres.</w:t>
      </w:r>
    </w:p>
    <w:p w14:paraId="296DEA27" w14:textId="64466939" w:rsidR="002C4142" w:rsidRPr="00B901A7" w:rsidRDefault="00187B8F" w:rsidP="00456B58">
      <w:pPr>
        <w:spacing w:after="120"/>
        <w:contextualSpacing/>
        <w:rPr>
          <w:rFonts w:ascii="Times New Roman" w:hAnsi="Times New Roman"/>
        </w:rPr>
      </w:pPr>
      <w:r>
        <w:rPr>
          <w:rFonts w:ascii="Times New Roman" w:hAnsi="Times New Roman"/>
        </w:rPr>
        <w:t xml:space="preserve">En ce qui concerne le </w:t>
      </w:r>
      <w:r>
        <w:rPr>
          <w:rFonts w:ascii="Times New Roman" w:hAnsi="Times New Roman"/>
          <w:b/>
        </w:rPr>
        <w:t>paragraphe 49</w:t>
      </w:r>
      <w:r>
        <w:rPr>
          <w:rFonts w:ascii="Times New Roman" w:hAnsi="Times New Roman"/>
        </w:rPr>
        <w:t>, qui invite</w:t>
      </w:r>
      <w:r>
        <w:rPr>
          <w:rFonts w:ascii="Times New Roman" w:hAnsi="Times New Roman"/>
          <w:b/>
        </w:rPr>
        <w:t xml:space="preserve"> la Commission et le Conseil à s’engager en faveur d’une budgétisation sensible au genre et à veiller à ce qu’elle soit appliquée à l’ensemble du budget de l’Union</w:t>
      </w:r>
      <w:r>
        <w:rPr>
          <w:rFonts w:ascii="Times New Roman" w:hAnsi="Times New Roman"/>
        </w:rPr>
        <w:t xml:space="preserve">, il convient de souligner l’engagement de longue date de la Commission en faveur de la promotion de l’égalité de genre. Conformément à sa stratégie en faveur de l’égalité entre les hommes et les femmes 2020-2025 et à l’accord interinstitutionnel sur le cadre financier pluriannuel 2021-2027, la Commission a élaboré une méthodologie pilote spécifique pour suivre l’évolution des dépenses liées à l’égalité entre les femmes et les hommes dans son financement. Le but est d’améliorer l’intégration de la dimension de genre dans le processus budgétaire de la Commission en repérant la manière dont l’élaboration des politiques et l’allocation des ressources contribuent aux objectifs en matière d’égalité de genre. La méthodologie repose sur des notes qui reflètent la mesure dans laquelle une intervention est axée sur la promotion de l’égalité de genre. S’il est constaté qu’une intervention est susceptible de contribuer à l’égalité de genre, mais que cette dimension n’a pas été suffisamment intégrée dans la conception de l’intervention, une recommandation est fournie sur la </w:t>
      </w:r>
      <w:r>
        <w:rPr>
          <w:rFonts w:ascii="Times New Roman" w:hAnsi="Times New Roman"/>
        </w:rPr>
        <w:lastRenderedPageBreak/>
        <w:t>manière de mettre davantage l’accent sur cette égalité, afin d’améliorer ce point dans les futures propositions de projets.</w:t>
      </w:r>
    </w:p>
    <w:sectPr w:rsidR="002C4142" w:rsidRPr="00B901A7" w:rsidSect="000A07D2">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90A7D" w14:textId="77777777" w:rsidR="00C92CD0" w:rsidRDefault="00C92CD0">
      <w:r>
        <w:separator/>
      </w:r>
    </w:p>
  </w:endnote>
  <w:endnote w:type="continuationSeparator" w:id="0">
    <w:p w14:paraId="444D2081" w14:textId="77777777" w:rsidR="00C92CD0" w:rsidRDefault="00C92CD0">
      <w:r>
        <w:continuationSeparator/>
      </w:r>
    </w:p>
  </w:endnote>
  <w:endnote w:type="continuationNotice" w:id="1">
    <w:p w14:paraId="2C4B130A" w14:textId="77777777" w:rsidR="00C92CD0" w:rsidRDefault="00C92C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6218"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5A39BBE3"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1044"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2E5F">
      <w:rPr>
        <w:rStyle w:val="PageNumber"/>
      </w:rPr>
      <w:t>3</w:t>
    </w:r>
    <w:r>
      <w:rPr>
        <w:rStyle w:val="PageNumber"/>
      </w:rPr>
      <w:fldChar w:fldCharType="end"/>
    </w:r>
  </w:p>
  <w:p w14:paraId="6A05A809"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6828" w14:textId="3CF71FC1" w:rsidR="005E6EC2" w:rsidRPr="00456B58" w:rsidRDefault="005E6EC2" w:rsidP="00456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BDDEE" w14:textId="77777777" w:rsidR="00C92CD0" w:rsidRDefault="00C92CD0">
      <w:r>
        <w:separator/>
      </w:r>
    </w:p>
  </w:footnote>
  <w:footnote w:type="continuationSeparator" w:id="0">
    <w:p w14:paraId="64EE9FF4" w14:textId="77777777" w:rsidR="00C92CD0" w:rsidRDefault="00C92CD0">
      <w:r>
        <w:continuationSeparator/>
      </w:r>
    </w:p>
  </w:footnote>
  <w:footnote w:type="continuationNotice" w:id="1">
    <w:p w14:paraId="5F83A2B9" w14:textId="77777777" w:rsidR="00C92CD0" w:rsidRDefault="00C92C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6F2D" w14:textId="77777777" w:rsidR="00456B58" w:rsidRDefault="00456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845D" w14:textId="77777777" w:rsidR="00456B58" w:rsidRDefault="00456B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622D" w14:textId="77777777" w:rsidR="00456B58" w:rsidRDefault="00456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447FC7"/>
    <w:multiLevelType w:val="hybridMultilevel"/>
    <w:tmpl w:val="79B244BC"/>
    <w:lvl w:ilvl="0" w:tplc="7A1CDFFC">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33D39"/>
    <w:multiLevelType w:val="hybridMultilevel"/>
    <w:tmpl w:val="7F50920E"/>
    <w:lvl w:ilvl="0" w:tplc="18090001">
      <w:start w:val="1"/>
      <w:numFmt w:val="bullet"/>
      <w:lvlText w:val=""/>
      <w:lvlJc w:val="left"/>
      <w:pPr>
        <w:ind w:left="1502" w:hanging="360"/>
      </w:pPr>
      <w:rPr>
        <w:rFonts w:ascii="Symbol" w:hAnsi="Symbol" w:hint="default"/>
      </w:rPr>
    </w:lvl>
    <w:lvl w:ilvl="1" w:tplc="080C0003">
      <w:start w:val="1"/>
      <w:numFmt w:val="bullet"/>
      <w:lvlText w:val="o"/>
      <w:lvlJc w:val="left"/>
      <w:pPr>
        <w:ind w:left="2222" w:hanging="360"/>
      </w:pPr>
      <w:rPr>
        <w:rFonts w:ascii="Courier New" w:hAnsi="Courier New" w:cs="Courier New" w:hint="default"/>
      </w:rPr>
    </w:lvl>
    <w:lvl w:ilvl="2" w:tplc="080C0005" w:tentative="1">
      <w:start w:val="1"/>
      <w:numFmt w:val="bullet"/>
      <w:lvlText w:val=""/>
      <w:lvlJc w:val="left"/>
      <w:pPr>
        <w:ind w:left="2942" w:hanging="360"/>
      </w:pPr>
      <w:rPr>
        <w:rFonts w:ascii="Wingdings" w:hAnsi="Wingdings" w:hint="default"/>
      </w:rPr>
    </w:lvl>
    <w:lvl w:ilvl="3" w:tplc="080C0001" w:tentative="1">
      <w:start w:val="1"/>
      <w:numFmt w:val="bullet"/>
      <w:lvlText w:val=""/>
      <w:lvlJc w:val="left"/>
      <w:pPr>
        <w:ind w:left="3662" w:hanging="360"/>
      </w:pPr>
      <w:rPr>
        <w:rFonts w:ascii="Symbol" w:hAnsi="Symbol" w:hint="default"/>
      </w:rPr>
    </w:lvl>
    <w:lvl w:ilvl="4" w:tplc="080C0003" w:tentative="1">
      <w:start w:val="1"/>
      <w:numFmt w:val="bullet"/>
      <w:lvlText w:val="o"/>
      <w:lvlJc w:val="left"/>
      <w:pPr>
        <w:ind w:left="4382" w:hanging="360"/>
      </w:pPr>
      <w:rPr>
        <w:rFonts w:ascii="Courier New" w:hAnsi="Courier New" w:cs="Courier New" w:hint="default"/>
      </w:rPr>
    </w:lvl>
    <w:lvl w:ilvl="5" w:tplc="080C0005" w:tentative="1">
      <w:start w:val="1"/>
      <w:numFmt w:val="bullet"/>
      <w:lvlText w:val=""/>
      <w:lvlJc w:val="left"/>
      <w:pPr>
        <w:ind w:left="5102" w:hanging="360"/>
      </w:pPr>
      <w:rPr>
        <w:rFonts w:ascii="Wingdings" w:hAnsi="Wingdings" w:hint="default"/>
      </w:rPr>
    </w:lvl>
    <w:lvl w:ilvl="6" w:tplc="080C0001" w:tentative="1">
      <w:start w:val="1"/>
      <w:numFmt w:val="bullet"/>
      <w:lvlText w:val=""/>
      <w:lvlJc w:val="left"/>
      <w:pPr>
        <w:ind w:left="5822" w:hanging="360"/>
      </w:pPr>
      <w:rPr>
        <w:rFonts w:ascii="Symbol" w:hAnsi="Symbol" w:hint="default"/>
      </w:rPr>
    </w:lvl>
    <w:lvl w:ilvl="7" w:tplc="080C0003" w:tentative="1">
      <w:start w:val="1"/>
      <w:numFmt w:val="bullet"/>
      <w:lvlText w:val="o"/>
      <w:lvlJc w:val="left"/>
      <w:pPr>
        <w:ind w:left="6542" w:hanging="360"/>
      </w:pPr>
      <w:rPr>
        <w:rFonts w:ascii="Courier New" w:hAnsi="Courier New" w:cs="Courier New" w:hint="default"/>
      </w:rPr>
    </w:lvl>
    <w:lvl w:ilvl="8" w:tplc="080C0005" w:tentative="1">
      <w:start w:val="1"/>
      <w:numFmt w:val="bullet"/>
      <w:lvlText w:val=""/>
      <w:lvlJc w:val="left"/>
      <w:pPr>
        <w:ind w:left="7262" w:hanging="360"/>
      </w:pPr>
      <w:rPr>
        <w:rFonts w:ascii="Wingdings" w:hAnsi="Wingdings" w:hint="default"/>
      </w:rPr>
    </w:lvl>
  </w:abstractNum>
  <w:abstractNum w:abstractNumId="16"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8"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0"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3" w15:restartNumberingAfterBreak="0">
    <w:nsid w:val="5D357C05"/>
    <w:multiLevelType w:val="hybridMultilevel"/>
    <w:tmpl w:val="4AE00ABE"/>
    <w:lvl w:ilvl="0" w:tplc="18090001">
      <w:start w:val="1"/>
      <w:numFmt w:val="bullet"/>
      <w:lvlText w:val=""/>
      <w:lvlJc w:val="left"/>
      <w:pPr>
        <w:ind w:left="1211" w:hanging="360"/>
      </w:pPr>
      <w:rPr>
        <w:rFonts w:ascii="Symbol" w:hAnsi="Symbol" w:hint="default"/>
      </w:rPr>
    </w:lvl>
    <w:lvl w:ilvl="1" w:tplc="18090003">
      <w:start w:val="1"/>
      <w:numFmt w:val="bullet"/>
      <w:lvlText w:val="o"/>
      <w:lvlJc w:val="left"/>
      <w:pPr>
        <w:ind w:left="1931" w:hanging="360"/>
      </w:pPr>
      <w:rPr>
        <w:rFonts w:ascii="Courier New" w:hAnsi="Courier New" w:cs="Courier New" w:hint="default"/>
      </w:rPr>
    </w:lvl>
    <w:lvl w:ilvl="2" w:tplc="18090005">
      <w:start w:val="1"/>
      <w:numFmt w:val="bullet"/>
      <w:lvlText w:val=""/>
      <w:lvlJc w:val="left"/>
      <w:pPr>
        <w:ind w:left="2651" w:hanging="360"/>
      </w:pPr>
      <w:rPr>
        <w:rFonts w:ascii="Wingdings" w:hAnsi="Wingdings" w:hint="default"/>
      </w:rPr>
    </w:lvl>
    <w:lvl w:ilvl="3" w:tplc="18090001">
      <w:start w:val="1"/>
      <w:numFmt w:val="bullet"/>
      <w:lvlText w:val=""/>
      <w:lvlJc w:val="left"/>
      <w:pPr>
        <w:ind w:left="3371" w:hanging="360"/>
      </w:pPr>
      <w:rPr>
        <w:rFonts w:ascii="Symbol" w:hAnsi="Symbol" w:hint="default"/>
      </w:rPr>
    </w:lvl>
    <w:lvl w:ilvl="4" w:tplc="18090003">
      <w:start w:val="1"/>
      <w:numFmt w:val="bullet"/>
      <w:lvlText w:val="o"/>
      <w:lvlJc w:val="left"/>
      <w:pPr>
        <w:ind w:left="4091" w:hanging="360"/>
      </w:pPr>
      <w:rPr>
        <w:rFonts w:ascii="Courier New" w:hAnsi="Courier New" w:cs="Courier New" w:hint="default"/>
      </w:rPr>
    </w:lvl>
    <w:lvl w:ilvl="5" w:tplc="18090005">
      <w:start w:val="1"/>
      <w:numFmt w:val="bullet"/>
      <w:lvlText w:val=""/>
      <w:lvlJc w:val="left"/>
      <w:pPr>
        <w:ind w:left="4811" w:hanging="360"/>
      </w:pPr>
      <w:rPr>
        <w:rFonts w:ascii="Wingdings" w:hAnsi="Wingdings" w:hint="default"/>
      </w:rPr>
    </w:lvl>
    <w:lvl w:ilvl="6" w:tplc="18090001">
      <w:start w:val="1"/>
      <w:numFmt w:val="bullet"/>
      <w:lvlText w:val=""/>
      <w:lvlJc w:val="left"/>
      <w:pPr>
        <w:ind w:left="5531" w:hanging="360"/>
      </w:pPr>
      <w:rPr>
        <w:rFonts w:ascii="Symbol" w:hAnsi="Symbol" w:hint="default"/>
      </w:rPr>
    </w:lvl>
    <w:lvl w:ilvl="7" w:tplc="18090003">
      <w:start w:val="1"/>
      <w:numFmt w:val="bullet"/>
      <w:lvlText w:val="o"/>
      <w:lvlJc w:val="left"/>
      <w:pPr>
        <w:ind w:left="6251" w:hanging="360"/>
      </w:pPr>
      <w:rPr>
        <w:rFonts w:ascii="Courier New" w:hAnsi="Courier New" w:cs="Courier New" w:hint="default"/>
      </w:rPr>
    </w:lvl>
    <w:lvl w:ilvl="8" w:tplc="18090005">
      <w:start w:val="1"/>
      <w:numFmt w:val="bullet"/>
      <w:lvlText w:val=""/>
      <w:lvlJc w:val="left"/>
      <w:pPr>
        <w:ind w:left="6971" w:hanging="360"/>
      </w:pPr>
      <w:rPr>
        <w:rFonts w:ascii="Wingdings" w:hAnsi="Wingdings" w:hint="default"/>
      </w:rPr>
    </w:lvl>
  </w:abstractNum>
  <w:abstractNum w:abstractNumId="24"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8"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4"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490020891">
    <w:abstractNumId w:val="6"/>
  </w:num>
  <w:num w:numId="2" w16cid:durableId="1406343035">
    <w:abstractNumId w:val="1"/>
  </w:num>
  <w:num w:numId="3" w16cid:durableId="917592735">
    <w:abstractNumId w:val="33"/>
  </w:num>
  <w:num w:numId="4" w16cid:durableId="2023119816">
    <w:abstractNumId w:val="13"/>
  </w:num>
  <w:num w:numId="5" w16cid:durableId="332033507">
    <w:abstractNumId w:val="27"/>
  </w:num>
  <w:num w:numId="6" w16cid:durableId="388916332">
    <w:abstractNumId w:val="11"/>
  </w:num>
  <w:num w:numId="7" w16cid:durableId="1496338457">
    <w:abstractNumId w:val="5"/>
  </w:num>
  <w:num w:numId="8" w16cid:durableId="1345354450">
    <w:abstractNumId w:val="17"/>
  </w:num>
  <w:num w:numId="9" w16cid:durableId="480731553">
    <w:abstractNumId w:val="32"/>
  </w:num>
  <w:num w:numId="10" w16cid:durableId="696274524">
    <w:abstractNumId w:val="22"/>
  </w:num>
  <w:num w:numId="11" w16cid:durableId="1466315590">
    <w:abstractNumId w:val="25"/>
  </w:num>
  <w:num w:numId="12" w16cid:durableId="447939271">
    <w:abstractNumId w:val="12"/>
  </w:num>
  <w:num w:numId="13" w16cid:durableId="1323196111">
    <w:abstractNumId w:val="18"/>
  </w:num>
  <w:num w:numId="14" w16cid:durableId="987250077">
    <w:abstractNumId w:val="28"/>
  </w:num>
  <w:num w:numId="15" w16cid:durableId="652637043">
    <w:abstractNumId w:val="16"/>
  </w:num>
  <w:num w:numId="16" w16cid:durableId="1030255984">
    <w:abstractNumId w:val="34"/>
  </w:num>
  <w:num w:numId="17" w16cid:durableId="2127652203">
    <w:abstractNumId w:val="31"/>
  </w:num>
  <w:num w:numId="18" w16cid:durableId="1573781773">
    <w:abstractNumId w:val="20"/>
  </w:num>
  <w:num w:numId="19" w16cid:durableId="265769409">
    <w:abstractNumId w:val="21"/>
  </w:num>
  <w:num w:numId="20" w16cid:durableId="2049255120">
    <w:abstractNumId w:val="26"/>
  </w:num>
  <w:num w:numId="21" w16cid:durableId="699860688">
    <w:abstractNumId w:val="3"/>
  </w:num>
  <w:num w:numId="22" w16cid:durableId="995643773">
    <w:abstractNumId w:val="4"/>
  </w:num>
  <w:num w:numId="23" w16cid:durableId="637999639">
    <w:abstractNumId w:val="19"/>
  </w:num>
  <w:num w:numId="24" w16cid:durableId="1986010908">
    <w:abstractNumId w:val="29"/>
  </w:num>
  <w:num w:numId="25" w16cid:durableId="1993364252">
    <w:abstractNumId w:val="10"/>
  </w:num>
  <w:num w:numId="26" w16cid:durableId="2069955969">
    <w:abstractNumId w:val="30"/>
  </w:num>
  <w:num w:numId="27" w16cid:durableId="682517721">
    <w:abstractNumId w:val="8"/>
  </w:num>
  <w:num w:numId="28" w16cid:durableId="822696978">
    <w:abstractNumId w:val="2"/>
  </w:num>
  <w:num w:numId="29" w16cid:durableId="826939354">
    <w:abstractNumId w:val="14"/>
  </w:num>
  <w:num w:numId="30" w16cid:durableId="130828516">
    <w:abstractNumId w:val="24"/>
  </w:num>
  <w:num w:numId="31" w16cid:durableId="1433013386">
    <w:abstractNumId w:val="33"/>
  </w:num>
  <w:num w:numId="32" w16cid:durableId="2033190027">
    <w:abstractNumId w:val="9"/>
  </w:num>
  <w:num w:numId="33" w16cid:durableId="1156456886">
    <w:abstractNumId w:val="23"/>
  </w:num>
  <w:num w:numId="34" w16cid:durableId="1346857659">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AD"/>
    <w:rsid w:val="000023BA"/>
    <w:rsid w:val="000024E2"/>
    <w:rsid w:val="0000279C"/>
    <w:rsid w:val="00002BE4"/>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5E7"/>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74B"/>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29A"/>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247"/>
    <w:rsid w:val="0003243D"/>
    <w:rsid w:val="000326E6"/>
    <w:rsid w:val="00032766"/>
    <w:rsid w:val="000328B1"/>
    <w:rsid w:val="00032C4F"/>
    <w:rsid w:val="00032DC3"/>
    <w:rsid w:val="00032E4F"/>
    <w:rsid w:val="00032EDB"/>
    <w:rsid w:val="00033145"/>
    <w:rsid w:val="000331B8"/>
    <w:rsid w:val="000332FE"/>
    <w:rsid w:val="000337C2"/>
    <w:rsid w:val="00033EA1"/>
    <w:rsid w:val="00033F57"/>
    <w:rsid w:val="000340CA"/>
    <w:rsid w:val="0003483E"/>
    <w:rsid w:val="000348CA"/>
    <w:rsid w:val="0003496F"/>
    <w:rsid w:val="00034992"/>
    <w:rsid w:val="00034B24"/>
    <w:rsid w:val="00034CA0"/>
    <w:rsid w:val="00034EB6"/>
    <w:rsid w:val="00034FF3"/>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37E5A"/>
    <w:rsid w:val="000399F3"/>
    <w:rsid w:val="00040060"/>
    <w:rsid w:val="00040281"/>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6E0"/>
    <w:rsid w:val="00042A8B"/>
    <w:rsid w:val="00042F4E"/>
    <w:rsid w:val="000431FF"/>
    <w:rsid w:val="000434BD"/>
    <w:rsid w:val="000436A8"/>
    <w:rsid w:val="00043B7B"/>
    <w:rsid w:val="00043E36"/>
    <w:rsid w:val="000443C3"/>
    <w:rsid w:val="0004455F"/>
    <w:rsid w:val="00044576"/>
    <w:rsid w:val="00044806"/>
    <w:rsid w:val="000448CC"/>
    <w:rsid w:val="000449D4"/>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2D7"/>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3D0"/>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45"/>
    <w:rsid w:val="000619C8"/>
    <w:rsid w:val="00061FAC"/>
    <w:rsid w:val="00061FD0"/>
    <w:rsid w:val="00062240"/>
    <w:rsid w:val="000622F5"/>
    <w:rsid w:val="00062919"/>
    <w:rsid w:val="0006296B"/>
    <w:rsid w:val="000629E6"/>
    <w:rsid w:val="00062BE7"/>
    <w:rsid w:val="00063101"/>
    <w:rsid w:val="0006368A"/>
    <w:rsid w:val="00063857"/>
    <w:rsid w:val="00063874"/>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1FE3"/>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A73"/>
    <w:rsid w:val="00075C60"/>
    <w:rsid w:val="000771B4"/>
    <w:rsid w:val="00077252"/>
    <w:rsid w:val="000776B1"/>
    <w:rsid w:val="000776D8"/>
    <w:rsid w:val="00077912"/>
    <w:rsid w:val="00077B88"/>
    <w:rsid w:val="00077BFB"/>
    <w:rsid w:val="00077C62"/>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18CE"/>
    <w:rsid w:val="000820C9"/>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51D"/>
    <w:rsid w:val="0008577B"/>
    <w:rsid w:val="00085847"/>
    <w:rsid w:val="00085BE8"/>
    <w:rsid w:val="00085E04"/>
    <w:rsid w:val="0008608A"/>
    <w:rsid w:val="000863ED"/>
    <w:rsid w:val="00086911"/>
    <w:rsid w:val="00086C30"/>
    <w:rsid w:val="00086C77"/>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2F3E"/>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CD8"/>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D34"/>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2F2"/>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191"/>
    <w:rsid w:val="000C4440"/>
    <w:rsid w:val="000C45D5"/>
    <w:rsid w:val="000C4733"/>
    <w:rsid w:val="000C4791"/>
    <w:rsid w:val="000C4804"/>
    <w:rsid w:val="000C486E"/>
    <w:rsid w:val="000C4AC1"/>
    <w:rsid w:val="000C4BEC"/>
    <w:rsid w:val="000C4CD3"/>
    <w:rsid w:val="000C52B2"/>
    <w:rsid w:val="000C53D3"/>
    <w:rsid w:val="000C53D4"/>
    <w:rsid w:val="000C5518"/>
    <w:rsid w:val="000C5720"/>
    <w:rsid w:val="000C5898"/>
    <w:rsid w:val="000C61AB"/>
    <w:rsid w:val="000C628E"/>
    <w:rsid w:val="000C6577"/>
    <w:rsid w:val="000C6610"/>
    <w:rsid w:val="000C6832"/>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0E06"/>
    <w:rsid w:val="000D107B"/>
    <w:rsid w:val="000D1461"/>
    <w:rsid w:val="000D1C63"/>
    <w:rsid w:val="000D20A1"/>
    <w:rsid w:val="000D20AB"/>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A4"/>
    <w:rsid w:val="000D47E4"/>
    <w:rsid w:val="000D4894"/>
    <w:rsid w:val="000D4E86"/>
    <w:rsid w:val="000D4EB1"/>
    <w:rsid w:val="000D51B6"/>
    <w:rsid w:val="000D5487"/>
    <w:rsid w:val="000D5579"/>
    <w:rsid w:val="000D56B4"/>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0B3"/>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4BC"/>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E2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A"/>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818"/>
    <w:rsid w:val="00120E34"/>
    <w:rsid w:val="00120E8D"/>
    <w:rsid w:val="0012121E"/>
    <w:rsid w:val="00121335"/>
    <w:rsid w:val="00121382"/>
    <w:rsid w:val="00121541"/>
    <w:rsid w:val="00121B5E"/>
    <w:rsid w:val="00121E93"/>
    <w:rsid w:val="00121EDE"/>
    <w:rsid w:val="00121F5D"/>
    <w:rsid w:val="00122706"/>
    <w:rsid w:val="00122B44"/>
    <w:rsid w:val="00123681"/>
    <w:rsid w:val="0012371A"/>
    <w:rsid w:val="001238F5"/>
    <w:rsid w:val="00123957"/>
    <w:rsid w:val="00123AB0"/>
    <w:rsid w:val="00123BDF"/>
    <w:rsid w:val="00123D65"/>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C26"/>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AA4"/>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633"/>
    <w:rsid w:val="00135DC8"/>
    <w:rsid w:val="00135F3C"/>
    <w:rsid w:val="001361F1"/>
    <w:rsid w:val="001363F1"/>
    <w:rsid w:val="001364BC"/>
    <w:rsid w:val="00136660"/>
    <w:rsid w:val="001366A2"/>
    <w:rsid w:val="001366C2"/>
    <w:rsid w:val="00136D26"/>
    <w:rsid w:val="001370BE"/>
    <w:rsid w:val="00137141"/>
    <w:rsid w:val="00137319"/>
    <w:rsid w:val="00137470"/>
    <w:rsid w:val="00140405"/>
    <w:rsid w:val="001409FC"/>
    <w:rsid w:val="00140A06"/>
    <w:rsid w:val="00140B17"/>
    <w:rsid w:val="00140B5B"/>
    <w:rsid w:val="00140B81"/>
    <w:rsid w:val="00140C28"/>
    <w:rsid w:val="00140C86"/>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4FC"/>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0F7"/>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6EC"/>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1FF5"/>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E46"/>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2FF6"/>
    <w:rsid w:val="001831CD"/>
    <w:rsid w:val="001832C4"/>
    <w:rsid w:val="00183592"/>
    <w:rsid w:val="0018363F"/>
    <w:rsid w:val="00183764"/>
    <w:rsid w:val="001839A0"/>
    <w:rsid w:val="00183A22"/>
    <w:rsid w:val="00183EF3"/>
    <w:rsid w:val="00184357"/>
    <w:rsid w:val="001843EF"/>
    <w:rsid w:val="001844BB"/>
    <w:rsid w:val="001844C3"/>
    <w:rsid w:val="00184870"/>
    <w:rsid w:val="00184950"/>
    <w:rsid w:val="00184F30"/>
    <w:rsid w:val="00184FD0"/>
    <w:rsid w:val="00185032"/>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8F"/>
    <w:rsid w:val="00187B9B"/>
    <w:rsid w:val="00187E15"/>
    <w:rsid w:val="00187E5B"/>
    <w:rsid w:val="00187E74"/>
    <w:rsid w:val="00187ECD"/>
    <w:rsid w:val="00187F9D"/>
    <w:rsid w:val="00187FBE"/>
    <w:rsid w:val="00190163"/>
    <w:rsid w:val="0019055C"/>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4E8"/>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98F"/>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163"/>
    <w:rsid w:val="001B76B5"/>
    <w:rsid w:val="001B7802"/>
    <w:rsid w:val="001B7875"/>
    <w:rsid w:val="001B7C54"/>
    <w:rsid w:val="001B7D87"/>
    <w:rsid w:val="001B7E7B"/>
    <w:rsid w:val="001C0463"/>
    <w:rsid w:val="001C04FE"/>
    <w:rsid w:val="001C0985"/>
    <w:rsid w:val="001C10DE"/>
    <w:rsid w:val="001C11EB"/>
    <w:rsid w:val="001C13D8"/>
    <w:rsid w:val="001C15ED"/>
    <w:rsid w:val="001C17B1"/>
    <w:rsid w:val="001C18FB"/>
    <w:rsid w:val="001C19DF"/>
    <w:rsid w:val="001C1B45"/>
    <w:rsid w:val="001C1E4F"/>
    <w:rsid w:val="001C1FB2"/>
    <w:rsid w:val="001C1FCF"/>
    <w:rsid w:val="001C21A8"/>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1B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1C6F"/>
    <w:rsid w:val="001D27B6"/>
    <w:rsid w:val="001D2BA0"/>
    <w:rsid w:val="001D2CBC"/>
    <w:rsid w:val="001D314B"/>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5D3"/>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F6D"/>
    <w:rsid w:val="001E1518"/>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6C2"/>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0E39"/>
    <w:rsid w:val="001F1458"/>
    <w:rsid w:val="001F1A7E"/>
    <w:rsid w:val="001F1ACF"/>
    <w:rsid w:val="001F1F32"/>
    <w:rsid w:val="001F201C"/>
    <w:rsid w:val="001F219E"/>
    <w:rsid w:val="001F2403"/>
    <w:rsid w:val="001F25EF"/>
    <w:rsid w:val="001F28BF"/>
    <w:rsid w:val="001F28DC"/>
    <w:rsid w:val="001F2C9C"/>
    <w:rsid w:val="001F34E1"/>
    <w:rsid w:val="001F37CE"/>
    <w:rsid w:val="001F3B91"/>
    <w:rsid w:val="001F3D7C"/>
    <w:rsid w:val="001F3FA6"/>
    <w:rsid w:val="001F4229"/>
    <w:rsid w:val="001F4355"/>
    <w:rsid w:val="001F44A3"/>
    <w:rsid w:val="001F452E"/>
    <w:rsid w:val="001F475C"/>
    <w:rsid w:val="001F4A26"/>
    <w:rsid w:val="001F4BD7"/>
    <w:rsid w:val="001F4C53"/>
    <w:rsid w:val="001F4D28"/>
    <w:rsid w:val="001F4E11"/>
    <w:rsid w:val="001F4E1E"/>
    <w:rsid w:val="001F4F9A"/>
    <w:rsid w:val="001F5105"/>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525"/>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0D"/>
    <w:rsid w:val="00201DC2"/>
    <w:rsid w:val="0020232A"/>
    <w:rsid w:val="002026BF"/>
    <w:rsid w:val="00202A30"/>
    <w:rsid w:val="00202A5F"/>
    <w:rsid w:val="00202DA7"/>
    <w:rsid w:val="00202F74"/>
    <w:rsid w:val="0020318B"/>
    <w:rsid w:val="002031AB"/>
    <w:rsid w:val="00203310"/>
    <w:rsid w:val="00203447"/>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08D"/>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2AE"/>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B2D"/>
    <w:rsid w:val="00214E34"/>
    <w:rsid w:val="00215065"/>
    <w:rsid w:val="002150B5"/>
    <w:rsid w:val="0021524D"/>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B7F"/>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D67"/>
    <w:rsid w:val="00222E0F"/>
    <w:rsid w:val="0022357E"/>
    <w:rsid w:val="00223715"/>
    <w:rsid w:val="002238D6"/>
    <w:rsid w:val="00223AD4"/>
    <w:rsid w:val="00223C56"/>
    <w:rsid w:val="00223E4D"/>
    <w:rsid w:val="00224042"/>
    <w:rsid w:val="00224502"/>
    <w:rsid w:val="0022467C"/>
    <w:rsid w:val="0022491A"/>
    <w:rsid w:val="002249AC"/>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A44"/>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7E8"/>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B13"/>
    <w:rsid w:val="00251E29"/>
    <w:rsid w:val="00251E42"/>
    <w:rsid w:val="00252029"/>
    <w:rsid w:val="00252072"/>
    <w:rsid w:val="00252528"/>
    <w:rsid w:val="00252719"/>
    <w:rsid w:val="00252890"/>
    <w:rsid w:val="00252898"/>
    <w:rsid w:val="00252CC6"/>
    <w:rsid w:val="00252D4E"/>
    <w:rsid w:val="00252F33"/>
    <w:rsid w:val="00252FE9"/>
    <w:rsid w:val="00253A58"/>
    <w:rsid w:val="00253F47"/>
    <w:rsid w:val="00253F7D"/>
    <w:rsid w:val="00253FB8"/>
    <w:rsid w:val="00254470"/>
    <w:rsid w:val="002544C2"/>
    <w:rsid w:val="0025459C"/>
    <w:rsid w:val="002546A9"/>
    <w:rsid w:val="00254775"/>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CE6"/>
    <w:rsid w:val="00256D78"/>
    <w:rsid w:val="00256F85"/>
    <w:rsid w:val="00257178"/>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262"/>
    <w:rsid w:val="00261486"/>
    <w:rsid w:val="00261624"/>
    <w:rsid w:val="0026196C"/>
    <w:rsid w:val="00261B14"/>
    <w:rsid w:val="00261C78"/>
    <w:rsid w:val="00261D2F"/>
    <w:rsid w:val="00261DD1"/>
    <w:rsid w:val="00261FEE"/>
    <w:rsid w:val="002625B1"/>
    <w:rsid w:val="002625CD"/>
    <w:rsid w:val="0026269C"/>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A02"/>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9EE"/>
    <w:rsid w:val="00272A3D"/>
    <w:rsid w:val="00272D3A"/>
    <w:rsid w:val="00272F67"/>
    <w:rsid w:val="0027312B"/>
    <w:rsid w:val="00273231"/>
    <w:rsid w:val="0027352C"/>
    <w:rsid w:val="00273A74"/>
    <w:rsid w:val="00273A98"/>
    <w:rsid w:val="00273C44"/>
    <w:rsid w:val="00273C57"/>
    <w:rsid w:val="00273F7F"/>
    <w:rsid w:val="00274104"/>
    <w:rsid w:val="00274C62"/>
    <w:rsid w:val="00274E39"/>
    <w:rsid w:val="00274E49"/>
    <w:rsid w:val="00275026"/>
    <w:rsid w:val="0027504D"/>
    <w:rsid w:val="002750EB"/>
    <w:rsid w:val="0027528D"/>
    <w:rsid w:val="00275370"/>
    <w:rsid w:val="002756D4"/>
    <w:rsid w:val="00275BAA"/>
    <w:rsid w:val="00275E50"/>
    <w:rsid w:val="00275F81"/>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4B"/>
    <w:rsid w:val="00281D74"/>
    <w:rsid w:val="002822DD"/>
    <w:rsid w:val="002829CC"/>
    <w:rsid w:val="00282E90"/>
    <w:rsid w:val="00282F78"/>
    <w:rsid w:val="00282FDF"/>
    <w:rsid w:val="0028302D"/>
    <w:rsid w:val="0028348D"/>
    <w:rsid w:val="00283730"/>
    <w:rsid w:val="002837C6"/>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1D"/>
    <w:rsid w:val="0029039B"/>
    <w:rsid w:val="0029098C"/>
    <w:rsid w:val="00290AAD"/>
    <w:rsid w:val="00290B60"/>
    <w:rsid w:val="00290E98"/>
    <w:rsid w:val="002910BF"/>
    <w:rsid w:val="002910E0"/>
    <w:rsid w:val="00291229"/>
    <w:rsid w:val="002914DF"/>
    <w:rsid w:val="002914FC"/>
    <w:rsid w:val="00291DA7"/>
    <w:rsid w:val="00292030"/>
    <w:rsid w:val="002920D6"/>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BB"/>
    <w:rsid w:val="002A18D2"/>
    <w:rsid w:val="002A19A2"/>
    <w:rsid w:val="002A1B34"/>
    <w:rsid w:val="002A1C16"/>
    <w:rsid w:val="002A2787"/>
    <w:rsid w:val="002A2B61"/>
    <w:rsid w:val="002A313A"/>
    <w:rsid w:val="002A3179"/>
    <w:rsid w:val="002A3257"/>
    <w:rsid w:val="002A3292"/>
    <w:rsid w:val="002A3A49"/>
    <w:rsid w:val="002A3CF7"/>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DB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BF9"/>
    <w:rsid w:val="002B5C23"/>
    <w:rsid w:val="002B606D"/>
    <w:rsid w:val="002B60CB"/>
    <w:rsid w:val="002B627D"/>
    <w:rsid w:val="002B649E"/>
    <w:rsid w:val="002B64A3"/>
    <w:rsid w:val="002B65C7"/>
    <w:rsid w:val="002B666B"/>
    <w:rsid w:val="002B6882"/>
    <w:rsid w:val="002B6B4F"/>
    <w:rsid w:val="002B6C64"/>
    <w:rsid w:val="002B6CFB"/>
    <w:rsid w:val="002B6D3A"/>
    <w:rsid w:val="002B6E97"/>
    <w:rsid w:val="002B7184"/>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142"/>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32"/>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C04"/>
    <w:rsid w:val="002D3F07"/>
    <w:rsid w:val="002D409F"/>
    <w:rsid w:val="002D40F0"/>
    <w:rsid w:val="002D4273"/>
    <w:rsid w:val="002D46A0"/>
    <w:rsid w:val="002D4719"/>
    <w:rsid w:val="002D5184"/>
    <w:rsid w:val="002D51A3"/>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A31"/>
    <w:rsid w:val="002D7B18"/>
    <w:rsid w:val="002D7B49"/>
    <w:rsid w:val="002E090F"/>
    <w:rsid w:val="002E0967"/>
    <w:rsid w:val="002E0F16"/>
    <w:rsid w:val="002E0FA2"/>
    <w:rsid w:val="002E1107"/>
    <w:rsid w:val="002E13A0"/>
    <w:rsid w:val="002E185A"/>
    <w:rsid w:val="002E1C42"/>
    <w:rsid w:val="002E1E26"/>
    <w:rsid w:val="002E2748"/>
    <w:rsid w:val="002E2A70"/>
    <w:rsid w:val="002E2B77"/>
    <w:rsid w:val="002E33BF"/>
    <w:rsid w:val="002E3693"/>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37"/>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1B0"/>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2FE8"/>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251"/>
    <w:rsid w:val="00310475"/>
    <w:rsid w:val="003107E7"/>
    <w:rsid w:val="00310AF2"/>
    <w:rsid w:val="00310CE4"/>
    <w:rsid w:val="0031100E"/>
    <w:rsid w:val="00311194"/>
    <w:rsid w:val="0031125F"/>
    <w:rsid w:val="0031136C"/>
    <w:rsid w:val="0031177F"/>
    <w:rsid w:val="00311B7B"/>
    <w:rsid w:val="00311F51"/>
    <w:rsid w:val="003122E8"/>
    <w:rsid w:val="003123F8"/>
    <w:rsid w:val="00312635"/>
    <w:rsid w:val="00312B96"/>
    <w:rsid w:val="00312BA3"/>
    <w:rsid w:val="00313B7C"/>
    <w:rsid w:val="00313C32"/>
    <w:rsid w:val="00314017"/>
    <w:rsid w:val="00314034"/>
    <w:rsid w:val="00314397"/>
    <w:rsid w:val="003144BA"/>
    <w:rsid w:val="00314523"/>
    <w:rsid w:val="00314645"/>
    <w:rsid w:val="003149A3"/>
    <w:rsid w:val="00314B2A"/>
    <w:rsid w:val="00314F63"/>
    <w:rsid w:val="00315000"/>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94E"/>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F1"/>
    <w:rsid w:val="0032655A"/>
    <w:rsid w:val="003268E8"/>
    <w:rsid w:val="00326974"/>
    <w:rsid w:val="00326C01"/>
    <w:rsid w:val="00326D93"/>
    <w:rsid w:val="003273F4"/>
    <w:rsid w:val="0032744B"/>
    <w:rsid w:val="00327607"/>
    <w:rsid w:val="00327618"/>
    <w:rsid w:val="00327764"/>
    <w:rsid w:val="003279D2"/>
    <w:rsid w:val="00327C5F"/>
    <w:rsid w:val="00327FFA"/>
    <w:rsid w:val="0033007A"/>
    <w:rsid w:val="00330315"/>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1A2"/>
    <w:rsid w:val="003364E2"/>
    <w:rsid w:val="00336662"/>
    <w:rsid w:val="003366AE"/>
    <w:rsid w:val="003369EE"/>
    <w:rsid w:val="00336A2E"/>
    <w:rsid w:val="00336A91"/>
    <w:rsid w:val="00336DB6"/>
    <w:rsid w:val="00336EFE"/>
    <w:rsid w:val="00336F08"/>
    <w:rsid w:val="003370CB"/>
    <w:rsid w:val="0033723E"/>
    <w:rsid w:val="0033735C"/>
    <w:rsid w:val="00337910"/>
    <w:rsid w:val="0033798E"/>
    <w:rsid w:val="00337F55"/>
    <w:rsid w:val="00337F79"/>
    <w:rsid w:val="0034027E"/>
    <w:rsid w:val="0034046B"/>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4EB"/>
    <w:rsid w:val="003458B8"/>
    <w:rsid w:val="00345B6E"/>
    <w:rsid w:val="003461F2"/>
    <w:rsid w:val="00346411"/>
    <w:rsid w:val="003466AD"/>
    <w:rsid w:val="003469AA"/>
    <w:rsid w:val="00346F1B"/>
    <w:rsid w:val="00347337"/>
    <w:rsid w:val="003473BB"/>
    <w:rsid w:val="003473FB"/>
    <w:rsid w:val="00347505"/>
    <w:rsid w:val="00347690"/>
    <w:rsid w:val="00347719"/>
    <w:rsid w:val="00347923"/>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12"/>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0F1"/>
    <w:rsid w:val="00362166"/>
    <w:rsid w:val="003623F6"/>
    <w:rsid w:val="00362556"/>
    <w:rsid w:val="00362709"/>
    <w:rsid w:val="0036283F"/>
    <w:rsid w:val="00362CBC"/>
    <w:rsid w:val="00362F6B"/>
    <w:rsid w:val="00362F78"/>
    <w:rsid w:val="003632FE"/>
    <w:rsid w:val="00363328"/>
    <w:rsid w:val="0036335B"/>
    <w:rsid w:val="003636C5"/>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6A20"/>
    <w:rsid w:val="003671D4"/>
    <w:rsid w:val="00367409"/>
    <w:rsid w:val="00367433"/>
    <w:rsid w:val="0036748C"/>
    <w:rsid w:val="00367716"/>
    <w:rsid w:val="00367745"/>
    <w:rsid w:val="00367816"/>
    <w:rsid w:val="00367ACE"/>
    <w:rsid w:val="00367B01"/>
    <w:rsid w:val="00367DCF"/>
    <w:rsid w:val="00367F9B"/>
    <w:rsid w:val="003700CC"/>
    <w:rsid w:val="00370536"/>
    <w:rsid w:val="003708CB"/>
    <w:rsid w:val="00370E4B"/>
    <w:rsid w:val="00370F6E"/>
    <w:rsid w:val="00371062"/>
    <w:rsid w:val="00371091"/>
    <w:rsid w:val="003714B2"/>
    <w:rsid w:val="00371518"/>
    <w:rsid w:val="0037158B"/>
    <w:rsid w:val="003717F1"/>
    <w:rsid w:val="00371BC0"/>
    <w:rsid w:val="00371ECA"/>
    <w:rsid w:val="0037209F"/>
    <w:rsid w:val="003726B7"/>
    <w:rsid w:val="0037291F"/>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4C7"/>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CD4"/>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847"/>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4A"/>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549"/>
    <w:rsid w:val="003A4954"/>
    <w:rsid w:val="003A4AA7"/>
    <w:rsid w:val="003A4AD7"/>
    <w:rsid w:val="003A4D30"/>
    <w:rsid w:val="003A50F8"/>
    <w:rsid w:val="003A52C4"/>
    <w:rsid w:val="003A5735"/>
    <w:rsid w:val="003A58C7"/>
    <w:rsid w:val="003A5A77"/>
    <w:rsid w:val="003A5ACF"/>
    <w:rsid w:val="003A618E"/>
    <w:rsid w:val="003A66D7"/>
    <w:rsid w:val="003A6CDC"/>
    <w:rsid w:val="003A6D7A"/>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2E6"/>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D60"/>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A22"/>
    <w:rsid w:val="003C4DC1"/>
    <w:rsid w:val="003C4ED1"/>
    <w:rsid w:val="003C4EEA"/>
    <w:rsid w:val="003C511B"/>
    <w:rsid w:val="003C53A9"/>
    <w:rsid w:val="003C53B5"/>
    <w:rsid w:val="003C587F"/>
    <w:rsid w:val="003C5A7A"/>
    <w:rsid w:val="003C5B4C"/>
    <w:rsid w:val="003C6073"/>
    <w:rsid w:val="003C64B5"/>
    <w:rsid w:val="003C64F7"/>
    <w:rsid w:val="003C675B"/>
    <w:rsid w:val="003C6828"/>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5FEC"/>
    <w:rsid w:val="003D6151"/>
    <w:rsid w:val="003D61CE"/>
    <w:rsid w:val="003D6235"/>
    <w:rsid w:val="003D6672"/>
    <w:rsid w:val="003D670E"/>
    <w:rsid w:val="003D684E"/>
    <w:rsid w:val="003D690B"/>
    <w:rsid w:val="003D69FF"/>
    <w:rsid w:val="003D6C91"/>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475"/>
    <w:rsid w:val="003E2540"/>
    <w:rsid w:val="003E2AA8"/>
    <w:rsid w:val="003E2D9E"/>
    <w:rsid w:val="003E2ED0"/>
    <w:rsid w:val="003E3331"/>
    <w:rsid w:val="003E33DF"/>
    <w:rsid w:val="003E35BF"/>
    <w:rsid w:val="003E3637"/>
    <w:rsid w:val="003E3860"/>
    <w:rsid w:val="003E3A1D"/>
    <w:rsid w:val="003E3A8B"/>
    <w:rsid w:val="003E3B82"/>
    <w:rsid w:val="003E3C4D"/>
    <w:rsid w:val="003E3CC2"/>
    <w:rsid w:val="003E404F"/>
    <w:rsid w:val="003E4096"/>
    <w:rsid w:val="003E41D5"/>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29"/>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84"/>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3EF7"/>
    <w:rsid w:val="00404053"/>
    <w:rsid w:val="004046CF"/>
    <w:rsid w:val="00404744"/>
    <w:rsid w:val="004047F2"/>
    <w:rsid w:val="0040483C"/>
    <w:rsid w:val="00404BD5"/>
    <w:rsid w:val="00404F0C"/>
    <w:rsid w:val="00404FF8"/>
    <w:rsid w:val="00405095"/>
    <w:rsid w:val="0040521E"/>
    <w:rsid w:val="00405251"/>
    <w:rsid w:val="00405329"/>
    <w:rsid w:val="00405562"/>
    <w:rsid w:val="004059E0"/>
    <w:rsid w:val="00405C11"/>
    <w:rsid w:val="00406009"/>
    <w:rsid w:val="004065C4"/>
    <w:rsid w:val="004066EE"/>
    <w:rsid w:val="00406765"/>
    <w:rsid w:val="00406814"/>
    <w:rsid w:val="00406B99"/>
    <w:rsid w:val="00406E5B"/>
    <w:rsid w:val="00406F6F"/>
    <w:rsid w:val="004073A8"/>
    <w:rsid w:val="00407428"/>
    <w:rsid w:val="004074FF"/>
    <w:rsid w:val="00407549"/>
    <w:rsid w:val="004077F4"/>
    <w:rsid w:val="00407840"/>
    <w:rsid w:val="0040796E"/>
    <w:rsid w:val="004079E9"/>
    <w:rsid w:val="0041021F"/>
    <w:rsid w:val="004102CA"/>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B67"/>
    <w:rsid w:val="00414C19"/>
    <w:rsid w:val="00414CAD"/>
    <w:rsid w:val="004150F4"/>
    <w:rsid w:val="00415BC5"/>
    <w:rsid w:val="00415BC8"/>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C02"/>
    <w:rsid w:val="00421F35"/>
    <w:rsid w:val="0042208B"/>
    <w:rsid w:val="00422404"/>
    <w:rsid w:val="004229AD"/>
    <w:rsid w:val="00422C05"/>
    <w:rsid w:val="0042304A"/>
    <w:rsid w:val="004232DA"/>
    <w:rsid w:val="004238F9"/>
    <w:rsid w:val="00423967"/>
    <w:rsid w:val="00423B8D"/>
    <w:rsid w:val="00423EE6"/>
    <w:rsid w:val="004240E0"/>
    <w:rsid w:val="00424879"/>
    <w:rsid w:val="00424B6C"/>
    <w:rsid w:val="00424BC8"/>
    <w:rsid w:val="00424C9B"/>
    <w:rsid w:val="00424E78"/>
    <w:rsid w:val="00424F79"/>
    <w:rsid w:val="0042523D"/>
    <w:rsid w:val="0042527E"/>
    <w:rsid w:val="004252FB"/>
    <w:rsid w:val="00425683"/>
    <w:rsid w:val="0042576C"/>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158A"/>
    <w:rsid w:val="004322D4"/>
    <w:rsid w:val="00432570"/>
    <w:rsid w:val="0043269D"/>
    <w:rsid w:val="00432731"/>
    <w:rsid w:val="00432A76"/>
    <w:rsid w:val="00432F05"/>
    <w:rsid w:val="004330BC"/>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20A"/>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7F5"/>
    <w:rsid w:val="00447895"/>
    <w:rsid w:val="00447A16"/>
    <w:rsid w:val="00447A38"/>
    <w:rsid w:val="00447BCF"/>
    <w:rsid w:val="00450446"/>
    <w:rsid w:val="004504D6"/>
    <w:rsid w:val="004507E5"/>
    <w:rsid w:val="00450A47"/>
    <w:rsid w:val="00450AC0"/>
    <w:rsid w:val="00450D71"/>
    <w:rsid w:val="00450F29"/>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4CC"/>
    <w:rsid w:val="004538C2"/>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B58"/>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4A0"/>
    <w:rsid w:val="0047457D"/>
    <w:rsid w:val="00474633"/>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3FC3"/>
    <w:rsid w:val="0048412E"/>
    <w:rsid w:val="0048414A"/>
    <w:rsid w:val="00484273"/>
    <w:rsid w:val="004847CB"/>
    <w:rsid w:val="00484937"/>
    <w:rsid w:val="00484A58"/>
    <w:rsid w:val="004852F4"/>
    <w:rsid w:val="0048552D"/>
    <w:rsid w:val="004855D7"/>
    <w:rsid w:val="0048585C"/>
    <w:rsid w:val="00485CDE"/>
    <w:rsid w:val="00485D08"/>
    <w:rsid w:val="00485D41"/>
    <w:rsid w:val="00485FCD"/>
    <w:rsid w:val="0048641F"/>
    <w:rsid w:val="00486500"/>
    <w:rsid w:val="00486603"/>
    <w:rsid w:val="00486C0B"/>
    <w:rsid w:val="00486CB5"/>
    <w:rsid w:val="00486D3F"/>
    <w:rsid w:val="00486D4F"/>
    <w:rsid w:val="00486D50"/>
    <w:rsid w:val="00486D7F"/>
    <w:rsid w:val="00486EFE"/>
    <w:rsid w:val="00486F13"/>
    <w:rsid w:val="00487009"/>
    <w:rsid w:val="00487069"/>
    <w:rsid w:val="004870C9"/>
    <w:rsid w:val="004871B7"/>
    <w:rsid w:val="00487659"/>
    <w:rsid w:val="00487A90"/>
    <w:rsid w:val="00487D7A"/>
    <w:rsid w:val="00487DFF"/>
    <w:rsid w:val="00487F5F"/>
    <w:rsid w:val="00490293"/>
    <w:rsid w:val="004905A1"/>
    <w:rsid w:val="004907D3"/>
    <w:rsid w:val="004907F2"/>
    <w:rsid w:val="004908E5"/>
    <w:rsid w:val="004909B7"/>
    <w:rsid w:val="00490E8E"/>
    <w:rsid w:val="00491088"/>
    <w:rsid w:val="00491432"/>
    <w:rsid w:val="0049143C"/>
    <w:rsid w:val="004917F3"/>
    <w:rsid w:val="00491A0A"/>
    <w:rsid w:val="00491E7D"/>
    <w:rsid w:val="00491FDA"/>
    <w:rsid w:val="00492031"/>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7A"/>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713"/>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93C"/>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37E"/>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926"/>
    <w:rsid w:val="004C7B8C"/>
    <w:rsid w:val="004C7F3E"/>
    <w:rsid w:val="004D05F3"/>
    <w:rsid w:val="004D08BF"/>
    <w:rsid w:val="004D09E6"/>
    <w:rsid w:val="004D0B9F"/>
    <w:rsid w:val="004D0C77"/>
    <w:rsid w:val="004D0DD6"/>
    <w:rsid w:val="004D0FF1"/>
    <w:rsid w:val="004D1027"/>
    <w:rsid w:val="004D13B6"/>
    <w:rsid w:val="004D156A"/>
    <w:rsid w:val="004D1B28"/>
    <w:rsid w:val="004D1D5E"/>
    <w:rsid w:val="004D1E00"/>
    <w:rsid w:val="004D1FEF"/>
    <w:rsid w:val="004D238F"/>
    <w:rsid w:val="004D323C"/>
    <w:rsid w:val="004D3383"/>
    <w:rsid w:val="004D35C6"/>
    <w:rsid w:val="004D378E"/>
    <w:rsid w:val="004D3797"/>
    <w:rsid w:val="004D3A2C"/>
    <w:rsid w:val="004D3B94"/>
    <w:rsid w:val="004D3BAA"/>
    <w:rsid w:val="004D3BF7"/>
    <w:rsid w:val="004D3E24"/>
    <w:rsid w:val="004D3FDF"/>
    <w:rsid w:val="004D4312"/>
    <w:rsid w:val="004D4544"/>
    <w:rsid w:val="004D4647"/>
    <w:rsid w:val="004D4C47"/>
    <w:rsid w:val="004D5477"/>
    <w:rsid w:val="004D5745"/>
    <w:rsid w:val="004D5CD9"/>
    <w:rsid w:val="004D5E82"/>
    <w:rsid w:val="004D5F42"/>
    <w:rsid w:val="004D602D"/>
    <w:rsid w:val="004D667E"/>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257"/>
    <w:rsid w:val="004E53E0"/>
    <w:rsid w:val="004E5A51"/>
    <w:rsid w:val="004E5A77"/>
    <w:rsid w:val="004E5AD2"/>
    <w:rsid w:val="004E5C72"/>
    <w:rsid w:val="004E5FFF"/>
    <w:rsid w:val="004E6091"/>
    <w:rsid w:val="004E6617"/>
    <w:rsid w:val="004E6625"/>
    <w:rsid w:val="004E6929"/>
    <w:rsid w:val="004E698C"/>
    <w:rsid w:val="004E6EB9"/>
    <w:rsid w:val="004E6FDF"/>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98C"/>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5D7"/>
    <w:rsid w:val="0050397D"/>
    <w:rsid w:val="0050461E"/>
    <w:rsid w:val="00504700"/>
    <w:rsid w:val="005049A3"/>
    <w:rsid w:val="005052B3"/>
    <w:rsid w:val="005055E5"/>
    <w:rsid w:val="005057EA"/>
    <w:rsid w:val="00505A5D"/>
    <w:rsid w:val="00505A98"/>
    <w:rsid w:val="00505B38"/>
    <w:rsid w:val="00505D76"/>
    <w:rsid w:val="005062A4"/>
    <w:rsid w:val="0050661D"/>
    <w:rsid w:val="0050681E"/>
    <w:rsid w:val="005069A8"/>
    <w:rsid w:val="00506C13"/>
    <w:rsid w:val="00506CFE"/>
    <w:rsid w:val="00507067"/>
    <w:rsid w:val="005072FF"/>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3FF0"/>
    <w:rsid w:val="005140E6"/>
    <w:rsid w:val="0051411E"/>
    <w:rsid w:val="005145C5"/>
    <w:rsid w:val="00514730"/>
    <w:rsid w:val="005147BB"/>
    <w:rsid w:val="005147F4"/>
    <w:rsid w:val="0051496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6ED"/>
    <w:rsid w:val="005207FC"/>
    <w:rsid w:val="00520D7C"/>
    <w:rsid w:val="00521034"/>
    <w:rsid w:val="005214ED"/>
    <w:rsid w:val="0052164E"/>
    <w:rsid w:val="0052187E"/>
    <w:rsid w:val="005219B7"/>
    <w:rsid w:val="00521AB9"/>
    <w:rsid w:val="0052209B"/>
    <w:rsid w:val="005221B2"/>
    <w:rsid w:val="005223A5"/>
    <w:rsid w:val="0052243A"/>
    <w:rsid w:val="0052299E"/>
    <w:rsid w:val="00522B50"/>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EE4"/>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418"/>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A91"/>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15"/>
    <w:rsid w:val="0054653E"/>
    <w:rsid w:val="00546B02"/>
    <w:rsid w:val="00546D0E"/>
    <w:rsid w:val="00546D78"/>
    <w:rsid w:val="0054707A"/>
    <w:rsid w:val="005473EA"/>
    <w:rsid w:val="005475C1"/>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3CF"/>
    <w:rsid w:val="0056371A"/>
    <w:rsid w:val="00563955"/>
    <w:rsid w:val="005639FD"/>
    <w:rsid w:val="00563B74"/>
    <w:rsid w:val="00563D08"/>
    <w:rsid w:val="00563DAD"/>
    <w:rsid w:val="00563DFF"/>
    <w:rsid w:val="00563E54"/>
    <w:rsid w:val="00563F47"/>
    <w:rsid w:val="00563F55"/>
    <w:rsid w:val="00564021"/>
    <w:rsid w:val="005643B1"/>
    <w:rsid w:val="005647DB"/>
    <w:rsid w:val="005648E4"/>
    <w:rsid w:val="00564BC4"/>
    <w:rsid w:val="00565272"/>
    <w:rsid w:val="00565921"/>
    <w:rsid w:val="00565D02"/>
    <w:rsid w:val="00565F56"/>
    <w:rsid w:val="0056610C"/>
    <w:rsid w:val="0056637F"/>
    <w:rsid w:val="00566803"/>
    <w:rsid w:val="005668BB"/>
    <w:rsid w:val="0056697E"/>
    <w:rsid w:val="00566AB4"/>
    <w:rsid w:val="00566CD4"/>
    <w:rsid w:val="005670DA"/>
    <w:rsid w:val="00567213"/>
    <w:rsid w:val="0056743F"/>
    <w:rsid w:val="005675E9"/>
    <w:rsid w:val="0056777A"/>
    <w:rsid w:val="00567783"/>
    <w:rsid w:val="00567877"/>
    <w:rsid w:val="00567949"/>
    <w:rsid w:val="00567ADA"/>
    <w:rsid w:val="00567C85"/>
    <w:rsid w:val="00567E2F"/>
    <w:rsid w:val="00567F30"/>
    <w:rsid w:val="00567FC5"/>
    <w:rsid w:val="00570010"/>
    <w:rsid w:val="00570129"/>
    <w:rsid w:val="00570147"/>
    <w:rsid w:val="005704F0"/>
    <w:rsid w:val="00570623"/>
    <w:rsid w:val="00570AEF"/>
    <w:rsid w:val="00570F91"/>
    <w:rsid w:val="00571064"/>
    <w:rsid w:val="005712A4"/>
    <w:rsid w:val="005718A8"/>
    <w:rsid w:val="00571942"/>
    <w:rsid w:val="00571A2C"/>
    <w:rsid w:val="00571B5A"/>
    <w:rsid w:val="00572186"/>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4FB2"/>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2EC1"/>
    <w:rsid w:val="005833D3"/>
    <w:rsid w:val="00583454"/>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39"/>
    <w:rsid w:val="00586ACB"/>
    <w:rsid w:val="00586E61"/>
    <w:rsid w:val="00586F26"/>
    <w:rsid w:val="00587122"/>
    <w:rsid w:val="00587E8E"/>
    <w:rsid w:val="00590248"/>
    <w:rsid w:val="005903FA"/>
    <w:rsid w:val="005905FD"/>
    <w:rsid w:val="005906DF"/>
    <w:rsid w:val="0059077C"/>
    <w:rsid w:val="00590885"/>
    <w:rsid w:val="00591000"/>
    <w:rsid w:val="0059119C"/>
    <w:rsid w:val="005911E2"/>
    <w:rsid w:val="005916D5"/>
    <w:rsid w:val="005918AF"/>
    <w:rsid w:val="00591940"/>
    <w:rsid w:val="00591C6E"/>
    <w:rsid w:val="00591CC1"/>
    <w:rsid w:val="00591EF0"/>
    <w:rsid w:val="005926E2"/>
    <w:rsid w:val="0059292B"/>
    <w:rsid w:val="00592AA8"/>
    <w:rsid w:val="00592D85"/>
    <w:rsid w:val="005931F5"/>
    <w:rsid w:val="00593202"/>
    <w:rsid w:val="0059340C"/>
    <w:rsid w:val="00593546"/>
    <w:rsid w:val="0059389F"/>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C3A"/>
    <w:rsid w:val="005A4ECB"/>
    <w:rsid w:val="005A5135"/>
    <w:rsid w:val="005A54D4"/>
    <w:rsid w:val="005A5B14"/>
    <w:rsid w:val="005A5BDE"/>
    <w:rsid w:val="005A602F"/>
    <w:rsid w:val="005A60E0"/>
    <w:rsid w:val="005A633C"/>
    <w:rsid w:val="005A692B"/>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2D1C"/>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2E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7A9"/>
    <w:rsid w:val="005C4877"/>
    <w:rsid w:val="005C4892"/>
    <w:rsid w:val="005C4922"/>
    <w:rsid w:val="005C4EAA"/>
    <w:rsid w:val="005C5095"/>
    <w:rsid w:val="005C5138"/>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870"/>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996"/>
    <w:rsid w:val="005E1A55"/>
    <w:rsid w:val="005E1E55"/>
    <w:rsid w:val="005E2005"/>
    <w:rsid w:val="005E224F"/>
    <w:rsid w:val="005E2460"/>
    <w:rsid w:val="005E262C"/>
    <w:rsid w:val="005E2A6D"/>
    <w:rsid w:val="005E2B22"/>
    <w:rsid w:val="005E2C61"/>
    <w:rsid w:val="005E2CA4"/>
    <w:rsid w:val="005E2D1B"/>
    <w:rsid w:val="005E3046"/>
    <w:rsid w:val="005E3214"/>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959"/>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91D"/>
    <w:rsid w:val="005F1D8D"/>
    <w:rsid w:val="005F21C9"/>
    <w:rsid w:val="005F241F"/>
    <w:rsid w:val="005F247D"/>
    <w:rsid w:val="005F26B1"/>
    <w:rsid w:val="005F2EF6"/>
    <w:rsid w:val="005F30BF"/>
    <w:rsid w:val="005F372C"/>
    <w:rsid w:val="005F3739"/>
    <w:rsid w:val="005F3E71"/>
    <w:rsid w:val="005F3FB8"/>
    <w:rsid w:val="005F4312"/>
    <w:rsid w:val="005F4523"/>
    <w:rsid w:val="005F4642"/>
    <w:rsid w:val="005F4788"/>
    <w:rsid w:val="005F4856"/>
    <w:rsid w:val="005F4B69"/>
    <w:rsid w:val="005F4BBC"/>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46C"/>
    <w:rsid w:val="00603808"/>
    <w:rsid w:val="00603C02"/>
    <w:rsid w:val="00603C48"/>
    <w:rsid w:val="006047B1"/>
    <w:rsid w:val="006047D4"/>
    <w:rsid w:val="00604BF3"/>
    <w:rsid w:val="00604C70"/>
    <w:rsid w:val="00604DE8"/>
    <w:rsid w:val="00605261"/>
    <w:rsid w:val="0060548A"/>
    <w:rsid w:val="006054D2"/>
    <w:rsid w:val="006055B8"/>
    <w:rsid w:val="0060563D"/>
    <w:rsid w:val="00605BE0"/>
    <w:rsid w:val="00605BE6"/>
    <w:rsid w:val="00605FAA"/>
    <w:rsid w:val="00606608"/>
    <w:rsid w:val="0060683B"/>
    <w:rsid w:val="00606ABD"/>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5D9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02C"/>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61F"/>
    <w:rsid w:val="0062479F"/>
    <w:rsid w:val="0062495F"/>
    <w:rsid w:val="00624A70"/>
    <w:rsid w:val="00624AB7"/>
    <w:rsid w:val="00624B39"/>
    <w:rsid w:val="00624BA2"/>
    <w:rsid w:val="00624DAB"/>
    <w:rsid w:val="0062509A"/>
    <w:rsid w:val="0062595E"/>
    <w:rsid w:val="00625C6D"/>
    <w:rsid w:val="00625DE3"/>
    <w:rsid w:val="00625F42"/>
    <w:rsid w:val="00626004"/>
    <w:rsid w:val="006262F3"/>
    <w:rsid w:val="006264E6"/>
    <w:rsid w:val="006269A8"/>
    <w:rsid w:val="00626A30"/>
    <w:rsid w:val="00626CEC"/>
    <w:rsid w:val="0062703F"/>
    <w:rsid w:val="006270A1"/>
    <w:rsid w:val="006270A7"/>
    <w:rsid w:val="006272A4"/>
    <w:rsid w:val="00627568"/>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64"/>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37ED8"/>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6F0"/>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89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CFA"/>
    <w:rsid w:val="00651E14"/>
    <w:rsid w:val="00651FF6"/>
    <w:rsid w:val="006520E3"/>
    <w:rsid w:val="006522EC"/>
    <w:rsid w:val="006527D6"/>
    <w:rsid w:val="00652939"/>
    <w:rsid w:val="0065299B"/>
    <w:rsid w:val="00652AA8"/>
    <w:rsid w:val="00652CC1"/>
    <w:rsid w:val="00653208"/>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2B"/>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31B"/>
    <w:rsid w:val="006825F9"/>
    <w:rsid w:val="00682847"/>
    <w:rsid w:val="006829C2"/>
    <w:rsid w:val="00682A2B"/>
    <w:rsid w:val="00683473"/>
    <w:rsid w:val="00683520"/>
    <w:rsid w:val="006836B9"/>
    <w:rsid w:val="0068374A"/>
    <w:rsid w:val="006838ED"/>
    <w:rsid w:val="00683A16"/>
    <w:rsid w:val="006840C6"/>
    <w:rsid w:val="006840EA"/>
    <w:rsid w:val="006842F3"/>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4A7"/>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5E7D"/>
    <w:rsid w:val="00696041"/>
    <w:rsid w:val="006963CB"/>
    <w:rsid w:val="006969DC"/>
    <w:rsid w:val="00696E73"/>
    <w:rsid w:val="00696EAD"/>
    <w:rsid w:val="00696EF5"/>
    <w:rsid w:val="006971B0"/>
    <w:rsid w:val="006971C7"/>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B38"/>
    <w:rsid w:val="006A4C45"/>
    <w:rsid w:val="006A4C92"/>
    <w:rsid w:val="006A4E79"/>
    <w:rsid w:val="006A4F27"/>
    <w:rsid w:val="006A4F64"/>
    <w:rsid w:val="006A5093"/>
    <w:rsid w:val="006A52D5"/>
    <w:rsid w:val="006A544E"/>
    <w:rsid w:val="006A5729"/>
    <w:rsid w:val="006A57E2"/>
    <w:rsid w:val="006A58CC"/>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9A3"/>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88F"/>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2DB"/>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6F7B"/>
    <w:rsid w:val="006C7242"/>
    <w:rsid w:val="006C74DD"/>
    <w:rsid w:val="006C758D"/>
    <w:rsid w:val="006C767A"/>
    <w:rsid w:val="006C79A8"/>
    <w:rsid w:val="006C7AE2"/>
    <w:rsid w:val="006C7CC7"/>
    <w:rsid w:val="006D077B"/>
    <w:rsid w:val="006D0974"/>
    <w:rsid w:val="006D09D2"/>
    <w:rsid w:val="006D0A72"/>
    <w:rsid w:val="006D0C8A"/>
    <w:rsid w:val="006D0D92"/>
    <w:rsid w:val="006D1212"/>
    <w:rsid w:val="006D121E"/>
    <w:rsid w:val="006D13F9"/>
    <w:rsid w:val="006D176E"/>
    <w:rsid w:val="006D1BD4"/>
    <w:rsid w:val="006D1D92"/>
    <w:rsid w:val="006D1EE5"/>
    <w:rsid w:val="006D2145"/>
    <w:rsid w:val="006D29CC"/>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2D3"/>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53"/>
    <w:rsid w:val="006E3A90"/>
    <w:rsid w:val="006E3CC7"/>
    <w:rsid w:val="006E4585"/>
    <w:rsid w:val="006E4758"/>
    <w:rsid w:val="006E4900"/>
    <w:rsid w:val="006E4923"/>
    <w:rsid w:val="006E4960"/>
    <w:rsid w:val="006E4C15"/>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1FD7"/>
    <w:rsid w:val="0071226A"/>
    <w:rsid w:val="007122DA"/>
    <w:rsid w:val="00712475"/>
    <w:rsid w:val="0071247C"/>
    <w:rsid w:val="0071255A"/>
    <w:rsid w:val="00712622"/>
    <w:rsid w:val="007126B1"/>
    <w:rsid w:val="007127A2"/>
    <w:rsid w:val="007127A3"/>
    <w:rsid w:val="007129D9"/>
    <w:rsid w:val="00712C57"/>
    <w:rsid w:val="00712F2D"/>
    <w:rsid w:val="00713475"/>
    <w:rsid w:val="00713515"/>
    <w:rsid w:val="00713587"/>
    <w:rsid w:val="0071385C"/>
    <w:rsid w:val="007138DE"/>
    <w:rsid w:val="00713970"/>
    <w:rsid w:val="00714A31"/>
    <w:rsid w:val="00714A43"/>
    <w:rsid w:val="007150B0"/>
    <w:rsid w:val="007155A6"/>
    <w:rsid w:val="00715797"/>
    <w:rsid w:val="007158B0"/>
    <w:rsid w:val="00715A9A"/>
    <w:rsid w:val="00715B97"/>
    <w:rsid w:val="00716314"/>
    <w:rsid w:val="0071639F"/>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6AC"/>
    <w:rsid w:val="0072282B"/>
    <w:rsid w:val="0072283D"/>
    <w:rsid w:val="00722A36"/>
    <w:rsid w:val="00722D3C"/>
    <w:rsid w:val="00722F29"/>
    <w:rsid w:val="0072339E"/>
    <w:rsid w:val="007233C9"/>
    <w:rsid w:val="0072350A"/>
    <w:rsid w:val="00723619"/>
    <w:rsid w:val="00723859"/>
    <w:rsid w:val="00723D05"/>
    <w:rsid w:val="00723D0A"/>
    <w:rsid w:val="00723F2B"/>
    <w:rsid w:val="00723F44"/>
    <w:rsid w:val="00724316"/>
    <w:rsid w:val="007249C7"/>
    <w:rsid w:val="00724CC7"/>
    <w:rsid w:val="00724DE0"/>
    <w:rsid w:val="007250E5"/>
    <w:rsid w:val="00725157"/>
    <w:rsid w:val="0072518A"/>
    <w:rsid w:val="00725267"/>
    <w:rsid w:val="007254F6"/>
    <w:rsid w:val="00725681"/>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CC"/>
    <w:rsid w:val="00732DFE"/>
    <w:rsid w:val="00732FCA"/>
    <w:rsid w:val="007330EB"/>
    <w:rsid w:val="007334CA"/>
    <w:rsid w:val="007334CC"/>
    <w:rsid w:val="007335B6"/>
    <w:rsid w:val="007336DE"/>
    <w:rsid w:val="0073402E"/>
    <w:rsid w:val="00734033"/>
    <w:rsid w:val="007344BB"/>
    <w:rsid w:val="007346F5"/>
    <w:rsid w:val="0073473A"/>
    <w:rsid w:val="0073489F"/>
    <w:rsid w:val="007349EC"/>
    <w:rsid w:val="00734C92"/>
    <w:rsid w:val="00734ED8"/>
    <w:rsid w:val="00735277"/>
    <w:rsid w:val="007352A9"/>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081"/>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D84"/>
    <w:rsid w:val="00756E5D"/>
    <w:rsid w:val="00756FC0"/>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E61"/>
    <w:rsid w:val="00763F2D"/>
    <w:rsid w:val="00764135"/>
    <w:rsid w:val="00764194"/>
    <w:rsid w:val="0076445A"/>
    <w:rsid w:val="0076446C"/>
    <w:rsid w:val="00764490"/>
    <w:rsid w:val="007646AC"/>
    <w:rsid w:val="00764A6D"/>
    <w:rsid w:val="00764C3D"/>
    <w:rsid w:val="007659EB"/>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0E77"/>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C82"/>
    <w:rsid w:val="00772E41"/>
    <w:rsid w:val="00772FCF"/>
    <w:rsid w:val="0077313D"/>
    <w:rsid w:val="007735A3"/>
    <w:rsid w:val="007735FD"/>
    <w:rsid w:val="0077367E"/>
    <w:rsid w:val="007736A6"/>
    <w:rsid w:val="0077376C"/>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6F79"/>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0B"/>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124"/>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6FFA"/>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7AF"/>
    <w:rsid w:val="007A2A37"/>
    <w:rsid w:val="007A2E2A"/>
    <w:rsid w:val="007A3364"/>
    <w:rsid w:val="007A33B9"/>
    <w:rsid w:val="007A3CC4"/>
    <w:rsid w:val="007A3D28"/>
    <w:rsid w:val="007A3FE3"/>
    <w:rsid w:val="007A4074"/>
    <w:rsid w:val="007A41F4"/>
    <w:rsid w:val="007A44F7"/>
    <w:rsid w:val="007A476B"/>
    <w:rsid w:val="007A483E"/>
    <w:rsid w:val="007A4DE6"/>
    <w:rsid w:val="007A4E7D"/>
    <w:rsid w:val="007A518E"/>
    <w:rsid w:val="007A51C1"/>
    <w:rsid w:val="007A523D"/>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254"/>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25"/>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A98"/>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5F75"/>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D7D84"/>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3FBC"/>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DAA"/>
    <w:rsid w:val="007E5E2C"/>
    <w:rsid w:val="007E5F27"/>
    <w:rsid w:val="007E6043"/>
    <w:rsid w:val="007E619E"/>
    <w:rsid w:val="007E6254"/>
    <w:rsid w:val="007E62B4"/>
    <w:rsid w:val="007E656D"/>
    <w:rsid w:val="007E65DD"/>
    <w:rsid w:val="007E66E2"/>
    <w:rsid w:val="007E67FB"/>
    <w:rsid w:val="007E6994"/>
    <w:rsid w:val="007E6AAB"/>
    <w:rsid w:val="007E6FAA"/>
    <w:rsid w:val="007E739C"/>
    <w:rsid w:val="007E7501"/>
    <w:rsid w:val="007E756C"/>
    <w:rsid w:val="007E7B9F"/>
    <w:rsid w:val="007E7BDA"/>
    <w:rsid w:val="007E7D0D"/>
    <w:rsid w:val="007E7E1C"/>
    <w:rsid w:val="007F0776"/>
    <w:rsid w:val="007F07F4"/>
    <w:rsid w:val="007F07FD"/>
    <w:rsid w:val="007F0BF6"/>
    <w:rsid w:val="007F0CB8"/>
    <w:rsid w:val="007F0F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30"/>
    <w:rsid w:val="007F3C73"/>
    <w:rsid w:val="007F3F24"/>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2F37"/>
    <w:rsid w:val="00803046"/>
    <w:rsid w:val="00803776"/>
    <w:rsid w:val="008037DB"/>
    <w:rsid w:val="008039AB"/>
    <w:rsid w:val="00803B4B"/>
    <w:rsid w:val="008040B3"/>
    <w:rsid w:val="008040BC"/>
    <w:rsid w:val="008040E8"/>
    <w:rsid w:val="00804470"/>
    <w:rsid w:val="008045AD"/>
    <w:rsid w:val="008048AD"/>
    <w:rsid w:val="00804913"/>
    <w:rsid w:val="00804ABA"/>
    <w:rsid w:val="00804DCE"/>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90A"/>
    <w:rsid w:val="00807CE2"/>
    <w:rsid w:val="00807CE5"/>
    <w:rsid w:val="008101ED"/>
    <w:rsid w:val="008111F2"/>
    <w:rsid w:val="0081147E"/>
    <w:rsid w:val="00812128"/>
    <w:rsid w:val="00812176"/>
    <w:rsid w:val="00812AB1"/>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504"/>
    <w:rsid w:val="008177C2"/>
    <w:rsid w:val="00817A33"/>
    <w:rsid w:val="00817C17"/>
    <w:rsid w:val="008200F6"/>
    <w:rsid w:val="0082043D"/>
    <w:rsid w:val="008204D5"/>
    <w:rsid w:val="008206A5"/>
    <w:rsid w:val="008208ED"/>
    <w:rsid w:val="00820AEC"/>
    <w:rsid w:val="00820B2F"/>
    <w:rsid w:val="00820CE9"/>
    <w:rsid w:val="00820CEF"/>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3A2"/>
    <w:rsid w:val="0082551B"/>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75E"/>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4E"/>
    <w:rsid w:val="0084458D"/>
    <w:rsid w:val="00844606"/>
    <w:rsid w:val="008446F6"/>
    <w:rsid w:val="0084499E"/>
    <w:rsid w:val="00844AA5"/>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055"/>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823"/>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4B0"/>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4F9D"/>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65F"/>
    <w:rsid w:val="0087490F"/>
    <w:rsid w:val="00874991"/>
    <w:rsid w:val="00874AD4"/>
    <w:rsid w:val="00874B51"/>
    <w:rsid w:val="00874DD4"/>
    <w:rsid w:val="00874E18"/>
    <w:rsid w:val="008751E6"/>
    <w:rsid w:val="00875233"/>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365"/>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1609"/>
    <w:rsid w:val="008A1BAA"/>
    <w:rsid w:val="008A1BC1"/>
    <w:rsid w:val="008A1E72"/>
    <w:rsid w:val="008A2278"/>
    <w:rsid w:val="008A2413"/>
    <w:rsid w:val="008A25A6"/>
    <w:rsid w:val="008A2904"/>
    <w:rsid w:val="008A291F"/>
    <w:rsid w:val="008A2E0C"/>
    <w:rsid w:val="008A34E0"/>
    <w:rsid w:val="008A368E"/>
    <w:rsid w:val="008A36F0"/>
    <w:rsid w:val="008A37E5"/>
    <w:rsid w:val="008A401D"/>
    <w:rsid w:val="008A4256"/>
    <w:rsid w:val="008A448C"/>
    <w:rsid w:val="008A451C"/>
    <w:rsid w:val="008A47DC"/>
    <w:rsid w:val="008A4824"/>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C18"/>
    <w:rsid w:val="008B5E20"/>
    <w:rsid w:val="008B615E"/>
    <w:rsid w:val="008B63D6"/>
    <w:rsid w:val="008B67BC"/>
    <w:rsid w:val="008B6E48"/>
    <w:rsid w:val="008B6FC0"/>
    <w:rsid w:val="008B7102"/>
    <w:rsid w:val="008B723D"/>
    <w:rsid w:val="008B76EE"/>
    <w:rsid w:val="008B7721"/>
    <w:rsid w:val="008B77E9"/>
    <w:rsid w:val="008B781A"/>
    <w:rsid w:val="008B7CB2"/>
    <w:rsid w:val="008C00E6"/>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9D5"/>
    <w:rsid w:val="008C3A88"/>
    <w:rsid w:val="008C3B2E"/>
    <w:rsid w:val="008C3E0E"/>
    <w:rsid w:val="008C4352"/>
    <w:rsid w:val="008C4456"/>
    <w:rsid w:val="008C47FA"/>
    <w:rsid w:val="008C497B"/>
    <w:rsid w:val="008C4C86"/>
    <w:rsid w:val="008C4CC1"/>
    <w:rsid w:val="008C4D55"/>
    <w:rsid w:val="008C4DF2"/>
    <w:rsid w:val="008C4F20"/>
    <w:rsid w:val="008C5008"/>
    <w:rsid w:val="008C525B"/>
    <w:rsid w:val="008C5B5B"/>
    <w:rsid w:val="008C5E64"/>
    <w:rsid w:val="008C629C"/>
    <w:rsid w:val="008C65CC"/>
    <w:rsid w:val="008C6796"/>
    <w:rsid w:val="008C6D97"/>
    <w:rsid w:val="008C6FA4"/>
    <w:rsid w:val="008C7015"/>
    <w:rsid w:val="008C7160"/>
    <w:rsid w:val="008C71F4"/>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7E2"/>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D48"/>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2F1"/>
    <w:rsid w:val="008F03B6"/>
    <w:rsid w:val="008F054C"/>
    <w:rsid w:val="008F0CE6"/>
    <w:rsid w:val="008F0D78"/>
    <w:rsid w:val="008F0FAA"/>
    <w:rsid w:val="008F109C"/>
    <w:rsid w:val="008F122E"/>
    <w:rsid w:val="008F1286"/>
    <w:rsid w:val="008F1311"/>
    <w:rsid w:val="008F1584"/>
    <w:rsid w:val="008F1693"/>
    <w:rsid w:val="008F179B"/>
    <w:rsid w:val="008F18EC"/>
    <w:rsid w:val="008F1A55"/>
    <w:rsid w:val="008F1AF6"/>
    <w:rsid w:val="008F1F72"/>
    <w:rsid w:val="008F27AA"/>
    <w:rsid w:val="008F286D"/>
    <w:rsid w:val="008F290F"/>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190"/>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47E"/>
    <w:rsid w:val="009005A2"/>
    <w:rsid w:val="00900C94"/>
    <w:rsid w:val="009010AA"/>
    <w:rsid w:val="009010C6"/>
    <w:rsid w:val="009011E8"/>
    <w:rsid w:val="009014A7"/>
    <w:rsid w:val="0090153F"/>
    <w:rsid w:val="00901EF1"/>
    <w:rsid w:val="009020C2"/>
    <w:rsid w:val="0090280E"/>
    <w:rsid w:val="0090287A"/>
    <w:rsid w:val="0090290E"/>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213"/>
    <w:rsid w:val="009217D6"/>
    <w:rsid w:val="009217EE"/>
    <w:rsid w:val="00921846"/>
    <w:rsid w:val="0092184A"/>
    <w:rsid w:val="00921CAD"/>
    <w:rsid w:val="009220F1"/>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241"/>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6F9"/>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568"/>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497"/>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317"/>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7A8"/>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0AE"/>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B2"/>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141"/>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4C43"/>
    <w:rsid w:val="00985149"/>
    <w:rsid w:val="00985488"/>
    <w:rsid w:val="009854FA"/>
    <w:rsid w:val="00985C21"/>
    <w:rsid w:val="00985C48"/>
    <w:rsid w:val="00985E24"/>
    <w:rsid w:val="009865D7"/>
    <w:rsid w:val="0098673A"/>
    <w:rsid w:val="00986DA8"/>
    <w:rsid w:val="00986E12"/>
    <w:rsid w:val="009874C6"/>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0EF"/>
    <w:rsid w:val="00995104"/>
    <w:rsid w:val="009951D8"/>
    <w:rsid w:val="00995295"/>
    <w:rsid w:val="009952D9"/>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AEE"/>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AFE"/>
    <w:rsid w:val="009A1CB7"/>
    <w:rsid w:val="009A1F37"/>
    <w:rsid w:val="009A2048"/>
    <w:rsid w:val="009A207E"/>
    <w:rsid w:val="009A226D"/>
    <w:rsid w:val="009A2518"/>
    <w:rsid w:val="009A26C8"/>
    <w:rsid w:val="009A26FF"/>
    <w:rsid w:val="009A27AE"/>
    <w:rsid w:val="009A2A17"/>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627"/>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1EF3"/>
    <w:rsid w:val="009B296B"/>
    <w:rsid w:val="009B2B38"/>
    <w:rsid w:val="009B2DAD"/>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450"/>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99E"/>
    <w:rsid w:val="009C4B49"/>
    <w:rsid w:val="009C4BBB"/>
    <w:rsid w:val="009C4C6C"/>
    <w:rsid w:val="009C4F6A"/>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7B2"/>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C95"/>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0B63"/>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6A"/>
    <w:rsid w:val="009E76F9"/>
    <w:rsid w:val="009E77FC"/>
    <w:rsid w:val="009E7C1D"/>
    <w:rsid w:val="009E7F0C"/>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09EF"/>
    <w:rsid w:val="00A010DC"/>
    <w:rsid w:val="00A012C7"/>
    <w:rsid w:val="00A01677"/>
    <w:rsid w:val="00A01B12"/>
    <w:rsid w:val="00A01E2A"/>
    <w:rsid w:val="00A01E81"/>
    <w:rsid w:val="00A022D4"/>
    <w:rsid w:val="00A023B0"/>
    <w:rsid w:val="00A029F2"/>
    <w:rsid w:val="00A02A02"/>
    <w:rsid w:val="00A02D43"/>
    <w:rsid w:val="00A02D4C"/>
    <w:rsid w:val="00A037CD"/>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D25"/>
    <w:rsid w:val="00A05ED2"/>
    <w:rsid w:val="00A05F04"/>
    <w:rsid w:val="00A06019"/>
    <w:rsid w:val="00A06168"/>
    <w:rsid w:val="00A06186"/>
    <w:rsid w:val="00A06372"/>
    <w:rsid w:val="00A06598"/>
    <w:rsid w:val="00A06C77"/>
    <w:rsid w:val="00A06D7F"/>
    <w:rsid w:val="00A06E8B"/>
    <w:rsid w:val="00A073CF"/>
    <w:rsid w:val="00A0752A"/>
    <w:rsid w:val="00A078F4"/>
    <w:rsid w:val="00A07980"/>
    <w:rsid w:val="00A07D10"/>
    <w:rsid w:val="00A07DE2"/>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036"/>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609"/>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06"/>
    <w:rsid w:val="00A37EE1"/>
    <w:rsid w:val="00A403D4"/>
    <w:rsid w:val="00A4047C"/>
    <w:rsid w:val="00A40516"/>
    <w:rsid w:val="00A408FA"/>
    <w:rsid w:val="00A40962"/>
    <w:rsid w:val="00A40B01"/>
    <w:rsid w:val="00A40CB8"/>
    <w:rsid w:val="00A40D3E"/>
    <w:rsid w:val="00A40D9A"/>
    <w:rsid w:val="00A41102"/>
    <w:rsid w:val="00A41371"/>
    <w:rsid w:val="00A41400"/>
    <w:rsid w:val="00A41552"/>
    <w:rsid w:val="00A41797"/>
    <w:rsid w:val="00A41DD3"/>
    <w:rsid w:val="00A41F51"/>
    <w:rsid w:val="00A42067"/>
    <w:rsid w:val="00A42165"/>
    <w:rsid w:val="00A42213"/>
    <w:rsid w:val="00A42463"/>
    <w:rsid w:val="00A426D6"/>
    <w:rsid w:val="00A427B3"/>
    <w:rsid w:val="00A429F6"/>
    <w:rsid w:val="00A42AC6"/>
    <w:rsid w:val="00A42B71"/>
    <w:rsid w:val="00A42B99"/>
    <w:rsid w:val="00A43042"/>
    <w:rsid w:val="00A4317B"/>
    <w:rsid w:val="00A4353D"/>
    <w:rsid w:val="00A43672"/>
    <w:rsid w:val="00A43806"/>
    <w:rsid w:val="00A438A2"/>
    <w:rsid w:val="00A43CC0"/>
    <w:rsid w:val="00A43E9C"/>
    <w:rsid w:val="00A43EA3"/>
    <w:rsid w:val="00A43EE9"/>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43"/>
    <w:rsid w:val="00A52D50"/>
    <w:rsid w:val="00A52F74"/>
    <w:rsid w:val="00A530E3"/>
    <w:rsid w:val="00A534E0"/>
    <w:rsid w:val="00A535C9"/>
    <w:rsid w:val="00A53715"/>
    <w:rsid w:val="00A53735"/>
    <w:rsid w:val="00A53791"/>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94B"/>
    <w:rsid w:val="00A57B78"/>
    <w:rsid w:val="00A57CF9"/>
    <w:rsid w:val="00A602AD"/>
    <w:rsid w:val="00A60708"/>
    <w:rsid w:val="00A60BFE"/>
    <w:rsid w:val="00A60DF7"/>
    <w:rsid w:val="00A60EEA"/>
    <w:rsid w:val="00A612B7"/>
    <w:rsid w:val="00A619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ACE"/>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73"/>
    <w:rsid w:val="00A704B9"/>
    <w:rsid w:val="00A7054C"/>
    <w:rsid w:val="00A7057A"/>
    <w:rsid w:val="00A7097F"/>
    <w:rsid w:val="00A70A7D"/>
    <w:rsid w:val="00A70C6A"/>
    <w:rsid w:val="00A70C81"/>
    <w:rsid w:val="00A71042"/>
    <w:rsid w:val="00A710EA"/>
    <w:rsid w:val="00A71343"/>
    <w:rsid w:val="00A714A4"/>
    <w:rsid w:val="00A71875"/>
    <w:rsid w:val="00A718FE"/>
    <w:rsid w:val="00A71AFA"/>
    <w:rsid w:val="00A71C84"/>
    <w:rsid w:val="00A71DB5"/>
    <w:rsid w:val="00A71E21"/>
    <w:rsid w:val="00A71E6D"/>
    <w:rsid w:val="00A7208A"/>
    <w:rsid w:val="00A721AB"/>
    <w:rsid w:val="00A728E1"/>
    <w:rsid w:val="00A72C65"/>
    <w:rsid w:val="00A72E5F"/>
    <w:rsid w:val="00A730ED"/>
    <w:rsid w:val="00A73139"/>
    <w:rsid w:val="00A731F9"/>
    <w:rsid w:val="00A7327E"/>
    <w:rsid w:val="00A7340E"/>
    <w:rsid w:val="00A73621"/>
    <w:rsid w:val="00A73811"/>
    <w:rsid w:val="00A73D03"/>
    <w:rsid w:val="00A73EB5"/>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1F96"/>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2AB"/>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892"/>
    <w:rsid w:val="00A91BCE"/>
    <w:rsid w:val="00A91E60"/>
    <w:rsid w:val="00A9216C"/>
    <w:rsid w:val="00A92480"/>
    <w:rsid w:val="00A928CC"/>
    <w:rsid w:val="00A92B1E"/>
    <w:rsid w:val="00A92DBF"/>
    <w:rsid w:val="00A9343B"/>
    <w:rsid w:val="00A94053"/>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13C"/>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90D"/>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56F"/>
    <w:rsid w:val="00AB7787"/>
    <w:rsid w:val="00AB77E5"/>
    <w:rsid w:val="00AB78D9"/>
    <w:rsid w:val="00AB7DC2"/>
    <w:rsid w:val="00AB7E64"/>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2B5"/>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6CF"/>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0CE2"/>
    <w:rsid w:val="00AD101C"/>
    <w:rsid w:val="00AD1295"/>
    <w:rsid w:val="00AD14C1"/>
    <w:rsid w:val="00AD16FC"/>
    <w:rsid w:val="00AD1944"/>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4"/>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A5A"/>
    <w:rsid w:val="00AD6C00"/>
    <w:rsid w:val="00AD6C74"/>
    <w:rsid w:val="00AD7053"/>
    <w:rsid w:val="00AD748B"/>
    <w:rsid w:val="00AD7659"/>
    <w:rsid w:val="00AD7895"/>
    <w:rsid w:val="00AD79F1"/>
    <w:rsid w:val="00AD79F4"/>
    <w:rsid w:val="00AD7B8E"/>
    <w:rsid w:val="00AE00E2"/>
    <w:rsid w:val="00AE01CF"/>
    <w:rsid w:val="00AE01E4"/>
    <w:rsid w:val="00AE05C9"/>
    <w:rsid w:val="00AE0677"/>
    <w:rsid w:val="00AE0A3A"/>
    <w:rsid w:val="00AE0C87"/>
    <w:rsid w:val="00AE0DCC"/>
    <w:rsid w:val="00AE1315"/>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E7E1D"/>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84"/>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CFE"/>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0AB"/>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225"/>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65"/>
    <w:rsid w:val="00B2319A"/>
    <w:rsid w:val="00B2337C"/>
    <w:rsid w:val="00B234C3"/>
    <w:rsid w:val="00B235E1"/>
    <w:rsid w:val="00B2377F"/>
    <w:rsid w:val="00B237DE"/>
    <w:rsid w:val="00B23887"/>
    <w:rsid w:val="00B23950"/>
    <w:rsid w:val="00B23B84"/>
    <w:rsid w:val="00B23DBD"/>
    <w:rsid w:val="00B24082"/>
    <w:rsid w:val="00B241AD"/>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8AC"/>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7E9"/>
    <w:rsid w:val="00B50C5A"/>
    <w:rsid w:val="00B50D1D"/>
    <w:rsid w:val="00B50DBD"/>
    <w:rsid w:val="00B50EB7"/>
    <w:rsid w:val="00B50EBE"/>
    <w:rsid w:val="00B511E4"/>
    <w:rsid w:val="00B5135D"/>
    <w:rsid w:val="00B5160C"/>
    <w:rsid w:val="00B51A16"/>
    <w:rsid w:val="00B51BFA"/>
    <w:rsid w:val="00B51E10"/>
    <w:rsid w:val="00B51E46"/>
    <w:rsid w:val="00B51EB4"/>
    <w:rsid w:val="00B52323"/>
    <w:rsid w:val="00B52410"/>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B0C"/>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2FF4"/>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863"/>
    <w:rsid w:val="00B85D09"/>
    <w:rsid w:val="00B8645C"/>
    <w:rsid w:val="00B86801"/>
    <w:rsid w:val="00B86933"/>
    <w:rsid w:val="00B86BB1"/>
    <w:rsid w:val="00B86C48"/>
    <w:rsid w:val="00B86F02"/>
    <w:rsid w:val="00B87258"/>
    <w:rsid w:val="00B87688"/>
    <w:rsid w:val="00B8777E"/>
    <w:rsid w:val="00B87D7A"/>
    <w:rsid w:val="00B901A7"/>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1C"/>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00A"/>
    <w:rsid w:val="00BB061B"/>
    <w:rsid w:val="00BB0BB4"/>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38E"/>
    <w:rsid w:val="00BB5673"/>
    <w:rsid w:val="00BB5AAA"/>
    <w:rsid w:val="00BB5B80"/>
    <w:rsid w:val="00BB5DF1"/>
    <w:rsid w:val="00BB5EEC"/>
    <w:rsid w:val="00BB5F92"/>
    <w:rsid w:val="00BB617F"/>
    <w:rsid w:val="00BB67F4"/>
    <w:rsid w:val="00BB68FD"/>
    <w:rsid w:val="00BB6C69"/>
    <w:rsid w:val="00BB70C8"/>
    <w:rsid w:val="00BB7218"/>
    <w:rsid w:val="00BB7227"/>
    <w:rsid w:val="00BB7250"/>
    <w:rsid w:val="00BB7410"/>
    <w:rsid w:val="00BB761A"/>
    <w:rsid w:val="00BB788E"/>
    <w:rsid w:val="00BB78D1"/>
    <w:rsid w:val="00BC0455"/>
    <w:rsid w:val="00BC0473"/>
    <w:rsid w:val="00BC0974"/>
    <w:rsid w:val="00BC0C75"/>
    <w:rsid w:val="00BC0E32"/>
    <w:rsid w:val="00BC0E33"/>
    <w:rsid w:val="00BC0F7E"/>
    <w:rsid w:val="00BC126B"/>
    <w:rsid w:val="00BC130F"/>
    <w:rsid w:val="00BC18C9"/>
    <w:rsid w:val="00BC1918"/>
    <w:rsid w:val="00BC1A76"/>
    <w:rsid w:val="00BC1AB4"/>
    <w:rsid w:val="00BC1B77"/>
    <w:rsid w:val="00BC1CAE"/>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1E5"/>
    <w:rsid w:val="00BC555E"/>
    <w:rsid w:val="00BC575C"/>
    <w:rsid w:val="00BC5923"/>
    <w:rsid w:val="00BC5A95"/>
    <w:rsid w:val="00BC5AD6"/>
    <w:rsid w:val="00BC61C4"/>
    <w:rsid w:val="00BC651C"/>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305"/>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3DC"/>
    <w:rsid w:val="00BE5ACB"/>
    <w:rsid w:val="00BE5B67"/>
    <w:rsid w:val="00BE5DD0"/>
    <w:rsid w:val="00BE5E4E"/>
    <w:rsid w:val="00BE5FB1"/>
    <w:rsid w:val="00BE61DA"/>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991"/>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A71"/>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BC4"/>
    <w:rsid w:val="00C04DD1"/>
    <w:rsid w:val="00C0502A"/>
    <w:rsid w:val="00C05121"/>
    <w:rsid w:val="00C05248"/>
    <w:rsid w:val="00C056C9"/>
    <w:rsid w:val="00C057EB"/>
    <w:rsid w:val="00C05900"/>
    <w:rsid w:val="00C05AE7"/>
    <w:rsid w:val="00C05EFF"/>
    <w:rsid w:val="00C05FFB"/>
    <w:rsid w:val="00C06179"/>
    <w:rsid w:val="00C06186"/>
    <w:rsid w:val="00C0645D"/>
    <w:rsid w:val="00C06804"/>
    <w:rsid w:val="00C0691E"/>
    <w:rsid w:val="00C069F1"/>
    <w:rsid w:val="00C06BCE"/>
    <w:rsid w:val="00C06DB4"/>
    <w:rsid w:val="00C06F28"/>
    <w:rsid w:val="00C06FD0"/>
    <w:rsid w:val="00C0707C"/>
    <w:rsid w:val="00C07267"/>
    <w:rsid w:val="00C07321"/>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EAE"/>
    <w:rsid w:val="00C14F48"/>
    <w:rsid w:val="00C151E3"/>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90B"/>
    <w:rsid w:val="00C17963"/>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6040"/>
    <w:rsid w:val="00C2662E"/>
    <w:rsid w:val="00C267C6"/>
    <w:rsid w:val="00C26A37"/>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1A8"/>
    <w:rsid w:val="00C323D1"/>
    <w:rsid w:val="00C32556"/>
    <w:rsid w:val="00C32576"/>
    <w:rsid w:val="00C325F9"/>
    <w:rsid w:val="00C32AFA"/>
    <w:rsid w:val="00C32C12"/>
    <w:rsid w:val="00C32C39"/>
    <w:rsid w:val="00C32E32"/>
    <w:rsid w:val="00C33DAD"/>
    <w:rsid w:val="00C348C9"/>
    <w:rsid w:val="00C349B8"/>
    <w:rsid w:val="00C34A49"/>
    <w:rsid w:val="00C34BAA"/>
    <w:rsid w:val="00C34F1C"/>
    <w:rsid w:val="00C35415"/>
    <w:rsid w:val="00C354E3"/>
    <w:rsid w:val="00C35514"/>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69"/>
    <w:rsid w:val="00C41F7A"/>
    <w:rsid w:val="00C42042"/>
    <w:rsid w:val="00C4225E"/>
    <w:rsid w:val="00C423DB"/>
    <w:rsid w:val="00C4265D"/>
    <w:rsid w:val="00C42674"/>
    <w:rsid w:val="00C428A6"/>
    <w:rsid w:val="00C42D3F"/>
    <w:rsid w:val="00C43908"/>
    <w:rsid w:val="00C43B4A"/>
    <w:rsid w:val="00C43C91"/>
    <w:rsid w:val="00C44069"/>
    <w:rsid w:val="00C443DF"/>
    <w:rsid w:val="00C44476"/>
    <w:rsid w:val="00C44F5E"/>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3FDC"/>
    <w:rsid w:val="00C540EA"/>
    <w:rsid w:val="00C54667"/>
    <w:rsid w:val="00C54668"/>
    <w:rsid w:val="00C546C6"/>
    <w:rsid w:val="00C5472E"/>
    <w:rsid w:val="00C548B3"/>
    <w:rsid w:val="00C548E5"/>
    <w:rsid w:val="00C54A2F"/>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B8E"/>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14C"/>
    <w:rsid w:val="00C652DA"/>
    <w:rsid w:val="00C65572"/>
    <w:rsid w:val="00C65655"/>
    <w:rsid w:val="00C657DD"/>
    <w:rsid w:val="00C65A5E"/>
    <w:rsid w:val="00C65A69"/>
    <w:rsid w:val="00C65A6A"/>
    <w:rsid w:val="00C65B25"/>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1E90"/>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110D"/>
    <w:rsid w:val="00C81331"/>
    <w:rsid w:val="00C81975"/>
    <w:rsid w:val="00C81B3B"/>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D0"/>
    <w:rsid w:val="00C92CFA"/>
    <w:rsid w:val="00C92F0A"/>
    <w:rsid w:val="00C92F77"/>
    <w:rsid w:val="00C9303B"/>
    <w:rsid w:val="00C93579"/>
    <w:rsid w:val="00C937E9"/>
    <w:rsid w:val="00C93A91"/>
    <w:rsid w:val="00C93CB0"/>
    <w:rsid w:val="00C941E2"/>
    <w:rsid w:val="00C942CD"/>
    <w:rsid w:val="00C94351"/>
    <w:rsid w:val="00C945E1"/>
    <w:rsid w:val="00C94B9A"/>
    <w:rsid w:val="00C95083"/>
    <w:rsid w:val="00C953CB"/>
    <w:rsid w:val="00C955FF"/>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6D2"/>
    <w:rsid w:val="00CB0729"/>
    <w:rsid w:val="00CB074A"/>
    <w:rsid w:val="00CB07D9"/>
    <w:rsid w:val="00CB08CA"/>
    <w:rsid w:val="00CB09B7"/>
    <w:rsid w:val="00CB0C0C"/>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6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83B"/>
    <w:rsid w:val="00CC49F5"/>
    <w:rsid w:val="00CC4B9D"/>
    <w:rsid w:val="00CC4FFC"/>
    <w:rsid w:val="00CC50F1"/>
    <w:rsid w:val="00CC5105"/>
    <w:rsid w:val="00CC5180"/>
    <w:rsid w:val="00CC51D6"/>
    <w:rsid w:val="00CC5213"/>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3"/>
    <w:rsid w:val="00CD34FA"/>
    <w:rsid w:val="00CD3544"/>
    <w:rsid w:val="00CD3777"/>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387"/>
    <w:rsid w:val="00CE2C4C"/>
    <w:rsid w:val="00CE2FEC"/>
    <w:rsid w:val="00CE3343"/>
    <w:rsid w:val="00CE3589"/>
    <w:rsid w:val="00CE3C8A"/>
    <w:rsid w:val="00CE3D2A"/>
    <w:rsid w:val="00CE436D"/>
    <w:rsid w:val="00CE44A8"/>
    <w:rsid w:val="00CE48FA"/>
    <w:rsid w:val="00CE495C"/>
    <w:rsid w:val="00CE4E15"/>
    <w:rsid w:val="00CE5029"/>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596"/>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0BF"/>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B45"/>
    <w:rsid w:val="00D14E4A"/>
    <w:rsid w:val="00D1520E"/>
    <w:rsid w:val="00D154B4"/>
    <w:rsid w:val="00D15578"/>
    <w:rsid w:val="00D157DB"/>
    <w:rsid w:val="00D158A2"/>
    <w:rsid w:val="00D15E75"/>
    <w:rsid w:val="00D160C6"/>
    <w:rsid w:val="00D161E6"/>
    <w:rsid w:val="00D16440"/>
    <w:rsid w:val="00D166A4"/>
    <w:rsid w:val="00D16B2F"/>
    <w:rsid w:val="00D16B46"/>
    <w:rsid w:val="00D16C40"/>
    <w:rsid w:val="00D16E07"/>
    <w:rsid w:val="00D1734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A21"/>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2B9"/>
    <w:rsid w:val="00D412D3"/>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5B1"/>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388"/>
    <w:rsid w:val="00D634A7"/>
    <w:rsid w:val="00D634E9"/>
    <w:rsid w:val="00D636AA"/>
    <w:rsid w:val="00D63805"/>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3AD"/>
    <w:rsid w:val="00D665A3"/>
    <w:rsid w:val="00D66C87"/>
    <w:rsid w:val="00D66CDA"/>
    <w:rsid w:val="00D66CDB"/>
    <w:rsid w:val="00D66EFF"/>
    <w:rsid w:val="00D66F39"/>
    <w:rsid w:val="00D67710"/>
    <w:rsid w:val="00D677CA"/>
    <w:rsid w:val="00D67C18"/>
    <w:rsid w:val="00D67E7E"/>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1"/>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6EEB"/>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BA"/>
    <w:rsid w:val="00D81DF1"/>
    <w:rsid w:val="00D820EF"/>
    <w:rsid w:val="00D8231D"/>
    <w:rsid w:val="00D82569"/>
    <w:rsid w:val="00D825DD"/>
    <w:rsid w:val="00D82658"/>
    <w:rsid w:val="00D8297C"/>
    <w:rsid w:val="00D82A80"/>
    <w:rsid w:val="00D82B95"/>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82F"/>
    <w:rsid w:val="00D879F1"/>
    <w:rsid w:val="00D87A6E"/>
    <w:rsid w:val="00D87EAA"/>
    <w:rsid w:val="00D900EF"/>
    <w:rsid w:val="00D90555"/>
    <w:rsid w:val="00D90693"/>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34D"/>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78"/>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CE2"/>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47A"/>
    <w:rsid w:val="00DB4665"/>
    <w:rsid w:val="00DB46B9"/>
    <w:rsid w:val="00DB49E5"/>
    <w:rsid w:val="00DB4AFF"/>
    <w:rsid w:val="00DB4B12"/>
    <w:rsid w:val="00DB4B7C"/>
    <w:rsid w:val="00DB4C97"/>
    <w:rsid w:val="00DB52B7"/>
    <w:rsid w:val="00DB52BA"/>
    <w:rsid w:val="00DB53FD"/>
    <w:rsid w:val="00DB54EB"/>
    <w:rsid w:val="00DB5A4C"/>
    <w:rsid w:val="00DB5AA2"/>
    <w:rsid w:val="00DB5B85"/>
    <w:rsid w:val="00DB5E56"/>
    <w:rsid w:val="00DB6066"/>
    <w:rsid w:val="00DB6115"/>
    <w:rsid w:val="00DB61F1"/>
    <w:rsid w:val="00DB68DD"/>
    <w:rsid w:val="00DB6958"/>
    <w:rsid w:val="00DB6A6D"/>
    <w:rsid w:val="00DB6B9B"/>
    <w:rsid w:val="00DB6BDA"/>
    <w:rsid w:val="00DB6E0A"/>
    <w:rsid w:val="00DB6F45"/>
    <w:rsid w:val="00DB7168"/>
    <w:rsid w:val="00DB76E4"/>
    <w:rsid w:val="00DB7A6D"/>
    <w:rsid w:val="00DB7B27"/>
    <w:rsid w:val="00DB7C25"/>
    <w:rsid w:val="00DB7FA0"/>
    <w:rsid w:val="00DB7FF4"/>
    <w:rsid w:val="00DC00FF"/>
    <w:rsid w:val="00DC0129"/>
    <w:rsid w:val="00DC0191"/>
    <w:rsid w:val="00DC02B3"/>
    <w:rsid w:val="00DC0381"/>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690"/>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96A"/>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0EBE"/>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3DE6"/>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36A"/>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C7"/>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8EA"/>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520"/>
    <w:rsid w:val="00E05751"/>
    <w:rsid w:val="00E057C1"/>
    <w:rsid w:val="00E05968"/>
    <w:rsid w:val="00E05B55"/>
    <w:rsid w:val="00E05B8F"/>
    <w:rsid w:val="00E05BC6"/>
    <w:rsid w:val="00E05F66"/>
    <w:rsid w:val="00E0636D"/>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02C"/>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5E3"/>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020"/>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046"/>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458"/>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94"/>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8B0"/>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BC5"/>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56A"/>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41"/>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0E9E"/>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545"/>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16D2"/>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A6E"/>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968"/>
    <w:rsid w:val="00E86D66"/>
    <w:rsid w:val="00E87307"/>
    <w:rsid w:val="00E87313"/>
    <w:rsid w:val="00E87333"/>
    <w:rsid w:val="00E87362"/>
    <w:rsid w:val="00E8748C"/>
    <w:rsid w:val="00E87722"/>
    <w:rsid w:val="00E87744"/>
    <w:rsid w:val="00E87A47"/>
    <w:rsid w:val="00E87D94"/>
    <w:rsid w:val="00E87F55"/>
    <w:rsid w:val="00E87FC4"/>
    <w:rsid w:val="00E907A8"/>
    <w:rsid w:val="00E90A1C"/>
    <w:rsid w:val="00E90FF1"/>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4B"/>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A1D"/>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C40"/>
    <w:rsid w:val="00EB3DA5"/>
    <w:rsid w:val="00EB3F1C"/>
    <w:rsid w:val="00EB416E"/>
    <w:rsid w:val="00EB4A71"/>
    <w:rsid w:val="00EB4D0F"/>
    <w:rsid w:val="00EB534E"/>
    <w:rsid w:val="00EB5353"/>
    <w:rsid w:val="00EB59CA"/>
    <w:rsid w:val="00EB5B9D"/>
    <w:rsid w:val="00EB5D3C"/>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0B2"/>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C46"/>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28F"/>
    <w:rsid w:val="00ED4495"/>
    <w:rsid w:val="00ED44D6"/>
    <w:rsid w:val="00ED465C"/>
    <w:rsid w:val="00ED4867"/>
    <w:rsid w:val="00ED4E07"/>
    <w:rsid w:val="00ED5165"/>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730"/>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B8C"/>
    <w:rsid w:val="00EF0C26"/>
    <w:rsid w:val="00EF0F78"/>
    <w:rsid w:val="00EF1002"/>
    <w:rsid w:val="00EF1305"/>
    <w:rsid w:val="00EF14EB"/>
    <w:rsid w:val="00EF155F"/>
    <w:rsid w:val="00EF1613"/>
    <w:rsid w:val="00EF1786"/>
    <w:rsid w:val="00EF18CA"/>
    <w:rsid w:val="00EF199A"/>
    <w:rsid w:val="00EF1CA6"/>
    <w:rsid w:val="00EF22CA"/>
    <w:rsid w:val="00EF24BE"/>
    <w:rsid w:val="00EF25F1"/>
    <w:rsid w:val="00EF273C"/>
    <w:rsid w:val="00EF2755"/>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77F"/>
    <w:rsid w:val="00EF4C3A"/>
    <w:rsid w:val="00EF4C8D"/>
    <w:rsid w:val="00EF4DCA"/>
    <w:rsid w:val="00EF526B"/>
    <w:rsid w:val="00EF54F5"/>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9F8"/>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C38"/>
    <w:rsid w:val="00F11F62"/>
    <w:rsid w:val="00F12941"/>
    <w:rsid w:val="00F12BFC"/>
    <w:rsid w:val="00F13051"/>
    <w:rsid w:val="00F13119"/>
    <w:rsid w:val="00F133E9"/>
    <w:rsid w:val="00F133F2"/>
    <w:rsid w:val="00F1362E"/>
    <w:rsid w:val="00F136E6"/>
    <w:rsid w:val="00F13AF6"/>
    <w:rsid w:val="00F13B38"/>
    <w:rsid w:val="00F13EA3"/>
    <w:rsid w:val="00F13ECB"/>
    <w:rsid w:val="00F13F15"/>
    <w:rsid w:val="00F142C4"/>
    <w:rsid w:val="00F142CF"/>
    <w:rsid w:val="00F1438B"/>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373"/>
    <w:rsid w:val="00F25485"/>
    <w:rsid w:val="00F25E1A"/>
    <w:rsid w:val="00F260C4"/>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82C"/>
    <w:rsid w:val="00F31911"/>
    <w:rsid w:val="00F31B14"/>
    <w:rsid w:val="00F320E2"/>
    <w:rsid w:val="00F322A0"/>
    <w:rsid w:val="00F32681"/>
    <w:rsid w:val="00F3269A"/>
    <w:rsid w:val="00F3281E"/>
    <w:rsid w:val="00F3296B"/>
    <w:rsid w:val="00F32E03"/>
    <w:rsid w:val="00F32E28"/>
    <w:rsid w:val="00F32F0D"/>
    <w:rsid w:val="00F32F0F"/>
    <w:rsid w:val="00F32FA0"/>
    <w:rsid w:val="00F32FBD"/>
    <w:rsid w:val="00F33122"/>
    <w:rsid w:val="00F331EE"/>
    <w:rsid w:val="00F3329B"/>
    <w:rsid w:val="00F3336A"/>
    <w:rsid w:val="00F33464"/>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74C"/>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93C"/>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30"/>
    <w:rsid w:val="00F536E1"/>
    <w:rsid w:val="00F5375B"/>
    <w:rsid w:val="00F53979"/>
    <w:rsid w:val="00F53D3A"/>
    <w:rsid w:val="00F53DC6"/>
    <w:rsid w:val="00F5413B"/>
    <w:rsid w:val="00F541BF"/>
    <w:rsid w:val="00F542DE"/>
    <w:rsid w:val="00F54301"/>
    <w:rsid w:val="00F54368"/>
    <w:rsid w:val="00F543A3"/>
    <w:rsid w:val="00F54525"/>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49"/>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AC"/>
    <w:rsid w:val="00F62CC8"/>
    <w:rsid w:val="00F63311"/>
    <w:rsid w:val="00F636F3"/>
    <w:rsid w:val="00F63851"/>
    <w:rsid w:val="00F63A58"/>
    <w:rsid w:val="00F63BC0"/>
    <w:rsid w:val="00F63E4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AFC"/>
    <w:rsid w:val="00F67BC2"/>
    <w:rsid w:val="00F67E5B"/>
    <w:rsid w:val="00F67F5C"/>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2F3"/>
    <w:rsid w:val="00F73330"/>
    <w:rsid w:val="00F7381F"/>
    <w:rsid w:val="00F742FE"/>
    <w:rsid w:val="00F74427"/>
    <w:rsid w:val="00F7480D"/>
    <w:rsid w:val="00F74B21"/>
    <w:rsid w:val="00F74BC8"/>
    <w:rsid w:val="00F7520F"/>
    <w:rsid w:val="00F756D4"/>
    <w:rsid w:val="00F75F2B"/>
    <w:rsid w:val="00F7615F"/>
    <w:rsid w:val="00F76167"/>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3D2"/>
    <w:rsid w:val="00F84779"/>
    <w:rsid w:val="00F84D8D"/>
    <w:rsid w:val="00F84E62"/>
    <w:rsid w:val="00F84EA8"/>
    <w:rsid w:val="00F84EF0"/>
    <w:rsid w:val="00F84EF1"/>
    <w:rsid w:val="00F8553A"/>
    <w:rsid w:val="00F858E4"/>
    <w:rsid w:val="00F859E6"/>
    <w:rsid w:val="00F85D02"/>
    <w:rsid w:val="00F861B8"/>
    <w:rsid w:val="00F8625C"/>
    <w:rsid w:val="00F864F0"/>
    <w:rsid w:val="00F86B5F"/>
    <w:rsid w:val="00F86B80"/>
    <w:rsid w:val="00F86EDE"/>
    <w:rsid w:val="00F86F57"/>
    <w:rsid w:val="00F875D2"/>
    <w:rsid w:val="00F8769A"/>
    <w:rsid w:val="00F8769C"/>
    <w:rsid w:val="00F876CC"/>
    <w:rsid w:val="00F876E5"/>
    <w:rsid w:val="00F87AA6"/>
    <w:rsid w:val="00F87F8A"/>
    <w:rsid w:val="00F9002D"/>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142"/>
    <w:rsid w:val="00F976C0"/>
    <w:rsid w:val="00F97836"/>
    <w:rsid w:val="00F97B8D"/>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22"/>
    <w:rsid w:val="00FA6D4F"/>
    <w:rsid w:val="00FA6E35"/>
    <w:rsid w:val="00FA7474"/>
    <w:rsid w:val="00FA74C2"/>
    <w:rsid w:val="00FA78A6"/>
    <w:rsid w:val="00FA7C15"/>
    <w:rsid w:val="00FA7E3D"/>
    <w:rsid w:val="00FA7E56"/>
    <w:rsid w:val="00FA7EDE"/>
    <w:rsid w:val="00FB0085"/>
    <w:rsid w:val="00FB01F8"/>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1E3"/>
    <w:rsid w:val="00FB53E3"/>
    <w:rsid w:val="00FB566D"/>
    <w:rsid w:val="00FB587D"/>
    <w:rsid w:val="00FB5B40"/>
    <w:rsid w:val="00FB5D16"/>
    <w:rsid w:val="00FB5E9C"/>
    <w:rsid w:val="00FB5F51"/>
    <w:rsid w:val="00FB60DF"/>
    <w:rsid w:val="00FB637E"/>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04"/>
    <w:rsid w:val="00FC32CE"/>
    <w:rsid w:val="00FC32D5"/>
    <w:rsid w:val="00FC33E2"/>
    <w:rsid w:val="00FC3413"/>
    <w:rsid w:val="00FC34E1"/>
    <w:rsid w:val="00FC3608"/>
    <w:rsid w:val="00FC3E5D"/>
    <w:rsid w:val="00FC4058"/>
    <w:rsid w:val="00FC4181"/>
    <w:rsid w:val="00FC42E9"/>
    <w:rsid w:val="00FC4528"/>
    <w:rsid w:val="00FC48FE"/>
    <w:rsid w:val="00FC4942"/>
    <w:rsid w:val="00FC4D41"/>
    <w:rsid w:val="00FC4FC9"/>
    <w:rsid w:val="00FC52FB"/>
    <w:rsid w:val="00FC5516"/>
    <w:rsid w:val="00FC592E"/>
    <w:rsid w:val="00FC5937"/>
    <w:rsid w:val="00FC5FD2"/>
    <w:rsid w:val="00FC608D"/>
    <w:rsid w:val="00FC60A5"/>
    <w:rsid w:val="00FC617F"/>
    <w:rsid w:val="00FC6372"/>
    <w:rsid w:val="00FC63C2"/>
    <w:rsid w:val="00FC64F6"/>
    <w:rsid w:val="00FC656F"/>
    <w:rsid w:val="00FC65BB"/>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40E"/>
    <w:rsid w:val="00FD4954"/>
    <w:rsid w:val="00FD4E68"/>
    <w:rsid w:val="00FD4EB0"/>
    <w:rsid w:val="00FD4F58"/>
    <w:rsid w:val="00FD4FAA"/>
    <w:rsid w:val="00FD5054"/>
    <w:rsid w:val="00FD5093"/>
    <w:rsid w:val="00FD55BE"/>
    <w:rsid w:val="00FD5709"/>
    <w:rsid w:val="00FD5732"/>
    <w:rsid w:val="00FD591D"/>
    <w:rsid w:val="00FD5E6B"/>
    <w:rsid w:val="00FD5FB0"/>
    <w:rsid w:val="00FD5FF0"/>
    <w:rsid w:val="00FD604E"/>
    <w:rsid w:val="00FD60B3"/>
    <w:rsid w:val="00FD61DA"/>
    <w:rsid w:val="00FD6381"/>
    <w:rsid w:val="00FD6503"/>
    <w:rsid w:val="00FD6584"/>
    <w:rsid w:val="00FD65A8"/>
    <w:rsid w:val="00FD6833"/>
    <w:rsid w:val="00FD6CE6"/>
    <w:rsid w:val="00FD6EEB"/>
    <w:rsid w:val="00FD6F5F"/>
    <w:rsid w:val="00FD6F78"/>
    <w:rsid w:val="00FD71B9"/>
    <w:rsid w:val="00FD7328"/>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2D1"/>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1FA"/>
    <w:rsid w:val="00FF6664"/>
    <w:rsid w:val="00FF6832"/>
    <w:rsid w:val="00FF6A9D"/>
    <w:rsid w:val="00FF6BB9"/>
    <w:rsid w:val="00FF6F78"/>
    <w:rsid w:val="00FF6FBA"/>
    <w:rsid w:val="00FF7211"/>
    <w:rsid w:val="00FF7E98"/>
    <w:rsid w:val="027785DB"/>
    <w:rsid w:val="032F474F"/>
    <w:rsid w:val="04714130"/>
    <w:rsid w:val="050A4967"/>
    <w:rsid w:val="05474F4A"/>
    <w:rsid w:val="05F0DC96"/>
    <w:rsid w:val="060CB2FA"/>
    <w:rsid w:val="060D1191"/>
    <w:rsid w:val="0678FA71"/>
    <w:rsid w:val="06BDF726"/>
    <w:rsid w:val="07C1F1E5"/>
    <w:rsid w:val="07DD826B"/>
    <w:rsid w:val="080E866F"/>
    <w:rsid w:val="08249599"/>
    <w:rsid w:val="08AFDA77"/>
    <w:rsid w:val="09472116"/>
    <w:rsid w:val="09514A69"/>
    <w:rsid w:val="09B7C80B"/>
    <w:rsid w:val="0A2C4ABB"/>
    <w:rsid w:val="0B349338"/>
    <w:rsid w:val="0B8C4FC3"/>
    <w:rsid w:val="0BC60B70"/>
    <w:rsid w:val="0C0AF61C"/>
    <w:rsid w:val="0C5EFCD3"/>
    <w:rsid w:val="0D2C03D8"/>
    <w:rsid w:val="0D717DD9"/>
    <w:rsid w:val="0D7933C0"/>
    <w:rsid w:val="0D7AC334"/>
    <w:rsid w:val="0DBD6534"/>
    <w:rsid w:val="0DF1F56D"/>
    <w:rsid w:val="0E09CF53"/>
    <w:rsid w:val="0E4265B7"/>
    <w:rsid w:val="0EE2CBBA"/>
    <w:rsid w:val="0EEA51DF"/>
    <w:rsid w:val="0F785D12"/>
    <w:rsid w:val="104747EB"/>
    <w:rsid w:val="10696535"/>
    <w:rsid w:val="10862240"/>
    <w:rsid w:val="1093AE95"/>
    <w:rsid w:val="10C122DB"/>
    <w:rsid w:val="112E970F"/>
    <w:rsid w:val="11E10E34"/>
    <w:rsid w:val="1207480D"/>
    <w:rsid w:val="120BB9A4"/>
    <w:rsid w:val="1221F2A1"/>
    <w:rsid w:val="12784572"/>
    <w:rsid w:val="12995A5A"/>
    <w:rsid w:val="13D8A001"/>
    <w:rsid w:val="13F1D93D"/>
    <w:rsid w:val="1519BCEF"/>
    <w:rsid w:val="151A09AC"/>
    <w:rsid w:val="158EE35A"/>
    <w:rsid w:val="15969E39"/>
    <w:rsid w:val="15BFDA8D"/>
    <w:rsid w:val="15FB857D"/>
    <w:rsid w:val="16210374"/>
    <w:rsid w:val="16211ABE"/>
    <w:rsid w:val="1628666A"/>
    <w:rsid w:val="162D91A4"/>
    <w:rsid w:val="169DBF98"/>
    <w:rsid w:val="16AC3F04"/>
    <w:rsid w:val="16C30713"/>
    <w:rsid w:val="16CECF99"/>
    <w:rsid w:val="16D0C7D7"/>
    <w:rsid w:val="16D4B542"/>
    <w:rsid w:val="175BAAEE"/>
    <w:rsid w:val="17C5AE1E"/>
    <w:rsid w:val="17C96205"/>
    <w:rsid w:val="17EF1080"/>
    <w:rsid w:val="184C0BE8"/>
    <w:rsid w:val="1876466F"/>
    <w:rsid w:val="19653266"/>
    <w:rsid w:val="19981962"/>
    <w:rsid w:val="1A78E10C"/>
    <w:rsid w:val="1A8F4733"/>
    <w:rsid w:val="1AE33600"/>
    <w:rsid w:val="1B57B56B"/>
    <w:rsid w:val="1B863E6A"/>
    <w:rsid w:val="1C1A64C8"/>
    <w:rsid w:val="1C713977"/>
    <w:rsid w:val="1CA390C3"/>
    <w:rsid w:val="1CFDAA2A"/>
    <w:rsid w:val="1D743BBD"/>
    <w:rsid w:val="1DF93072"/>
    <w:rsid w:val="1E105A81"/>
    <w:rsid w:val="1EEFCA74"/>
    <w:rsid w:val="1EF843F6"/>
    <w:rsid w:val="1F0B5099"/>
    <w:rsid w:val="20D431C6"/>
    <w:rsid w:val="20DE4D6C"/>
    <w:rsid w:val="20E86369"/>
    <w:rsid w:val="2203F12D"/>
    <w:rsid w:val="222D512E"/>
    <w:rsid w:val="22DDC09C"/>
    <w:rsid w:val="2310EBA8"/>
    <w:rsid w:val="239553EC"/>
    <w:rsid w:val="23FD68DC"/>
    <w:rsid w:val="2451C3D7"/>
    <w:rsid w:val="247F4841"/>
    <w:rsid w:val="258E2748"/>
    <w:rsid w:val="27878A2E"/>
    <w:rsid w:val="27CFE927"/>
    <w:rsid w:val="287346F6"/>
    <w:rsid w:val="2874F205"/>
    <w:rsid w:val="288B08FF"/>
    <w:rsid w:val="28D27054"/>
    <w:rsid w:val="28F1621E"/>
    <w:rsid w:val="294BA0DE"/>
    <w:rsid w:val="29B56D7A"/>
    <w:rsid w:val="29B8D78A"/>
    <w:rsid w:val="2A2A0B23"/>
    <w:rsid w:val="2A5062AA"/>
    <w:rsid w:val="2A736E0B"/>
    <w:rsid w:val="2ACFB841"/>
    <w:rsid w:val="2B5A35E6"/>
    <w:rsid w:val="2B66CC57"/>
    <w:rsid w:val="2B9D3388"/>
    <w:rsid w:val="2C193C79"/>
    <w:rsid w:val="2CC1A213"/>
    <w:rsid w:val="2D1FC029"/>
    <w:rsid w:val="2D486328"/>
    <w:rsid w:val="2E0C3EE8"/>
    <w:rsid w:val="2E12F677"/>
    <w:rsid w:val="2ED0D94A"/>
    <w:rsid w:val="2FF17B98"/>
    <w:rsid w:val="2FF942D5"/>
    <w:rsid w:val="3051AC91"/>
    <w:rsid w:val="311F9AA7"/>
    <w:rsid w:val="3173DC0D"/>
    <w:rsid w:val="31B960EB"/>
    <w:rsid w:val="31FD28EA"/>
    <w:rsid w:val="3202ABEE"/>
    <w:rsid w:val="3273606B"/>
    <w:rsid w:val="333C5549"/>
    <w:rsid w:val="3341EB62"/>
    <w:rsid w:val="347D01E5"/>
    <w:rsid w:val="34C11ACA"/>
    <w:rsid w:val="34F43373"/>
    <w:rsid w:val="359634AA"/>
    <w:rsid w:val="3598A36D"/>
    <w:rsid w:val="35C7CBC3"/>
    <w:rsid w:val="36284CF0"/>
    <w:rsid w:val="369003D4"/>
    <w:rsid w:val="36A912E4"/>
    <w:rsid w:val="36CEA825"/>
    <w:rsid w:val="36D37680"/>
    <w:rsid w:val="3707ECC6"/>
    <w:rsid w:val="371F307A"/>
    <w:rsid w:val="37C1E8AB"/>
    <w:rsid w:val="37D14DFC"/>
    <w:rsid w:val="380A3E34"/>
    <w:rsid w:val="383B99F4"/>
    <w:rsid w:val="385C7873"/>
    <w:rsid w:val="385E889B"/>
    <w:rsid w:val="38622F30"/>
    <w:rsid w:val="389557E2"/>
    <w:rsid w:val="395EDA3A"/>
    <w:rsid w:val="39FAD6CA"/>
    <w:rsid w:val="3A1C8224"/>
    <w:rsid w:val="3AC32D86"/>
    <w:rsid w:val="3B266E73"/>
    <w:rsid w:val="3C164788"/>
    <w:rsid w:val="3C19D4E3"/>
    <w:rsid w:val="3C20237E"/>
    <w:rsid w:val="3C5F423B"/>
    <w:rsid w:val="3C98CA42"/>
    <w:rsid w:val="3D48B0C9"/>
    <w:rsid w:val="3DB0CCDC"/>
    <w:rsid w:val="3DC1FA9F"/>
    <w:rsid w:val="3E2BCCC0"/>
    <w:rsid w:val="3E3359D9"/>
    <w:rsid w:val="3F4C9D3D"/>
    <w:rsid w:val="3F8C6AE5"/>
    <w:rsid w:val="3FBF5D5D"/>
    <w:rsid w:val="40CDEB82"/>
    <w:rsid w:val="42268B5C"/>
    <w:rsid w:val="422A865C"/>
    <w:rsid w:val="424D4FE6"/>
    <w:rsid w:val="42DF6DB1"/>
    <w:rsid w:val="43D30E70"/>
    <w:rsid w:val="440C7CB8"/>
    <w:rsid w:val="44A8630C"/>
    <w:rsid w:val="44B6A353"/>
    <w:rsid w:val="4542C974"/>
    <w:rsid w:val="456EDED1"/>
    <w:rsid w:val="457202EE"/>
    <w:rsid w:val="45EC4891"/>
    <w:rsid w:val="470DD34F"/>
    <w:rsid w:val="47D0A48F"/>
    <w:rsid w:val="491960CF"/>
    <w:rsid w:val="4995791D"/>
    <w:rsid w:val="49D2F5D1"/>
    <w:rsid w:val="4A23C63A"/>
    <w:rsid w:val="4BADA166"/>
    <w:rsid w:val="4BC02D43"/>
    <w:rsid w:val="4C2CB3DC"/>
    <w:rsid w:val="4C5C5EF6"/>
    <w:rsid w:val="4D41D350"/>
    <w:rsid w:val="4D6D4923"/>
    <w:rsid w:val="4D7D14D3"/>
    <w:rsid w:val="4D93462D"/>
    <w:rsid w:val="4DA854E0"/>
    <w:rsid w:val="4DC4BAC4"/>
    <w:rsid w:val="4E25539B"/>
    <w:rsid w:val="4EFDD94D"/>
    <w:rsid w:val="4F37AA89"/>
    <w:rsid w:val="4FCDF242"/>
    <w:rsid w:val="4FD69679"/>
    <w:rsid w:val="4FE7B6B7"/>
    <w:rsid w:val="500FBBD0"/>
    <w:rsid w:val="5026864D"/>
    <w:rsid w:val="504FA466"/>
    <w:rsid w:val="5054E495"/>
    <w:rsid w:val="506AE5C4"/>
    <w:rsid w:val="508880B1"/>
    <w:rsid w:val="514D4251"/>
    <w:rsid w:val="52064EDF"/>
    <w:rsid w:val="525085F6"/>
    <w:rsid w:val="52957D30"/>
    <w:rsid w:val="52A29AB2"/>
    <w:rsid w:val="52C39BC1"/>
    <w:rsid w:val="535D8F97"/>
    <w:rsid w:val="53B1DAF9"/>
    <w:rsid w:val="54921548"/>
    <w:rsid w:val="54B1D321"/>
    <w:rsid w:val="5525E04A"/>
    <w:rsid w:val="5526DC79"/>
    <w:rsid w:val="5569CF03"/>
    <w:rsid w:val="5632CB9A"/>
    <w:rsid w:val="56B99363"/>
    <w:rsid w:val="56DF4D15"/>
    <w:rsid w:val="57161155"/>
    <w:rsid w:val="5723F719"/>
    <w:rsid w:val="574D11C8"/>
    <w:rsid w:val="577A8BDB"/>
    <w:rsid w:val="578501D5"/>
    <w:rsid w:val="59165C3C"/>
    <w:rsid w:val="59FF88A0"/>
    <w:rsid w:val="5A058BA8"/>
    <w:rsid w:val="5A4BF988"/>
    <w:rsid w:val="5A7B6A4E"/>
    <w:rsid w:val="5A87214D"/>
    <w:rsid w:val="5AA0D6E9"/>
    <w:rsid w:val="5B15C33B"/>
    <w:rsid w:val="5B5C543B"/>
    <w:rsid w:val="5B800E44"/>
    <w:rsid w:val="5BE02B1B"/>
    <w:rsid w:val="5C42B660"/>
    <w:rsid w:val="5C4A8D1A"/>
    <w:rsid w:val="5CB85DE4"/>
    <w:rsid w:val="5CC04537"/>
    <w:rsid w:val="5CD3EC88"/>
    <w:rsid w:val="5DC55E64"/>
    <w:rsid w:val="5DFEDAE5"/>
    <w:rsid w:val="5E3B3286"/>
    <w:rsid w:val="5E542E45"/>
    <w:rsid w:val="5FCB6B3B"/>
    <w:rsid w:val="5FF390EF"/>
    <w:rsid w:val="60D11650"/>
    <w:rsid w:val="6123845C"/>
    <w:rsid w:val="613E0F6E"/>
    <w:rsid w:val="626172EF"/>
    <w:rsid w:val="62879C14"/>
    <w:rsid w:val="628C9DFB"/>
    <w:rsid w:val="63122A69"/>
    <w:rsid w:val="64ADFACA"/>
    <w:rsid w:val="64B00AF2"/>
    <w:rsid w:val="64CF4AF6"/>
    <w:rsid w:val="657DFE38"/>
    <w:rsid w:val="659B0B6A"/>
    <w:rsid w:val="65CB6D09"/>
    <w:rsid w:val="6736DBCB"/>
    <w:rsid w:val="68C5A3DA"/>
    <w:rsid w:val="68D9E5DC"/>
    <w:rsid w:val="6916A2B7"/>
    <w:rsid w:val="691F2F9F"/>
    <w:rsid w:val="69290453"/>
    <w:rsid w:val="69592524"/>
    <w:rsid w:val="698781AD"/>
    <w:rsid w:val="6A495270"/>
    <w:rsid w:val="6A86DF19"/>
    <w:rsid w:val="6B23520E"/>
    <w:rsid w:val="6B29B3A2"/>
    <w:rsid w:val="6C6E0AD6"/>
    <w:rsid w:val="6C6F4014"/>
    <w:rsid w:val="6C9DBF53"/>
    <w:rsid w:val="6CC2F178"/>
    <w:rsid w:val="6CCEFE3F"/>
    <w:rsid w:val="6CE8269C"/>
    <w:rsid w:val="6CF49A6B"/>
    <w:rsid w:val="6D93E026"/>
    <w:rsid w:val="6DB2E447"/>
    <w:rsid w:val="6DC13C3F"/>
    <w:rsid w:val="6E4E8321"/>
    <w:rsid w:val="6F2121D8"/>
    <w:rsid w:val="6FC8880F"/>
    <w:rsid w:val="6FF5B871"/>
    <w:rsid w:val="704CBA31"/>
    <w:rsid w:val="7092DE7C"/>
    <w:rsid w:val="70CAE970"/>
    <w:rsid w:val="70D94C5C"/>
    <w:rsid w:val="716AC685"/>
    <w:rsid w:val="71C80B8E"/>
    <w:rsid w:val="723DCAE8"/>
    <w:rsid w:val="729B2CD6"/>
    <w:rsid w:val="72B51B7E"/>
    <w:rsid w:val="7338F329"/>
    <w:rsid w:val="73604913"/>
    <w:rsid w:val="73CF12C5"/>
    <w:rsid w:val="74ED101F"/>
    <w:rsid w:val="74F30F41"/>
    <w:rsid w:val="750D691F"/>
    <w:rsid w:val="75658CB6"/>
    <w:rsid w:val="75756BAA"/>
    <w:rsid w:val="7594D976"/>
    <w:rsid w:val="75B24B24"/>
    <w:rsid w:val="75F0036A"/>
    <w:rsid w:val="76FBD254"/>
    <w:rsid w:val="78787381"/>
    <w:rsid w:val="789A2AB4"/>
    <w:rsid w:val="78E420D8"/>
    <w:rsid w:val="7A355017"/>
    <w:rsid w:val="7A770BD4"/>
    <w:rsid w:val="7AFC17F7"/>
    <w:rsid w:val="7B1306D5"/>
    <w:rsid w:val="7B7E66CF"/>
    <w:rsid w:val="7DE623AD"/>
    <w:rsid w:val="7F1D156D"/>
    <w:rsid w:val="7F8DDDBA"/>
    <w:rsid w:val="7FD604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96659"/>
  <w15:docId w15:val="{AEA9187F-9DF0-455B-89C8-DF19C2D0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Fiche List Paragraph,OBC Bullet,Dot pt,F5 List Paragraph,List Paragraph1,No Spacing1,List Paragraph Char Char Char,Indicator Text,Numbered Para 1,Bullet 1,Bullet Points,MAIN CONTENT,List Paragraph11,2,Bullet St"/>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paragraph" w:customStyle="1" w:styleId="paragraph">
    <w:name w:val="paragraph"/>
    <w:basedOn w:val="Normal"/>
    <w:rsid w:val="00257178"/>
    <w:pPr>
      <w:spacing w:before="100" w:beforeAutospacing="1" w:after="100" w:afterAutospacing="1"/>
      <w:jc w:val="left"/>
    </w:pPr>
    <w:rPr>
      <w:rFonts w:ascii="Times New Roman" w:hAnsi="Times New Roman"/>
      <w:szCs w:val="24"/>
    </w:rPr>
  </w:style>
  <w:style w:type="character" w:customStyle="1" w:styleId="normaltextrun">
    <w:name w:val="normaltextrun"/>
    <w:basedOn w:val="DefaultParagraphFont"/>
    <w:rsid w:val="00257178"/>
  </w:style>
  <w:style w:type="paragraph" w:customStyle="1" w:styleId="NormalHanging12a">
    <w:name w:val="NormalHanging12a"/>
    <w:basedOn w:val="Normal"/>
    <w:rsid w:val="006A4B38"/>
    <w:pPr>
      <w:ind w:left="567" w:hanging="567"/>
      <w:jc w:val="left"/>
    </w:pPr>
    <w:rPr>
      <w:rFonts w:ascii="Times New Roman" w:hAnsi="Times New Roman"/>
      <w:snapToGrid w:val="0"/>
      <w:lang w:eastAsia="en-US"/>
    </w:rPr>
  </w:style>
  <w:style w:type="character" w:styleId="UnresolvedMention">
    <w:name w:val="Unresolved Mention"/>
    <w:uiPriority w:val="99"/>
    <w:semiHidden/>
    <w:unhideWhenUsed/>
    <w:rsid w:val="00C14EAE"/>
    <w:rPr>
      <w:color w:val="605E5C"/>
      <w:shd w:val="clear" w:color="auto" w:fill="E1DFDD"/>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Numbered Para 1 Char,Bullet 1 Char,Bullet Points Char,2 Char"/>
    <w:link w:val="ListParagraph"/>
    <w:uiPriority w:val="34"/>
    <w:qFormat/>
    <w:rsid w:val="00D8782F"/>
    <w:rPr>
      <w:rFonts w:ascii="Calibri" w:eastAsia="Calibri" w:hAnsi="Calibri"/>
      <w:sz w:val="22"/>
      <w:szCs w:val="22"/>
      <w:lang w:val="fr-FR" w:eastAsia="en-US"/>
    </w:rPr>
  </w:style>
  <w:style w:type="character" w:customStyle="1" w:styleId="cf01">
    <w:name w:val="cf01"/>
    <w:rsid w:val="00D8782F"/>
    <w:rPr>
      <w:rFonts w:ascii="Segoe UI" w:hAnsi="Segoe UI" w:cs="Segoe UI" w:hint="default"/>
      <w:sz w:val="18"/>
      <w:szCs w:val="18"/>
    </w:rPr>
  </w:style>
  <w:style w:type="paragraph" w:customStyle="1" w:styleId="pf0">
    <w:name w:val="pf0"/>
    <w:basedOn w:val="Normal"/>
    <w:rsid w:val="00F1438B"/>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8938">
      <w:bodyDiv w:val="1"/>
      <w:marLeft w:val="0"/>
      <w:marRight w:val="0"/>
      <w:marTop w:val="0"/>
      <w:marBottom w:val="0"/>
      <w:divBdr>
        <w:top w:val="none" w:sz="0" w:space="0" w:color="auto"/>
        <w:left w:val="none" w:sz="0" w:space="0" w:color="auto"/>
        <w:bottom w:val="none" w:sz="0" w:space="0" w:color="auto"/>
        <w:right w:val="none" w:sz="0" w:space="0" w:color="auto"/>
      </w:divBdr>
    </w:div>
    <w:div w:id="83500741">
      <w:bodyDiv w:val="1"/>
      <w:marLeft w:val="0"/>
      <w:marRight w:val="0"/>
      <w:marTop w:val="0"/>
      <w:marBottom w:val="0"/>
      <w:divBdr>
        <w:top w:val="none" w:sz="0" w:space="0" w:color="auto"/>
        <w:left w:val="none" w:sz="0" w:space="0" w:color="auto"/>
        <w:bottom w:val="none" w:sz="0" w:space="0" w:color="auto"/>
        <w:right w:val="none" w:sz="0" w:space="0" w:color="auto"/>
      </w:divBdr>
    </w:div>
    <w:div w:id="243340156">
      <w:bodyDiv w:val="1"/>
      <w:marLeft w:val="0"/>
      <w:marRight w:val="0"/>
      <w:marTop w:val="0"/>
      <w:marBottom w:val="0"/>
      <w:divBdr>
        <w:top w:val="none" w:sz="0" w:space="0" w:color="auto"/>
        <w:left w:val="none" w:sz="0" w:space="0" w:color="auto"/>
        <w:bottom w:val="none" w:sz="0" w:space="0" w:color="auto"/>
        <w:right w:val="none" w:sz="0" w:space="0" w:color="auto"/>
      </w:divBdr>
    </w:div>
    <w:div w:id="348063994">
      <w:bodyDiv w:val="1"/>
      <w:marLeft w:val="0"/>
      <w:marRight w:val="0"/>
      <w:marTop w:val="0"/>
      <w:marBottom w:val="0"/>
      <w:divBdr>
        <w:top w:val="none" w:sz="0" w:space="0" w:color="auto"/>
        <w:left w:val="none" w:sz="0" w:space="0" w:color="auto"/>
        <w:bottom w:val="none" w:sz="0" w:space="0" w:color="auto"/>
        <w:right w:val="none" w:sz="0" w:space="0" w:color="auto"/>
      </w:divBdr>
    </w:div>
    <w:div w:id="488985154">
      <w:bodyDiv w:val="1"/>
      <w:marLeft w:val="0"/>
      <w:marRight w:val="0"/>
      <w:marTop w:val="0"/>
      <w:marBottom w:val="0"/>
      <w:divBdr>
        <w:top w:val="none" w:sz="0" w:space="0" w:color="auto"/>
        <w:left w:val="none" w:sz="0" w:space="0" w:color="auto"/>
        <w:bottom w:val="none" w:sz="0" w:space="0" w:color="auto"/>
        <w:right w:val="none" w:sz="0" w:space="0" w:color="auto"/>
      </w:divBdr>
    </w:div>
    <w:div w:id="621423084">
      <w:bodyDiv w:val="1"/>
      <w:marLeft w:val="0"/>
      <w:marRight w:val="0"/>
      <w:marTop w:val="0"/>
      <w:marBottom w:val="0"/>
      <w:divBdr>
        <w:top w:val="none" w:sz="0" w:space="0" w:color="auto"/>
        <w:left w:val="none" w:sz="0" w:space="0" w:color="auto"/>
        <w:bottom w:val="none" w:sz="0" w:space="0" w:color="auto"/>
        <w:right w:val="none" w:sz="0" w:space="0" w:color="auto"/>
      </w:divBdr>
    </w:div>
    <w:div w:id="645164993">
      <w:bodyDiv w:val="1"/>
      <w:marLeft w:val="0"/>
      <w:marRight w:val="0"/>
      <w:marTop w:val="0"/>
      <w:marBottom w:val="0"/>
      <w:divBdr>
        <w:top w:val="none" w:sz="0" w:space="0" w:color="auto"/>
        <w:left w:val="none" w:sz="0" w:space="0" w:color="auto"/>
        <w:bottom w:val="none" w:sz="0" w:space="0" w:color="auto"/>
        <w:right w:val="none" w:sz="0" w:space="0" w:color="auto"/>
      </w:divBdr>
    </w:div>
    <w:div w:id="743989184">
      <w:bodyDiv w:val="1"/>
      <w:marLeft w:val="0"/>
      <w:marRight w:val="0"/>
      <w:marTop w:val="0"/>
      <w:marBottom w:val="0"/>
      <w:divBdr>
        <w:top w:val="none" w:sz="0" w:space="0" w:color="auto"/>
        <w:left w:val="none" w:sz="0" w:space="0" w:color="auto"/>
        <w:bottom w:val="none" w:sz="0" w:space="0" w:color="auto"/>
        <w:right w:val="none" w:sz="0" w:space="0" w:color="auto"/>
      </w:divBdr>
    </w:div>
    <w:div w:id="817770745">
      <w:bodyDiv w:val="1"/>
      <w:marLeft w:val="0"/>
      <w:marRight w:val="0"/>
      <w:marTop w:val="0"/>
      <w:marBottom w:val="0"/>
      <w:divBdr>
        <w:top w:val="none" w:sz="0" w:space="0" w:color="auto"/>
        <w:left w:val="none" w:sz="0" w:space="0" w:color="auto"/>
        <w:bottom w:val="none" w:sz="0" w:space="0" w:color="auto"/>
        <w:right w:val="none" w:sz="0" w:space="0" w:color="auto"/>
      </w:divBdr>
    </w:div>
    <w:div w:id="828714745">
      <w:bodyDiv w:val="1"/>
      <w:marLeft w:val="0"/>
      <w:marRight w:val="0"/>
      <w:marTop w:val="0"/>
      <w:marBottom w:val="0"/>
      <w:divBdr>
        <w:top w:val="none" w:sz="0" w:space="0" w:color="auto"/>
        <w:left w:val="none" w:sz="0" w:space="0" w:color="auto"/>
        <w:bottom w:val="none" w:sz="0" w:space="0" w:color="auto"/>
        <w:right w:val="none" w:sz="0" w:space="0" w:color="auto"/>
      </w:divBdr>
      <w:divsChild>
        <w:div w:id="630861102">
          <w:marLeft w:val="0"/>
          <w:marRight w:val="0"/>
          <w:marTop w:val="0"/>
          <w:marBottom w:val="0"/>
          <w:divBdr>
            <w:top w:val="none" w:sz="0" w:space="0" w:color="auto"/>
            <w:left w:val="none" w:sz="0" w:space="0" w:color="auto"/>
            <w:bottom w:val="none" w:sz="0" w:space="0" w:color="auto"/>
            <w:right w:val="none" w:sz="0" w:space="0" w:color="auto"/>
          </w:divBdr>
          <w:divsChild>
            <w:div w:id="21002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8836">
      <w:bodyDiv w:val="1"/>
      <w:marLeft w:val="0"/>
      <w:marRight w:val="0"/>
      <w:marTop w:val="0"/>
      <w:marBottom w:val="0"/>
      <w:divBdr>
        <w:top w:val="none" w:sz="0" w:space="0" w:color="auto"/>
        <w:left w:val="none" w:sz="0" w:space="0" w:color="auto"/>
        <w:bottom w:val="none" w:sz="0" w:space="0" w:color="auto"/>
        <w:right w:val="none" w:sz="0" w:space="0" w:color="auto"/>
      </w:divBdr>
    </w:div>
    <w:div w:id="1091051366">
      <w:bodyDiv w:val="1"/>
      <w:marLeft w:val="0"/>
      <w:marRight w:val="0"/>
      <w:marTop w:val="0"/>
      <w:marBottom w:val="0"/>
      <w:divBdr>
        <w:top w:val="none" w:sz="0" w:space="0" w:color="auto"/>
        <w:left w:val="none" w:sz="0" w:space="0" w:color="auto"/>
        <w:bottom w:val="none" w:sz="0" w:space="0" w:color="auto"/>
        <w:right w:val="none" w:sz="0" w:space="0" w:color="auto"/>
      </w:divBdr>
    </w:div>
    <w:div w:id="1164854270">
      <w:bodyDiv w:val="1"/>
      <w:marLeft w:val="0"/>
      <w:marRight w:val="0"/>
      <w:marTop w:val="0"/>
      <w:marBottom w:val="0"/>
      <w:divBdr>
        <w:top w:val="none" w:sz="0" w:space="0" w:color="auto"/>
        <w:left w:val="none" w:sz="0" w:space="0" w:color="auto"/>
        <w:bottom w:val="none" w:sz="0" w:space="0" w:color="auto"/>
        <w:right w:val="none" w:sz="0" w:space="0" w:color="auto"/>
      </w:divBdr>
    </w:div>
    <w:div w:id="1238788207">
      <w:bodyDiv w:val="1"/>
      <w:marLeft w:val="0"/>
      <w:marRight w:val="0"/>
      <w:marTop w:val="0"/>
      <w:marBottom w:val="0"/>
      <w:divBdr>
        <w:top w:val="none" w:sz="0" w:space="0" w:color="auto"/>
        <w:left w:val="none" w:sz="0" w:space="0" w:color="auto"/>
        <w:bottom w:val="none" w:sz="0" w:space="0" w:color="auto"/>
        <w:right w:val="none" w:sz="0" w:space="0" w:color="auto"/>
      </w:divBdr>
    </w:div>
    <w:div w:id="1239514303">
      <w:bodyDiv w:val="1"/>
      <w:marLeft w:val="0"/>
      <w:marRight w:val="0"/>
      <w:marTop w:val="0"/>
      <w:marBottom w:val="0"/>
      <w:divBdr>
        <w:top w:val="none" w:sz="0" w:space="0" w:color="auto"/>
        <w:left w:val="none" w:sz="0" w:space="0" w:color="auto"/>
        <w:bottom w:val="none" w:sz="0" w:space="0" w:color="auto"/>
        <w:right w:val="none" w:sz="0" w:space="0" w:color="auto"/>
      </w:divBdr>
    </w:div>
    <w:div w:id="1511485042">
      <w:bodyDiv w:val="1"/>
      <w:marLeft w:val="0"/>
      <w:marRight w:val="0"/>
      <w:marTop w:val="0"/>
      <w:marBottom w:val="0"/>
      <w:divBdr>
        <w:top w:val="none" w:sz="0" w:space="0" w:color="auto"/>
        <w:left w:val="none" w:sz="0" w:space="0" w:color="auto"/>
        <w:bottom w:val="none" w:sz="0" w:space="0" w:color="auto"/>
        <w:right w:val="none" w:sz="0" w:space="0" w:color="auto"/>
      </w:divBdr>
    </w:div>
    <w:div w:id="1644777871">
      <w:bodyDiv w:val="1"/>
      <w:marLeft w:val="0"/>
      <w:marRight w:val="0"/>
      <w:marTop w:val="0"/>
      <w:marBottom w:val="0"/>
      <w:divBdr>
        <w:top w:val="none" w:sz="0" w:space="0" w:color="auto"/>
        <w:left w:val="none" w:sz="0" w:space="0" w:color="auto"/>
        <w:bottom w:val="none" w:sz="0" w:space="0" w:color="auto"/>
        <w:right w:val="none" w:sz="0" w:space="0" w:color="auto"/>
      </w:divBdr>
    </w:div>
    <w:div w:id="1682004474">
      <w:bodyDiv w:val="1"/>
      <w:marLeft w:val="0"/>
      <w:marRight w:val="0"/>
      <w:marTop w:val="0"/>
      <w:marBottom w:val="0"/>
      <w:divBdr>
        <w:top w:val="none" w:sz="0" w:space="0" w:color="auto"/>
        <w:left w:val="none" w:sz="0" w:space="0" w:color="auto"/>
        <w:bottom w:val="none" w:sz="0" w:space="0" w:color="auto"/>
        <w:right w:val="none" w:sz="0" w:space="0" w:color="auto"/>
      </w:divBdr>
    </w:div>
    <w:div w:id="1682198683">
      <w:bodyDiv w:val="1"/>
      <w:marLeft w:val="0"/>
      <w:marRight w:val="0"/>
      <w:marTop w:val="0"/>
      <w:marBottom w:val="0"/>
      <w:divBdr>
        <w:top w:val="none" w:sz="0" w:space="0" w:color="auto"/>
        <w:left w:val="none" w:sz="0" w:space="0" w:color="auto"/>
        <w:bottom w:val="none" w:sz="0" w:space="0" w:color="auto"/>
        <w:right w:val="none" w:sz="0" w:space="0" w:color="auto"/>
      </w:divBdr>
    </w:div>
    <w:div w:id="1784685372">
      <w:bodyDiv w:val="1"/>
      <w:marLeft w:val="0"/>
      <w:marRight w:val="0"/>
      <w:marTop w:val="0"/>
      <w:marBottom w:val="0"/>
      <w:divBdr>
        <w:top w:val="none" w:sz="0" w:space="0" w:color="auto"/>
        <w:left w:val="none" w:sz="0" w:space="0" w:color="auto"/>
        <w:bottom w:val="none" w:sz="0" w:space="0" w:color="auto"/>
        <w:right w:val="none" w:sz="0" w:space="0" w:color="auto"/>
      </w:divBdr>
    </w:div>
    <w:div w:id="1829397531">
      <w:bodyDiv w:val="1"/>
      <w:marLeft w:val="0"/>
      <w:marRight w:val="0"/>
      <w:marTop w:val="0"/>
      <w:marBottom w:val="0"/>
      <w:divBdr>
        <w:top w:val="none" w:sz="0" w:space="0" w:color="auto"/>
        <w:left w:val="none" w:sz="0" w:space="0" w:color="auto"/>
        <w:bottom w:val="none" w:sz="0" w:space="0" w:color="auto"/>
        <w:right w:val="none" w:sz="0" w:space="0" w:color="auto"/>
      </w:divBdr>
    </w:div>
    <w:div w:id="1846628818">
      <w:bodyDiv w:val="1"/>
      <w:marLeft w:val="0"/>
      <w:marRight w:val="0"/>
      <w:marTop w:val="0"/>
      <w:marBottom w:val="0"/>
      <w:divBdr>
        <w:top w:val="none" w:sz="0" w:space="0" w:color="auto"/>
        <w:left w:val="none" w:sz="0" w:space="0" w:color="auto"/>
        <w:bottom w:val="none" w:sz="0" w:space="0" w:color="auto"/>
        <w:right w:val="none" w:sz="0" w:space="0" w:color="auto"/>
      </w:divBdr>
    </w:div>
    <w:div w:id="1890996068">
      <w:bodyDiv w:val="1"/>
      <w:marLeft w:val="0"/>
      <w:marRight w:val="0"/>
      <w:marTop w:val="0"/>
      <w:marBottom w:val="0"/>
      <w:divBdr>
        <w:top w:val="none" w:sz="0" w:space="0" w:color="auto"/>
        <w:left w:val="none" w:sz="0" w:space="0" w:color="auto"/>
        <w:bottom w:val="none" w:sz="0" w:space="0" w:color="auto"/>
        <w:right w:val="none" w:sz="0" w:space="0" w:color="auto"/>
      </w:divBdr>
    </w:div>
    <w:div w:id="1897934670">
      <w:bodyDiv w:val="1"/>
      <w:marLeft w:val="0"/>
      <w:marRight w:val="0"/>
      <w:marTop w:val="0"/>
      <w:marBottom w:val="0"/>
      <w:divBdr>
        <w:top w:val="none" w:sz="0" w:space="0" w:color="auto"/>
        <w:left w:val="none" w:sz="0" w:space="0" w:color="auto"/>
        <w:bottom w:val="none" w:sz="0" w:space="0" w:color="auto"/>
        <w:right w:val="none" w:sz="0" w:space="0" w:color="auto"/>
      </w:divBdr>
    </w:div>
    <w:div w:id="1983004501">
      <w:bodyDiv w:val="1"/>
      <w:marLeft w:val="0"/>
      <w:marRight w:val="0"/>
      <w:marTop w:val="0"/>
      <w:marBottom w:val="0"/>
      <w:divBdr>
        <w:top w:val="none" w:sz="0" w:space="0" w:color="auto"/>
        <w:left w:val="none" w:sz="0" w:space="0" w:color="auto"/>
        <w:bottom w:val="none" w:sz="0" w:space="0" w:color="auto"/>
        <w:right w:val="none" w:sz="0" w:space="0" w:color="auto"/>
      </w:divBdr>
      <w:divsChild>
        <w:div w:id="297927328">
          <w:marLeft w:val="0"/>
          <w:marRight w:val="0"/>
          <w:marTop w:val="0"/>
          <w:marBottom w:val="0"/>
          <w:divBdr>
            <w:top w:val="none" w:sz="0" w:space="0" w:color="auto"/>
            <w:left w:val="none" w:sz="0" w:space="0" w:color="auto"/>
            <w:bottom w:val="none" w:sz="0" w:space="0" w:color="auto"/>
            <w:right w:val="none" w:sz="0" w:space="0" w:color="auto"/>
          </w:divBdr>
          <w:divsChild>
            <w:div w:id="21452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5059">
      <w:bodyDiv w:val="1"/>
      <w:marLeft w:val="0"/>
      <w:marRight w:val="0"/>
      <w:marTop w:val="0"/>
      <w:marBottom w:val="0"/>
      <w:divBdr>
        <w:top w:val="none" w:sz="0" w:space="0" w:color="auto"/>
        <w:left w:val="none" w:sz="0" w:space="0" w:color="auto"/>
        <w:bottom w:val="none" w:sz="0" w:space="0" w:color="auto"/>
        <w:right w:val="none" w:sz="0" w:space="0" w:color="auto"/>
      </w:divBdr>
    </w:div>
    <w:div w:id="20518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FR/TXT/?uri=COM%3A2021%3A660%3AFIN" TargetMode="External"/><Relationship Id="rId18" Type="http://schemas.openxmlformats.org/officeDocument/2006/relationships/hyperlink" Target="https://commission.europa.eu/funding-tenders/find-funding/eu-funding-programmes/european-regional-development-fund-erdf_en?prefLang=fr" TargetMode="External"/><Relationship Id="rId26" Type="http://schemas.openxmlformats.org/officeDocument/2006/relationships/hyperlink" Target="https://eur-lex.europa.eu/legal-content/FR/TXT/?uri=CELEX%3A52020DC0624" TargetMode="External"/><Relationship Id="rId3" Type="http://schemas.openxmlformats.org/officeDocument/2006/relationships/customXml" Target="../customXml/item3.xml"/><Relationship Id="rId21" Type="http://schemas.openxmlformats.org/officeDocument/2006/relationships/hyperlink" Target="https://eur-lex.europa.eu/legal-content/EN-FR/TXT/?from=EN&amp;uri=CELEX%3A52020DC0152"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ogle.be/url?sa=t&amp;rct=j&amp;q=&amp;esrc=s&amp;source=web&amp;cd=&amp;ved=2ahUKEwiarP-H1JmEAxVC_bsIHc5gCBgQFnoECBQQAQ&amp;url=https%3A%2F%2Fec.europa.eu%2Fsocial%2FBlobServlet%3FdocId%3D27173%26langId%3Den&amp;usg=AOvVaw2Thr-wVSYFkV6umWyPoP63&amp;opi=89978449" TargetMode="External"/><Relationship Id="rId17" Type="http://schemas.openxmlformats.org/officeDocument/2006/relationships/hyperlink" Target="https://european-social-fund-plus.ec.europa.eu/fr" TargetMode="External"/><Relationship Id="rId25" Type="http://schemas.openxmlformats.org/officeDocument/2006/relationships/hyperlink" Target="https://education.ec.europa.eu/sites/default/files/2022-01/communication-european-strategy-for-universities-graphic-version.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ommission.europa.eu/business-economy-euro/economic-recovery/recovery-and-resilience-facility_fr" TargetMode="External"/><Relationship Id="rId20" Type="http://schemas.openxmlformats.org/officeDocument/2006/relationships/hyperlink" Target="https://eur-lex.europa.eu/legal-content/FR/TXT/PDF/?uri=CELEX:32023R095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nergy.ec.europa.eu/topics/energy-strategy/equality-platform-energy-sector_en"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ec.europa.eu/social/main.jsp?catId=1592&amp;langId=fr" TargetMode="External"/><Relationship Id="rId23" Type="http://schemas.openxmlformats.org/officeDocument/2006/relationships/hyperlink" Target="https://ec.europa.eu/regional_policy/information-sources/cohesion-report_en" TargetMode="External"/><Relationship Id="rId28" Type="http://schemas.openxmlformats.org/officeDocument/2006/relationships/hyperlink" Target="https://ec.europa.eu/info/funding-tenders/opportunities/docs/2021-2027/erasmus/wp-call/2024/call-fiche_erasmus-edu-2024-pol-exp_en.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ublications.jrc.ec.europa.eu/repository/handle/JRC132744"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FR/TXT/PDF/?uri=CELEX:32022R1854&amp;from=DE" TargetMode="External"/><Relationship Id="rId22" Type="http://schemas.openxmlformats.org/officeDocument/2006/relationships/hyperlink" Target="https://commission.europa.eu/document/download/d0bbd77f-bee5-4ee5-b5c4-6110c7605476_fr?filename=swd2021_305_fr.pdf" TargetMode="External"/><Relationship Id="rId27" Type="http://schemas.openxmlformats.org/officeDocument/2006/relationships/hyperlink" Target="https://eur-lex.europa.eu/legal-content/FR/TXT/?uri=CELEX%3A32020H1202%2801%29"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EC Document</p:Name>
  <p:Description/>
  <p:Statement/>
  <p:PolicyItems>
    <p:PolicyItem featureId="Microsoft.Office.RecordsManagement.PolicyFeatures.PolicyAudit" staticId="0x010100258AA79CEB83498886A3A08681123250007CE4EE98B097364BA1CE10C743F55FCB|937198175" UniqueId="3d7ed18d-c2b3-4b3a-94ca-aba3ee56beb7">
      <p:Name>Auditing</p:Name>
      <p:Description>Audits user actions on documents and list items to the Audit Log.</p:Description>
      <p:CustomData>
        <Audit>
          <View/>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DocumentId xmlns="0b55029b-5b16-416b-99bf-3f3b6110a335">676340</DocumentId>
    <LeadDG xmlns="0b55029b-5b16-416b-99bf-3f3b6110a335">EMPL</LeadDG>
    <DocumentTitle xmlns="0b55029b-5b16-416b-99bf-3f3b6110a335">Follow up to the European Parliament non-legislative resolution on Gender aspects of the rising cost of living and the impact of the energy crisis</DocumentTitle>
    <_Status xmlns="http://schemas.microsoft.com/sharepoint/v3/fields">Not Started</_Status>
    <EC_Collab_DocumentLanguage xmlns="0b55029b-5b16-416b-99bf-3f3b6110a335">EN</EC_Collab_DocumentLanguage>
    <FileTitle xmlns="0b55029b-5b16-416b-99bf-3f3b6110a335">Follow up to the European Parliament non-legislative resolution on Gender aspects of the rising cost of living and the impact of the energy crisis</FileTitle>
    <AuthorName xmlns="0b55029b-5b16-416b-99bf-3f3b6110a335">PORCHEZ Mathis (EMPL/D/1)</AuthorName>
    <RequestID xmlns="0b55029b-5b16-416b-99bf-3f3b6110a335">EMPL/2482</RequestID>
    <EC_Collab_Status xmlns="0b55029b-5b16-416b-99bf-3f3b6110a335">Not Started</EC_Collab_Status>
    <EC_Collab_Reference xmlns="0b55029b-5b16-416b-99bf-3f3b6110a335" xsi:nil="true"/>
    <FileType xmlns="0b55029b-5b16-416b-99bf-3f3b6110a335">Follow-up fiche</FileType>
    <AuthorId xmlns="0b55029b-5b16-416b-99bf-3f3b6110a335">87595</AuthorId>
    <FileId xmlns="0b55029b-5b16-416b-99bf-3f3b6110a335">1375225</Fil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7CE4EE98B097364BA1CE10C743F55FCB" ma:contentTypeVersion="16" ma:contentTypeDescription="Create a new document in this library." ma:contentTypeScope="" ma:versionID="639d4678511f5fcff9e9a87fb2b52ef7">
  <xsd:schema xmlns:xsd="http://www.w3.org/2001/XMLSchema" xmlns:xs="http://www.w3.org/2001/XMLSchema" xmlns:p="http://schemas.microsoft.com/office/2006/metadata/properties" xmlns:ns1="http://schemas.microsoft.com/sharepoint/v3" xmlns:ns2="http://schemas.microsoft.com/sharepoint/v3/fields" xmlns:ns3="0b55029b-5b16-416b-99bf-3f3b6110a335" xmlns:ns4="65bc8209-69a8-4ab3-a137-482f5403cf31" targetNamespace="http://schemas.microsoft.com/office/2006/metadata/properties" ma:root="true" ma:fieldsID="bf44ba5b4b4b662b901c858f79a266c1" ns1:_="" ns2:_="" ns3:_="" ns4:_="">
    <xsd:import namespace="http://schemas.microsoft.com/sharepoint/v3"/>
    <xsd:import namespace="http://schemas.microsoft.com/sharepoint/v3/fields"/>
    <xsd:import namespace="0b55029b-5b16-416b-99bf-3f3b6110a335"/>
    <xsd:import namespace="65bc8209-69a8-4ab3-a137-482f5403cf31"/>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AuthorId" minOccurs="0"/>
                <xsd:element ref="ns3:AuthorName" minOccurs="0"/>
                <xsd:element ref="ns3:DocumentId" minOccurs="0"/>
                <xsd:element ref="ns3:DocumentTitle" minOccurs="0"/>
                <xsd:element ref="ns3:FileId" minOccurs="0"/>
                <xsd:element ref="ns3:FileTitle" minOccurs="0"/>
                <xsd:element ref="ns3:FileType" minOccurs="0"/>
                <xsd:element ref="ns3:LeadDG" minOccurs="0"/>
                <xsd:element ref="ns3:RequestID" minOccurs="0"/>
                <xsd:element ref="ns1:_dlc_Exemp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b55029b-5b16-416b-99bf-3f3b6110a33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AuthorId" ma:index="16" nillable="true" ma:displayName="AuthorId" ma:internalName="AuthorId">
      <xsd:simpleType>
        <xsd:restriction base="dms:Number"/>
      </xsd:simpleType>
    </xsd:element>
    <xsd:element name="AuthorName" ma:index="17" nillable="true" ma:displayName="AuthorName" ma:internalName="AuthorName">
      <xsd:simpleType>
        <xsd:restriction base="dms:Text">
          <xsd:maxLength value="255"/>
        </xsd:restriction>
      </xsd:simpleType>
    </xsd:element>
    <xsd:element name="DocumentId" ma:index="18" nillable="true" ma:displayName="DocumentId" ma:internalName="DocumentId">
      <xsd:simpleType>
        <xsd:restriction base="dms:Text">
          <xsd:maxLength value="255"/>
        </xsd:restriction>
      </xsd:simpleType>
    </xsd:element>
    <xsd:element name="DocumentTitle" ma:index="19" nillable="true" ma:displayName="DocumentTitle" ma:internalName="DocumentTitle">
      <xsd:simpleType>
        <xsd:restriction base="dms:Text">
          <xsd:maxLength value="255"/>
        </xsd:restriction>
      </xsd:simpleType>
    </xsd:element>
    <xsd:element name="FileId" ma:index="20" nillable="true" ma:displayName="FileId" ma:internalName="FileId">
      <xsd:simpleType>
        <xsd:restriction base="dms:Text">
          <xsd:maxLength value="255"/>
        </xsd:restriction>
      </xsd:simpleType>
    </xsd:element>
    <xsd:element name="FileTitle" ma:index="21" nillable="true" ma:displayName="FileTitle" ma:internalName="FileTitle">
      <xsd:simpleType>
        <xsd:restriction base="dms:Text">
          <xsd:maxLength value="255"/>
        </xsd:restriction>
      </xsd:simpleType>
    </xsd:element>
    <xsd:element name="FileType" ma:index="22" nillable="true" ma:displayName="FileType" ma:internalName="FileType">
      <xsd:simpleType>
        <xsd:restriction base="dms:Text">
          <xsd:maxLength value="255"/>
        </xsd:restriction>
      </xsd:simpleType>
    </xsd:element>
    <xsd:element name="LeadDG" ma:index="23" nillable="true" ma:displayName="LeadDG" ma:internalName="LeadDG">
      <xsd:simpleType>
        <xsd:restriction base="dms:Text">
          <xsd:maxLength value="255"/>
        </xsd:restriction>
      </xsd:simpleType>
    </xsd:element>
    <xsd:element name="RequestID" ma:index="24" nillable="true" ma:displayName="RequestID" ma:internalName="Reque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bc8209-69a8-4ab3-a137-482f5403cf31"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E1DAF-C35A-417F-B579-535419FADD18}">
  <ds:schemaRefs>
    <ds:schemaRef ds:uri="http://schemas.openxmlformats.org/officeDocument/2006/bibliography"/>
  </ds:schemaRefs>
</ds:datastoreItem>
</file>

<file path=customXml/itemProps2.xml><?xml version="1.0" encoding="utf-8"?>
<ds:datastoreItem xmlns:ds="http://schemas.openxmlformats.org/officeDocument/2006/customXml" ds:itemID="{1A4D9DBA-58FD-48E8-9228-5C24163E912A}">
  <ds:schemaRefs>
    <ds:schemaRef ds:uri="office.server.policy"/>
  </ds:schemaRefs>
</ds:datastoreItem>
</file>

<file path=customXml/itemProps3.xml><?xml version="1.0" encoding="utf-8"?>
<ds:datastoreItem xmlns:ds="http://schemas.openxmlformats.org/officeDocument/2006/customXml" ds:itemID="{C2903114-294D-413E-ACCB-6FD9610A3677}">
  <ds:schemaRefs>
    <ds:schemaRef ds:uri="http://schemas.microsoft.com/sharepoint/v3"/>
    <ds:schemaRef ds:uri="http://schemas.microsoft.com/office/infopath/2007/PartnerControls"/>
    <ds:schemaRef ds:uri="http://schemas.microsoft.com/office/2006/metadata/properties"/>
    <ds:schemaRef ds:uri="http://purl.org/dc/dcmitype/"/>
    <ds:schemaRef ds:uri="http://www.w3.org/XML/1998/namespace"/>
    <ds:schemaRef ds:uri="http://schemas.openxmlformats.org/package/2006/metadata/core-properties"/>
    <ds:schemaRef ds:uri="http://purl.org/dc/elements/1.1/"/>
    <ds:schemaRef ds:uri="65bc8209-69a8-4ab3-a137-482f5403cf31"/>
    <ds:schemaRef ds:uri="http://schemas.microsoft.com/office/2006/documentManagement/types"/>
    <ds:schemaRef ds:uri="0b55029b-5b16-416b-99bf-3f3b6110a335"/>
    <ds:schemaRef ds:uri="http://schemas.microsoft.com/sharepoint/v3/fields"/>
    <ds:schemaRef ds:uri="http://purl.org/dc/terms/"/>
  </ds:schemaRefs>
</ds:datastoreItem>
</file>

<file path=customXml/itemProps4.xml><?xml version="1.0" encoding="utf-8"?>
<ds:datastoreItem xmlns:ds="http://schemas.openxmlformats.org/officeDocument/2006/customXml" ds:itemID="{5DAA0701-FC0F-48C8-A350-37503F091D1A}">
  <ds:schemaRefs>
    <ds:schemaRef ds:uri="http://schemas.microsoft.com/sharepoint/v3/contenttype/forms"/>
  </ds:schemaRefs>
</ds:datastoreItem>
</file>

<file path=customXml/itemProps5.xml><?xml version="1.0" encoding="utf-8"?>
<ds:datastoreItem xmlns:ds="http://schemas.openxmlformats.org/officeDocument/2006/customXml" ds:itemID="{9C25CAD2-0776-4A62-AE7D-34363CA8D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0b55029b-5b16-416b-99bf-3f3b6110a335"/>
    <ds:schemaRef ds:uri="65bc8209-69a8-4ab3-a137-482f5403c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11</Pages>
  <Words>6683</Words>
  <Characters>37297</Characters>
  <Application>Microsoft Office Word</Application>
  <DocSecurity>0</DocSecurity>
  <PresentationFormat>Microsoft Word 8.0b</PresentationFormat>
  <Lines>532</Lines>
  <Paragraphs>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2024-02-06T10:03:00Z</cp:lastPrinted>
  <dcterms:created xsi:type="dcterms:W3CDTF">2024-05-17T08:18:00Z</dcterms:created>
  <dcterms:modified xsi:type="dcterms:W3CDTF">2024-05-17T08:18:00Z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ContentTypeId">
    <vt:lpwstr>0x010100258AA79CEB83498886A3A08681123250007CE4EE98B097364BA1CE10C743F55FCB</vt:lpwstr>
  </property>
  <property fmtid="{D5CDD505-2E9C-101B-9397-08002B2CF9AE}" pid="14" name="MSIP_Label_6bd9ddd1-4d20-43f6-abfa-fc3c07406f94_Enabled">
    <vt:lpwstr>True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SetDate">
    <vt:lpwstr>2024-01-26T08:23:44Z</vt:lpwstr>
  </property>
  <property fmtid="{D5CDD505-2E9C-101B-9397-08002B2CF9AE}" pid="17" name="MSIP_Label_6bd9ddd1-4d20-43f6-abfa-fc3c07406f94_Name">
    <vt:lpwstr>Commission use</vt:lpwstr>
  </property>
  <property fmtid="{D5CDD505-2E9C-101B-9397-08002B2CF9AE}" pid="18" name="MSIP_Label_6bd9ddd1-4d20-43f6-abfa-fc3c07406f94_ActionId">
    <vt:lpwstr>24a888ff-642d-4bbc-a467-0d1e9520383f</vt:lpwstr>
  </property>
  <property fmtid="{D5CDD505-2E9C-101B-9397-08002B2CF9AE}" pid="19" name="MSIP_Label_6bd9ddd1-4d20-43f6-abfa-fc3c07406f94_Removed">
    <vt:lpwstr>False</vt:lpwstr>
  </property>
  <property fmtid="{D5CDD505-2E9C-101B-9397-08002B2CF9AE}" pid="20" name="MSIP_Label_6bd9ddd1-4d20-43f6-abfa-fc3c07406f94_Extended_MSFT_Method">
    <vt:lpwstr>Standard</vt:lpwstr>
  </property>
  <property fmtid="{D5CDD505-2E9C-101B-9397-08002B2CF9AE}" pid="21" name="Sensitivity">
    <vt:lpwstr>Commission use</vt:lpwstr>
  </property>
  <property fmtid="{D5CDD505-2E9C-101B-9397-08002B2CF9AE}" pid="22" name="MediaServiceImageTags">
    <vt:lpwstr/>
  </property>
  <property fmtid="{D5CDD505-2E9C-101B-9397-08002B2CF9AE}" pid="23" name="Tags">
    <vt:lpwstr/>
  </property>
</Properties>
</file>