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C561" w14:textId="2CBCA588" w:rsidR="00331DB9" w:rsidRPr="00331DB9" w:rsidRDefault="004A6C66" w:rsidP="00195B70">
      <w:pPr>
        <w:spacing w:after="600"/>
        <w:jc w:val="center"/>
        <w:rPr>
          <w:rFonts w:ascii="Times New Roman" w:hAnsi="Times New Roman"/>
          <w:b/>
        </w:rPr>
      </w:pPr>
      <w:r>
        <w:rPr>
          <w:rFonts w:ascii="Times New Roman" w:hAnsi="Times New Roman"/>
          <w:b/>
        </w:rPr>
        <w:t>Suite donnée à la résolution non législative du Parlement européen sur la révision du mandat de l’Autorité européenne du travail</w:t>
      </w:r>
    </w:p>
    <w:p w14:paraId="2228B05E" w14:textId="415F1989" w:rsidR="008369CD" w:rsidRPr="008369CD" w:rsidRDefault="008369CD" w:rsidP="00A824B4">
      <w:pPr>
        <w:numPr>
          <w:ilvl w:val="0"/>
          <w:numId w:val="27"/>
        </w:numPr>
        <w:ind w:left="567" w:hanging="567"/>
        <w:rPr>
          <w:rFonts w:ascii="Times New Roman" w:hAnsi="Times New Roman"/>
          <w:i/>
          <w:szCs w:val="24"/>
        </w:rPr>
      </w:pPr>
      <w:r>
        <w:rPr>
          <w:rFonts w:ascii="Times New Roman" w:hAnsi="Times New Roman"/>
          <w:b/>
        </w:rPr>
        <w:t xml:space="preserve">Résolution présentée conformément à l’article 132, paragraphe 2, du règlement intérieur du Parlement européen </w:t>
      </w:r>
    </w:p>
    <w:p w14:paraId="5D3AA15E" w14:textId="21EF1CDC" w:rsidR="004A6C66" w:rsidRPr="00F059C8" w:rsidRDefault="00535D4D" w:rsidP="00A824B4">
      <w:pPr>
        <w:numPr>
          <w:ilvl w:val="0"/>
          <w:numId w:val="27"/>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2023/2866 (RSP) / B9-0059/2024 / P9_TA(2024)0052</w:t>
      </w:r>
    </w:p>
    <w:p w14:paraId="2D4D7F32" w14:textId="1435DD8F" w:rsidR="005A00C3" w:rsidRPr="00E07C2D"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18 janvier 2024</w:t>
      </w:r>
    </w:p>
    <w:p w14:paraId="11157829" w14:textId="6812D70D" w:rsidR="00EC0A27" w:rsidRPr="005A78FE" w:rsidRDefault="00EC0A27" w:rsidP="00A824B4">
      <w:pPr>
        <w:numPr>
          <w:ilvl w:val="0"/>
          <w:numId w:val="27"/>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 l’emploi et des affaires sociales (EMPL)</w:t>
      </w:r>
    </w:p>
    <w:p w14:paraId="7FAF6BF2" w14:textId="18E56E51" w:rsidR="004A6C66" w:rsidRPr="00AA1E01" w:rsidRDefault="004A6C66" w:rsidP="00A824B4">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78C74BF5" w14:textId="576EFCD2" w:rsidR="004E5BC2" w:rsidRDefault="00AA1E01" w:rsidP="00195B70">
      <w:pPr>
        <w:widowControl w:val="0"/>
        <w:spacing w:after="120"/>
        <w:rPr>
          <w:rFonts w:ascii="Times New Roman" w:hAnsi="Times New Roman"/>
        </w:rPr>
      </w:pPr>
      <w:r>
        <w:rPr>
          <w:rFonts w:ascii="Times New Roman" w:hAnsi="Times New Roman"/>
        </w:rPr>
        <w:t>La présente résolution met l’accent sur l’importance de l’Autorité européenne du travail (AET) et de ses tâches spécifiques, ainsi que sur les éléments susceptibles d’améliorer l’action de l’AET. La résolution met en évidence la nécessité de renforcer et d’étendre le mandat de l’AET par une révision ciblée du règlement fondateur. La résolution suggère que l’AET soit en mesure d’engager des procédures administratives et judiciaires en cas de suspicion d’infraction ou de non-application du droit de l’Union, ainsi que d’ouvrir et de mener des enquêtes et des inspections concernant des affaires transfrontières de sa propre initiative, après en avoir informé les autorités nationales compétentes. La résolution appelle également à renforcer le rôle de l’AET en ce qui concerne la législation sectorielle pertinente et les conditions de travail des ressortissants de pays tiers, en mettant particulièrement l’accent sur la nécessité de mettre fin au faux détachement et au faux travail indépendant. La résolution ne propose aucune réduction des tâches actuelles de l’AET.</w:t>
      </w:r>
    </w:p>
    <w:p w14:paraId="202CA6F5" w14:textId="267FA1A0" w:rsidR="00AA1E01" w:rsidRPr="00AA1E01" w:rsidRDefault="579EA54F" w:rsidP="00195B70">
      <w:pPr>
        <w:widowControl w:val="0"/>
        <w:spacing w:after="120"/>
        <w:rPr>
          <w:rFonts w:ascii="Times New Roman" w:hAnsi="Times New Roman"/>
        </w:rPr>
      </w:pPr>
      <w:r>
        <w:rPr>
          <w:rFonts w:ascii="Times New Roman" w:hAnsi="Times New Roman"/>
        </w:rPr>
        <w:t>La résolution souligne le fait que l’AET devrait assurer un suivi approprié des inspections concertées et conjointes et prévoir des procédures efficaces concernant le recouvrement des salaires et des cotisations de sécurité sociale impayés dans les situations transfrontières. Il insiste également sur la nécessité d’associer systématiquement et structurellement les partenaires sociaux européens, sectoriels et nationaux en temps utile et de leur donner le droit de demander une inspection.</w:t>
      </w:r>
    </w:p>
    <w:p w14:paraId="638EDC14" w14:textId="0E963364" w:rsidR="00AA1E01" w:rsidRDefault="00052CAD" w:rsidP="00195B70">
      <w:pPr>
        <w:widowControl w:val="0"/>
        <w:spacing w:after="120"/>
        <w:rPr>
          <w:rFonts w:ascii="Times New Roman" w:hAnsi="Times New Roman"/>
          <w:bCs/>
          <w:szCs w:val="24"/>
        </w:rPr>
      </w:pPr>
      <w:r>
        <w:rPr>
          <w:rFonts w:ascii="Times New Roman" w:hAnsi="Times New Roman"/>
        </w:rPr>
        <w:t>Dans sa résolution, le Parlement européen invite également l’AET à mieux lutter contre les pénuries de main-d’œuvre et l’inadéquation entre l’offre et la demande de compétences, qui sont en augmentation au sein de l’Union, et à renforcer les services européens de l’emploi (EURES) en vue de promouvoir la mobilité de la main-d’œuvre en général et la mise en correspondance transfrontière de l’offre et de la demande d’emploi.</w:t>
      </w:r>
    </w:p>
    <w:p w14:paraId="750E85F4" w14:textId="7E9E9B14" w:rsidR="005A78FE" w:rsidRDefault="005A78FE" w:rsidP="00195B70">
      <w:pPr>
        <w:widowControl w:val="0"/>
        <w:spacing w:after="120"/>
        <w:rPr>
          <w:rFonts w:ascii="Times New Roman" w:hAnsi="Times New Roman"/>
          <w:bCs/>
          <w:szCs w:val="24"/>
        </w:rPr>
      </w:pPr>
      <w:r>
        <w:rPr>
          <w:rFonts w:ascii="Times New Roman" w:hAnsi="Times New Roman"/>
        </w:rPr>
        <w:t>Les autres éléments mis en évidence sont les suivants : la nécessité de présenter une proposition législative visant à créer un numéro européen de sécurité sociale; la nécessité d’offrir aux partenaires sociaux au niveau de l’Union la possibilité de nommer chacun un officier de liaison également; la nécessité de disposer d’une base juridique suffisante pour mener des analyses de risques opérationnelles et des procédures de suivi, y compris des enquêtes; la nécessité de permettre à l’AET de traiter des données sensibles et à caractère personnel liées aux enquêtes et aux analyses opérationnelles;</w:t>
      </w:r>
      <w:r>
        <w:t xml:space="preserve"> </w:t>
      </w:r>
      <w:r>
        <w:rPr>
          <w:rFonts w:ascii="Times New Roman" w:hAnsi="Times New Roman"/>
        </w:rPr>
        <w:t>la nécessité d’une coopération efficace entre les organismes de l’Union en vue de créer des synergies; la nécessité de transformer un nombre suffisant de postes d’experts nationaux détachés (END) en postes permanents;</w:t>
      </w:r>
    </w:p>
    <w:p w14:paraId="6F54AEB8" w14:textId="6E056BB7" w:rsidR="00052CAD" w:rsidRPr="00052CAD" w:rsidRDefault="004A6C66" w:rsidP="00F66C0D">
      <w:pPr>
        <w:widowControl w:val="0"/>
        <w:numPr>
          <w:ilvl w:val="0"/>
          <w:numId w:val="27"/>
        </w:numPr>
        <w:spacing w:after="120"/>
        <w:ind w:left="0" w:firstLine="0"/>
        <w:rPr>
          <w:rFonts w:ascii="Times New Roman" w:hAnsi="Times New Roman"/>
          <w:b/>
          <w:szCs w:val="24"/>
        </w:rPr>
      </w:pPr>
      <w:r>
        <w:rPr>
          <w:rFonts w:ascii="Times New Roman" w:hAnsi="Times New Roman"/>
          <w:b/>
        </w:rPr>
        <w:t xml:space="preserve">Réponse à ces demandes et aperçu des mesures que la Commission a prises </w:t>
      </w:r>
      <w:r>
        <w:rPr>
          <w:rFonts w:ascii="Times New Roman" w:hAnsi="Times New Roman"/>
          <w:b/>
        </w:rPr>
        <w:lastRenderedPageBreak/>
        <w:t>ou envisage de prendre:</w:t>
      </w:r>
    </w:p>
    <w:p w14:paraId="140282E2" w14:textId="1EBFC587" w:rsidR="00197942" w:rsidRPr="00052CAD" w:rsidRDefault="005A78FE" w:rsidP="00052CAD">
      <w:pPr>
        <w:widowControl w:val="0"/>
        <w:spacing w:after="120"/>
        <w:rPr>
          <w:rFonts w:ascii="Times New Roman" w:hAnsi="Times New Roman"/>
          <w:b/>
          <w:szCs w:val="24"/>
        </w:rPr>
      </w:pPr>
      <w:r>
        <w:rPr>
          <w:rFonts w:ascii="Times New Roman" w:hAnsi="Times New Roman"/>
          <w:b/>
        </w:rPr>
        <w:t>Paragraphes 1 et 2</w:t>
      </w:r>
    </w:p>
    <w:p w14:paraId="03834FB7" w14:textId="1C520EC1" w:rsidR="005A78FE" w:rsidRPr="00195B70" w:rsidRDefault="00D71907" w:rsidP="00195B70">
      <w:pPr>
        <w:widowControl w:val="0"/>
        <w:spacing w:after="120"/>
        <w:rPr>
          <w:rFonts w:ascii="Times New Roman" w:hAnsi="Times New Roman"/>
        </w:rPr>
      </w:pPr>
      <w:r>
        <w:rPr>
          <w:rFonts w:ascii="Times New Roman" w:hAnsi="Times New Roman"/>
        </w:rPr>
        <w:t>La Commission examine actuellement les possibilités d’une révision ciblée du règlement fondateur de l’AET dans le contexte de l’évaluation en cours des performances de l’AET, dont les résultats sont attendus au cours du second semestre de 2024. Dans le cadre de l’évaluation, la Commission évalue les meilleurs moyens d’améliorer encore le fonctionnement de l’AET, y compris dans quelle mesure une révision ciblée est nécessaire et comment l’AET pourrait contribuer davantage à une mobilité équitable de la main-d’œuvre sur le marché du travail de l’UE et à renforcer l’équité et la confiance dans le marché intérieur.</w:t>
      </w:r>
    </w:p>
    <w:p w14:paraId="69FEAE34" w14:textId="042E3A55" w:rsidR="00197942" w:rsidRPr="00195B70" w:rsidRDefault="00197942" w:rsidP="00195B70">
      <w:pPr>
        <w:widowControl w:val="0"/>
        <w:spacing w:after="120"/>
        <w:rPr>
          <w:rFonts w:ascii="Times New Roman" w:hAnsi="Times New Roman"/>
          <w:b/>
          <w:szCs w:val="24"/>
        </w:rPr>
      </w:pPr>
      <w:r>
        <w:rPr>
          <w:rFonts w:ascii="Times New Roman" w:hAnsi="Times New Roman"/>
          <w:b/>
        </w:rPr>
        <w:t>Paragraphe 4</w:t>
      </w:r>
    </w:p>
    <w:p w14:paraId="2DEFAB30" w14:textId="0E70EC34" w:rsidR="00360A88" w:rsidRPr="00195B70" w:rsidRDefault="00E466A2" w:rsidP="00195B70">
      <w:pPr>
        <w:widowControl w:val="0"/>
        <w:spacing w:after="120"/>
        <w:rPr>
          <w:rFonts w:ascii="Times New Roman" w:hAnsi="Times New Roman"/>
          <w:b/>
          <w:iCs/>
          <w:szCs w:val="24"/>
        </w:rPr>
      </w:pPr>
      <w:r>
        <w:rPr>
          <w:rFonts w:ascii="Times New Roman" w:hAnsi="Times New Roman"/>
        </w:rPr>
        <w:t>Les ressortissants de pays tiers détachés sont couverts par le programme d’apprentissage mutuel et de compréhension du</w:t>
      </w:r>
      <w:hyperlink r:id="rId11" w:history="1">
        <w:r>
          <w:rPr>
            <w:rStyle w:val="Hyperlink"/>
            <w:rFonts w:ascii="Times New Roman" w:hAnsi="Times New Roman"/>
          </w:rPr>
          <w:t>«Posting 360» (détachement 360)</w:t>
        </w:r>
      </w:hyperlink>
      <w:r>
        <w:rPr>
          <w:rFonts w:ascii="Times New Roman" w:hAnsi="Times New Roman"/>
        </w:rPr>
        <w:t>, de l’AET, dans le cadre duquel l’AET, en étroite coopération avec la Commission, soutient les États membres et les partenaires sociaux dans l’application du droit national et du droit de l’Union en matière de détachement de ressortissants de pays tiers. À cette fin, l’AET organise une série d’ateliers portant sur les principaux aspects du droit du travail et de la sécurité sociale liés au détachement de ressortissants de pays tiers.</w:t>
      </w:r>
      <w:bookmarkStart w:id="0" w:name="_Hlk158020923"/>
      <w:r>
        <w:rPr>
          <w:rFonts w:ascii="Times New Roman" w:hAnsi="Times New Roman"/>
        </w:rPr>
        <w:t xml:space="preserve"> L’AET mène déjà des actions d’inspection et de sensibilisation de grande ampleur au niveau sectoriel.</w:t>
      </w:r>
    </w:p>
    <w:p w14:paraId="49BB2C80" w14:textId="29E24B77" w:rsidR="00921ABC" w:rsidRPr="00195B70" w:rsidRDefault="00921ABC" w:rsidP="00195B70">
      <w:pPr>
        <w:widowControl w:val="0"/>
        <w:spacing w:after="120"/>
        <w:rPr>
          <w:rFonts w:ascii="Times New Roman" w:hAnsi="Times New Roman"/>
          <w:b/>
          <w:iCs/>
          <w:szCs w:val="24"/>
        </w:rPr>
      </w:pPr>
      <w:r>
        <w:rPr>
          <w:rFonts w:ascii="Times New Roman" w:hAnsi="Times New Roman"/>
          <w:b/>
        </w:rPr>
        <w:t>Paragraphes 3, 5 et 9</w:t>
      </w:r>
    </w:p>
    <w:bookmarkEnd w:id="0"/>
    <w:p w14:paraId="1B35ECC8" w14:textId="164A7B90" w:rsidR="0040553A" w:rsidRPr="00195B70" w:rsidRDefault="00E466A2" w:rsidP="00195B70">
      <w:pPr>
        <w:widowControl w:val="0"/>
        <w:spacing w:after="120"/>
        <w:rPr>
          <w:rFonts w:ascii="Times New Roman" w:hAnsi="Times New Roman"/>
          <w:bCs/>
          <w:szCs w:val="24"/>
        </w:rPr>
      </w:pPr>
      <w:r>
        <w:rPr>
          <w:rFonts w:ascii="Times New Roman" w:hAnsi="Times New Roman"/>
        </w:rPr>
        <w:t>Conformément à la gouvernance de l’AET et à la mise en œuvre de son programme de travail, l’AET coopère systématiquement et étroitement avec les partenaires sociaux, en soutenant leur participation significative et en temps utile aux inspections. Les partenaires sociaux font partie du conseil d’administration et du groupe des parties prenantes et participent à tous les groupes de travail organisés par l’AET. L’AET a créé une fonction de liaison spécifique avec les partenaires sociaux et le bureau de liaison de l’AET à Bruxelles devrait faciliter davantage cette coopération. Une fois par an, l’AET organise à Bruxelles un événement de sensibilisation associant les partenaires sociaux.</w:t>
      </w:r>
    </w:p>
    <w:p w14:paraId="3E6B1FB7" w14:textId="4272FE48" w:rsidR="00052CAD" w:rsidRPr="00195B70" w:rsidRDefault="00510981" w:rsidP="00195B70">
      <w:pPr>
        <w:widowControl w:val="0"/>
        <w:spacing w:after="120"/>
        <w:rPr>
          <w:rFonts w:ascii="Times New Roman" w:hAnsi="Times New Roman"/>
        </w:rPr>
      </w:pPr>
      <w:r>
        <w:rPr>
          <w:rFonts w:ascii="Times New Roman" w:hAnsi="Times New Roman"/>
        </w:rPr>
        <w:t xml:space="preserve">La Commission rappelle que les activités de l’AET sont liées par le cadre juridique applicable et ne couvrent donc pas des domaines tels que le recouvrement transfrontière des salaires impayés. Les progrès accomplis dans la numérisation de la coordination de la sécurité sociale faciliteront le respect des règles au niveau national. La </w:t>
      </w:r>
      <w:hyperlink r:id="rId12" w:history="1">
        <w:r>
          <w:rPr>
            <w:rStyle w:val="Hyperlink"/>
            <w:rFonts w:ascii="Times New Roman" w:hAnsi="Times New Roman"/>
          </w:rPr>
          <w:t>communication de la Commission</w:t>
        </w:r>
      </w:hyperlink>
      <w:r>
        <w:rPr>
          <w:rFonts w:ascii="Times New Roman" w:hAnsi="Times New Roman"/>
        </w:rPr>
        <w:t xml:space="preserve"> sur la numérisation dans le domaine de la coordination de la sécurité sociale propose des mesures concrètes pour progresser vers des systèmes de sécurité sociale plus intégrés sur le plan numérique et faciliter une mobilité équitable.</w:t>
      </w:r>
    </w:p>
    <w:p w14:paraId="48B8316E" w14:textId="6A1EE604" w:rsidR="00921ABC" w:rsidRPr="00195B70" w:rsidRDefault="00921ABC" w:rsidP="00195B70">
      <w:pPr>
        <w:widowControl w:val="0"/>
        <w:spacing w:after="120"/>
        <w:rPr>
          <w:rFonts w:ascii="Times New Roman" w:hAnsi="Times New Roman"/>
          <w:b/>
          <w:iCs/>
          <w:szCs w:val="24"/>
        </w:rPr>
      </w:pPr>
      <w:r>
        <w:rPr>
          <w:rFonts w:ascii="Times New Roman" w:hAnsi="Times New Roman"/>
          <w:b/>
        </w:rPr>
        <w:t>Paragraphe 6</w:t>
      </w:r>
    </w:p>
    <w:p w14:paraId="1EF75C30" w14:textId="6BA49C3F" w:rsidR="00921ABC" w:rsidRPr="00195B70" w:rsidRDefault="00E466A2" w:rsidP="00195B70">
      <w:pPr>
        <w:widowControl w:val="0"/>
        <w:spacing w:after="120"/>
        <w:rPr>
          <w:rFonts w:ascii="Times New Roman" w:hAnsi="Times New Roman"/>
          <w:bCs/>
          <w:iCs/>
          <w:szCs w:val="24"/>
        </w:rPr>
      </w:pPr>
      <w:r>
        <w:rPr>
          <w:rFonts w:ascii="Times New Roman" w:hAnsi="Times New Roman"/>
        </w:rPr>
        <w:t>Afin de garantir le rôle essentiel et les contributions des organisations de partenaires sociaux, l’AET a fourni des orientations au niveau national pour porter les affaires à son attention. Au cours de ses premières années de fonctionnement, l’AET s’est vu confier 12 affaires officielles; certaines d’entre elles sont en cours au niveau national, tandis que d’autres ont été clôturées.</w:t>
      </w:r>
    </w:p>
    <w:p w14:paraId="24BB036C" w14:textId="73A2F011" w:rsidR="00921ABC" w:rsidRPr="00195B70" w:rsidRDefault="00921ABC" w:rsidP="00195B70">
      <w:pPr>
        <w:widowControl w:val="0"/>
        <w:spacing w:after="120"/>
        <w:rPr>
          <w:rFonts w:ascii="Times New Roman" w:hAnsi="Times New Roman"/>
          <w:bCs/>
          <w:i/>
          <w:szCs w:val="24"/>
        </w:rPr>
      </w:pPr>
      <w:r>
        <w:rPr>
          <w:rFonts w:ascii="Times New Roman" w:hAnsi="Times New Roman"/>
          <w:b/>
        </w:rPr>
        <w:t>Paragraphe 7</w:t>
      </w:r>
    </w:p>
    <w:p w14:paraId="50AF90C7" w14:textId="5091E81F" w:rsidR="00FE2689" w:rsidRPr="00195B70" w:rsidRDefault="00B03C79" w:rsidP="00195B70">
      <w:pPr>
        <w:widowControl w:val="0"/>
        <w:spacing w:after="120"/>
        <w:rPr>
          <w:rFonts w:ascii="Times New Roman" w:hAnsi="Times New Roman"/>
          <w:bCs/>
          <w:iCs/>
          <w:szCs w:val="24"/>
        </w:rPr>
      </w:pPr>
      <w:r>
        <w:rPr>
          <w:rFonts w:ascii="Times New Roman" w:hAnsi="Times New Roman"/>
        </w:rPr>
        <w:t xml:space="preserve">La mise en place de l’outil de coordination et de soutien aux inspections concertées et communes, avec des flux de travail et des procédures spécifiques, est la priorité de l’AET depuis sa création. Conformément aux règles de l’UE applicables en matière de protection des données, cet outil devrait enregistrer les résultats des inspections effectuées avec le soutien de l’AET. Fin 2023, l’AET avait soutenu et coordonné plus de </w:t>
      </w:r>
      <w:r>
        <w:rPr>
          <w:rFonts w:ascii="Times New Roman" w:hAnsi="Times New Roman"/>
        </w:rPr>
        <w:lastRenderedPageBreak/>
        <w:t>120 inspections concertées et communes. L’AET a entamé une coopération avec l’Agence de l’Union européenne pour la coopération des services répressifs (Europol) et l’Agence de l’Union européenne pour la coopération judiciaire en matière pénale (Eurojust) sur des actions conjointes visant, entre autres, à mettre un terme aux activités liées à la fraude à la sécurité sociale et à lutter contre les infractions graves au travail et autres infractions sociales. L’AET prévoit de poursuivre et de développer davantage encore cette coopération en matière d’application de la législation.</w:t>
      </w:r>
    </w:p>
    <w:p w14:paraId="24F344D2" w14:textId="3029DA7C" w:rsidR="00197942" w:rsidRPr="00195B70" w:rsidRDefault="00197942" w:rsidP="00195B70">
      <w:pPr>
        <w:widowControl w:val="0"/>
        <w:spacing w:after="120"/>
        <w:rPr>
          <w:rFonts w:ascii="Times New Roman" w:hAnsi="Times New Roman"/>
          <w:b/>
          <w:iCs/>
          <w:szCs w:val="24"/>
        </w:rPr>
      </w:pPr>
      <w:r>
        <w:rPr>
          <w:rFonts w:ascii="Times New Roman" w:hAnsi="Times New Roman"/>
          <w:b/>
        </w:rPr>
        <w:t>Paragraphe 11</w:t>
      </w:r>
    </w:p>
    <w:p w14:paraId="7939034D" w14:textId="34682420" w:rsidR="00197942" w:rsidRPr="00195B70" w:rsidRDefault="00197942" w:rsidP="00195B70">
      <w:pPr>
        <w:widowControl w:val="0"/>
        <w:spacing w:after="120"/>
        <w:rPr>
          <w:rFonts w:ascii="Times New Roman" w:hAnsi="Times New Roman"/>
          <w:bCs/>
          <w:iCs/>
          <w:szCs w:val="24"/>
        </w:rPr>
      </w:pPr>
      <w:r>
        <w:rPr>
          <w:rFonts w:ascii="Times New Roman" w:hAnsi="Times New Roman"/>
        </w:rPr>
        <w:t>Les conditions de travail et de logement précaires sont très étroitement liées au type de contrat de travail et au statut des travailleurs. L’AET a donc accordé une attention particulière aux domaines d’activité tels que le transport routier ou l’agriculture, où les changements de lieux de travail, les missions de courte durée et le travail saisonnier sont particulièrement fréquents.</w:t>
      </w:r>
    </w:p>
    <w:p w14:paraId="0150630B" w14:textId="1E44E8A9" w:rsidR="00811B0E" w:rsidRPr="00195B70" w:rsidRDefault="00811B0E" w:rsidP="00195B70">
      <w:pPr>
        <w:widowControl w:val="0"/>
        <w:spacing w:after="120"/>
        <w:rPr>
          <w:rFonts w:ascii="Times New Roman" w:hAnsi="Times New Roman"/>
          <w:bCs/>
          <w:iCs/>
          <w:szCs w:val="24"/>
        </w:rPr>
      </w:pPr>
      <w:r>
        <w:rPr>
          <w:rFonts w:ascii="Times New Roman" w:hAnsi="Times New Roman"/>
        </w:rPr>
        <w:t>Conformément aux dispositions de son règlement fondateur, l’AET dispose d’un mandat limité en ce qui concerne les ressortissants de pays tiers, étant donné que sa base juridique est liée à la libre circulation des travailleurs. L’AET ne peut couvrir les ressortissants de pays tiers qu’en établissant un lien avec le détachement de travailleurs, le détachement de conducteurs ou la coordination de la sécurité sociale. En outre, si l’AET, dans le cadre d’inspections concertées ou communes, ou dans le cadre d’une de ses activités, a connaissance de soupçons d’irrégularités (concernant notamment des ressortissants de pays tiers) dans l’application du droit de l’Union, elle peut communiquer ces soupçons d’irrégularités à l’État membre concerné et à la Commission.</w:t>
      </w:r>
    </w:p>
    <w:p w14:paraId="03B5C831" w14:textId="4CE0A826" w:rsidR="00197942" w:rsidRPr="00195B70" w:rsidRDefault="00197942" w:rsidP="00195B70">
      <w:pPr>
        <w:widowControl w:val="0"/>
        <w:spacing w:after="120"/>
        <w:rPr>
          <w:rFonts w:ascii="Times New Roman" w:hAnsi="Times New Roman"/>
          <w:b/>
          <w:iCs/>
          <w:szCs w:val="24"/>
        </w:rPr>
      </w:pPr>
      <w:r>
        <w:rPr>
          <w:rFonts w:ascii="Times New Roman" w:hAnsi="Times New Roman"/>
          <w:b/>
        </w:rPr>
        <w:t>Paragraphe 12</w:t>
      </w:r>
    </w:p>
    <w:p w14:paraId="0B1936DF" w14:textId="786BA255" w:rsidR="00197942" w:rsidRPr="00195B70" w:rsidRDefault="00C92A52" w:rsidP="00195B70">
      <w:pPr>
        <w:widowControl w:val="0"/>
        <w:spacing w:after="120"/>
        <w:rPr>
          <w:rFonts w:ascii="Times New Roman" w:hAnsi="Times New Roman"/>
          <w:bCs/>
          <w:iCs/>
          <w:szCs w:val="24"/>
        </w:rPr>
      </w:pPr>
      <w:r>
        <w:rPr>
          <w:rFonts w:ascii="Times New Roman" w:hAnsi="Times New Roman"/>
        </w:rPr>
        <w:t xml:space="preserve">ESSPASS, le passeport européen de sécurité sociale, remplace le numéro de sécurité sociale européen et s’appuie sur le futur cadre européen relatif à une identité numérique et sur ses portefeuilles pour permettre aux personnes de s’identifier numériquement, de stocker et de partager les documents relatifs aux droits à la sécurité sociale sous forme numérique. Il favorisera donc une meilleure mise en œuvre et une meilleure application des règles pertinentes. Deux consortiums d’institutions des États membres pilotent actuellement la délivrance et la vérification transfrontière du document portable A1 et de la carte européenne d’assurance maladie. Il s’agit d’un suivi de la première phase du </w:t>
      </w:r>
      <w:hyperlink r:id="rId13" w:history="1">
        <w:r>
          <w:rPr>
            <w:rStyle w:val="Hyperlink"/>
            <w:rFonts w:ascii="Times New Roman" w:hAnsi="Times New Roman"/>
          </w:rPr>
          <w:t>projet pilote de passeport européen de sécurité sociale (ESSPASS)</w:t>
        </w:r>
      </w:hyperlink>
      <w:r>
        <w:rPr>
          <w:rFonts w:ascii="Times New Roman" w:hAnsi="Times New Roman"/>
        </w:rPr>
        <w:t>. La poursuite du projet pilote est essentielle pour obtenir une base factuelle suffisante et techniquement solide. En fonction de l’évaluation des résultats des activités pilotes, la Commission décidera des prochaines étapes, et devra notamment étudier la possibilité de déployer une solution ESSPASS dans tous les pays de l’UE et déterminer si cela nécessiterait un cadre législatif. L’ESSPASS vise à faciliter l’exercice, par les citoyens, des droits de sécurité sociale par-delà les frontières et, partant, la libre circulation.</w:t>
      </w:r>
    </w:p>
    <w:p w14:paraId="482F7B67" w14:textId="407A436D" w:rsidR="000E05F5" w:rsidRPr="00195B70" w:rsidRDefault="000E05F5" w:rsidP="00195B70">
      <w:pPr>
        <w:widowControl w:val="0"/>
        <w:spacing w:after="120"/>
        <w:rPr>
          <w:rFonts w:ascii="Times New Roman" w:hAnsi="Times New Roman"/>
          <w:bCs/>
          <w:iCs/>
          <w:szCs w:val="24"/>
        </w:rPr>
      </w:pPr>
      <w:r>
        <w:rPr>
          <w:rFonts w:ascii="Times New Roman" w:hAnsi="Times New Roman"/>
          <w:b/>
        </w:rPr>
        <w:t>Paragraphes 13 et 14</w:t>
      </w:r>
    </w:p>
    <w:p w14:paraId="734DB5AF" w14:textId="15A350B9" w:rsidR="00E466A2" w:rsidRPr="00195B70" w:rsidRDefault="00561BB2" w:rsidP="00195B70">
      <w:pPr>
        <w:widowControl w:val="0"/>
        <w:spacing w:after="120"/>
        <w:rPr>
          <w:rFonts w:ascii="Times New Roman" w:hAnsi="Times New Roman"/>
        </w:rPr>
      </w:pPr>
      <w:r>
        <w:rPr>
          <w:rFonts w:ascii="Times New Roman" w:hAnsi="Times New Roman"/>
        </w:rPr>
        <w:t xml:space="preserve">La principale mission de l’AET est de faciliter la coopération et la coordination entre les États membres et avec la Commission. L’AET a pris des initiatives pour coopérer étroitement avec les États membres, la Commission, la commission administrative pour la coordination des systèmes de sécurité sociale et Eurostat afin de pouvoir collecter les données disponibles aux niveaux national et européen (par exemple, inspections nationales ou transfrontières requérant une réglementation relevant de la compétence de l’AET). Renforcer la confiance, devenir un interlocuteur fiable sur les questions liées à l’application de la législation et utiliser les possibilités d’analyser et de partager des données à caractère non personnel pour les évaluations des risques sectorielles est déjà une réalité dans le cadre du mandat juridique existant. L’évaluation de l’AET fournit des </w:t>
      </w:r>
      <w:r>
        <w:rPr>
          <w:rFonts w:ascii="Times New Roman" w:hAnsi="Times New Roman"/>
        </w:rPr>
        <w:lastRenderedPageBreak/>
        <w:t>orientations sur la nécessité de prendre des mesures supplémentaires.</w:t>
      </w:r>
    </w:p>
    <w:p w14:paraId="491FFDA6" w14:textId="01F0DBCB" w:rsidR="00197942" w:rsidRPr="00195B70" w:rsidRDefault="00197942" w:rsidP="00195B70">
      <w:pPr>
        <w:widowControl w:val="0"/>
        <w:spacing w:after="120"/>
        <w:rPr>
          <w:rFonts w:ascii="Times New Roman" w:hAnsi="Times New Roman"/>
          <w:b/>
          <w:iCs/>
          <w:szCs w:val="24"/>
        </w:rPr>
      </w:pPr>
      <w:r>
        <w:rPr>
          <w:rFonts w:ascii="Times New Roman" w:hAnsi="Times New Roman"/>
          <w:b/>
        </w:rPr>
        <w:t>Paragraphe 15</w:t>
      </w:r>
    </w:p>
    <w:p w14:paraId="0634C879" w14:textId="64F4B245" w:rsidR="00197942" w:rsidRPr="00195B70" w:rsidRDefault="007E120F" w:rsidP="00195B70">
      <w:pPr>
        <w:widowControl w:val="0"/>
        <w:spacing w:after="120"/>
        <w:rPr>
          <w:rFonts w:ascii="Times New Roman" w:hAnsi="Times New Roman"/>
          <w:bCs/>
          <w:iCs/>
          <w:szCs w:val="24"/>
        </w:rPr>
      </w:pPr>
      <w:r>
        <w:rPr>
          <w:rFonts w:ascii="Times New Roman" w:hAnsi="Times New Roman"/>
        </w:rPr>
        <w:t>La Commission soutient activement l’amélioration du fonctionnement du réseau EURES, finance et soutient les programmes de mobilité ciblés et les partenariats transfrontaliers EURES. La Commission poursuit ses travaux sur le renforcement des synergies entre EURES et EUROPASS, tout en contrôlant les performances d’EURES, ainsi que le respect du règlement par les États membres et l’AET. L’AET a récemment proposé sa stratégie pour le portail EURES pour la période 2023-2030, qui vise à améliorer considérablement les capacités techniques et la convivialité du portail EURES.</w:t>
      </w:r>
    </w:p>
    <w:p w14:paraId="385412EA" w14:textId="2D7984A4" w:rsidR="000E05F5" w:rsidRPr="00195B70" w:rsidRDefault="000E05F5" w:rsidP="00195B70">
      <w:pPr>
        <w:widowControl w:val="0"/>
        <w:spacing w:after="120"/>
        <w:rPr>
          <w:rFonts w:ascii="Times New Roman" w:hAnsi="Times New Roman"/>
          <w:b/>
          <w:iCs/>
          <w:szCs w:val="24"/>
        </w:rPr>
      </w:pPr>
      <w:r>
        <w:rPr>
          <w:rFonts w:ascii="Times New Roman" w:hAnsi="Times New Roman"/>
          <w:b/>
        </w:rPr>
        <w:t>Paragraphes 16, 17 et 18</w:t>
      </w:r>
    </w:p>
    <w:p w14:paraId="4E1CA2DA" w14:textId="15215989" w:rsidR="000E05F5" w:rsidRPr="00195B70" w:rsidRDefault="00D67626" w:rsidP="00195B70">
      <w:pPr>
        <w:widowControl w:val="0"/>
        <w:spacing w:after="120"/>
        <w:rPr>
          <w:rFonts w:ascii="Times New Roman" w:hAnsi="Times New Roman"/>
          <w:bCs/>
          <w:iCs/>
          <w:szCs w:val="24"/>
        </w:rPr>
      </w:pPr>
      <w:r>
        <w:rPr>
          <w:rFonts w:ascii="Times New Roman" w:hAnsi="Times New Roman"/>
        </w:rPr>
        <w:t>L’AET a signé des protocoles d’accord ou des documents similaires, explorant les domaines de coopération et les synergies potentielles avec les agences et d’autres organes travaillant dans des domaines proches et complémentaires de l’AET. Dans l’exécution de sa mission répressive, l’AET coopère avec Europol, l’Agence de l’Union européenne pour la formation des services répressifs (Cepol) et Eurojust, ainsi qu’avec la commission administrative pour la coordination des systèmes de sécurité sociale et SOLVIT. L’AET et Europol ont uni leurs forces dans la lutte contre l’exploitation par le travail dans le cadre de l’</w:t>
      </w:r>
      <w:hyperlink r:id="rId14" w:history="1">
        <w:r>
          <w:rPr>
            <w:rStyle w:val="Hyperlink"/>
            <w:rFonts w:ascii="Times New Roman" w:hAnsi="Times New Roman"/>
          </w:rPr>
          <w:t>EMPACT</w:t>
        </w:r>
      </w:hyperlink>
      <w:r>
        <w:rPr>
          <w:rFonts w:ascii="Times New Roman" w:hAnsi="Times New Roman"/>
        </w:rPr>
        <w:t>.</w:t>
      </w:r>
    </w:p>
    <w:p w14:paraId="3BE4954B" w14:textId="0C665D79" w:rsidR="00197942" w:rsidRPr="00195B70" w:rsidRDefault="00197942" w:rsidP="00195B70">
      <w:pPr>
        <w:widowControl w:val="0"/>
        <w:spacing w:after="120"/>
        <w:rPr>
          <w:rFonts w:ascii="Times New Roman" w:hAnsi="Times New Roman"/>
          <w:b/>
          <w:iCs/>
          <w:szCs w:val="24"/>
        </w:rPr>
      </w:pPr>
      <w:r>
        <w:rPr>
          <w:rFonts w:ascii="Times New Roman" w:hAnsi="Times New Roman"/>
          <w:b/>
        </w:rPr>
        <w:t>Paragraphe 19</w:t>
      </w:r>
    </w:p>
    <w:p w14:paraId="56276364" w14:textId="7CD33F97" w:rsidR="00197942" w:rsidRPr="00197942" w:rsidRDefault="00197942" w:rsidP="00195B70">
      <w:pPr>
        <w:widowControl w:val="0"/>
        <w:spacing w:after="120"/>
        <w:rPr>
          <w:rFonts w:ascii="Times New Roman" w:hAnsi="Times New Roman"/>
          <w:bCs/>
          <w:iCs/>
          <w:szCs w:val="24"/>
        </w:rPr>
      </w:pPr>
      <w:r>
        <w:rPr>
          <w:rFonts w:ascii="Times New Roman" w:hAnsi="Times New Roman"/>
        </w:rPr>
        <w:t>La proportion élevée d’experts nationaux détachés (END) a posé des problèmes lors du démarrage de l’organisation, en ce qui concerne la durée relativement courte de l’engagement des END et le fait que les END ne peuvent pas légalement représenter l’AET ni gérer des dossiers financiers ou de passation de marchés. Cela accroît donc la charge administrative pesant sur les membres du personnel statutaire de l’AET en ce qui concerne plusieurs tâches essentielles. Néanmoins, les END se sont déjà révélés être l’un des points forts de l’agence et, dans une perspective à plus long terme, le statut d’END peut continuer à sensibiliser les hauts fonctionnaires nationaux de l’AET sur la base de l’expérience directe, tout en reconnaissant également les avantages d’une bonne coopération au niveau de l’UE.</w:t>
      </w:r>
    </w:p>
    <w:sectPr w:rsidR="00197942" w:rsidRPr="00197942" w:rsidSect="007A5BE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code="9"/>
      <w:pgMar w:top="1276"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1749" w14:textId="77777777" w:rsidR="0067524D" w:rsidRDefault="0067524D">
      <w:r>
        <w:separator/>
      </w:r>
    </w:p>
  </w:endnote>
  <w:endnote w:type="continuationSeparator" w:id="0">
    <w:p w14:paraId="54FE6A4D" w14:textId="77777777" w:rsidR="0067524D" w:rsidRDefault="0067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1D52"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A0697BA"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8CCB"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rPr>
      <w:t>3</w:t>
    </w:r>
    <w:r>
      <w:rPr>
        <w:rStyle w:val="PageNumber"/>
      </w:rPr>
      <w:fldChar w:fldCharType="end"/>
    </w:r>
  </w:p>
  <w:p w14:paraId="1BB3FA2D"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1728" w14:textId="49C5BA19" w:rsidR="005E6EC2" w:rsidRPr="00195B70" w:rsidRDefault="005E6EC2" w:rsidP="00195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CEE4" w14:textId="77777777" w:rsidR="0067524D" w:rsidRDefault="0067524D">
      <w:r>
        <w:separator/>
      </w:r>
    </w:p>
  </w:footnote>
  <w:footnote w:type="continuationSeparator" w:id="0">
    <w:p w14:paraId="6DF42220" w14:textId="77777777" w:rsidR="0067524D" w:rsidRDefault="0067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C484" w14:textId="77777777" w:rsidR="00195B70" w:rsidRDefault="00195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EC51" w14:textId="77777777" w:rsidR="00195B70" w:rsidRDefault="00195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1022" w14:textId="77777777" w:rsidR="00195B70" w:rsidRDefault="00195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03188448">
    <w:abstractNumId w:val="6"/>
  </w:num>
  <w:num w:numId="2" w16cid:durableId="1757941432">
    <w:abstractNumId w:val="1"/>
  </w:num>
  <w:num w:numId="3" w16cid:durableId="1245533312">
    <w:abstractNumId w:val="30"/>
  </w:num>
  <w:num w:numId="4" w16cid:durableId="1379088374">
    <w:abstractNumId w:val="12"/>
  </w:num>
  <w:num w:numId="5" w16cid:durableId="1408384652">
    <w:abstractNumId w:val="24"/>
  </w:num>
  <w:num w:numId="6" w16cid:durableId="1399867228">
    <w:abstractNumId w:val="10"/>
  </w:num>
  <w:num w:numId="7" w16cid:durableId="1211455137">
    <w:abstractNumId w:val="5"/>
  </w:num>
  <w:num w:numId="8" w16cid:durableId="505285941">
    <w:abstractNumId w:val="15"/>
  </w:num>
  <w:num w:numId="9" w16cid:durableId="857039248">
    <w:abstractNumId w:val="29"/>
  </w:num>
  <w:num w:numId="10" w16cid:durableId="225261055">
    <w:abstractNumId w:val="20"/>
  </w:num>
  <w:num w:numId="11" w16cid:durableId="623658957">
    <w:abstractNumId w:val="22"/>
  </w:num>
  <w:num w:numId="12" w16cid:durableId="2068335964">
    <w:abstractNumId w:val="11"/>
  </w:num>
  <w:num w:numId="13" w16cid:durableId="1788547188">
    <w:abstractNumId w:val="16"/>
  </w:num>
  <w:num w:numId="14" w16cid:durableId="2033533350">
    <w:abstractNumId w:val="25"/>
  </w:num>
  <w:num w:numId="15" w16cid:durableId="1841919535">
    <w:abstractNumId w:val="14"/>
  </w:num>
  <w:num w:numId="16" w16cid:durableId="1116490090">
    <w:abstractNumId w:val="31"/>
  </w:num>
  <w:num w:numId="17" w16cid:durableId="638802701">
    <w:abstractNumId w:val="28"/>
  </w:num>
  <w:num w:numId="18" w16cid:durableId="1806462174">
    <w:abstractNumId w:val="18"/>
  </w:num>
  <w:num w:numId="19" w16cid:durableId="946080153">
    <w:abstractNumId w:val="19"/>
  </w:num>
  <w:num w:numId="20" w16cid:durableId="1969124869">
    <w:abstractNumId w:val="23"/>
  </w:num>
  <w:num w:numId="21" w16cid:durableId="1019618773">
    <w:abstractNumId w:val="3"/>
  </w:num>
  <w:num w:numId="22" w16cid:durableId="694160186">
    <w:abstractNumId w:val="4"/>
  </w:num>
  <w:num w:numId="23" w16cid:durableId="1779908889">
    <w:abstractNumId w:val="17"/>
  </w:num>
  <w:num w:numId="24" w16cid:durableId="768351402">
    <w:abstractNumId w:val="26"/>
  </w:num>
  <w:num w:numId="25" w16cid:durableId="823591310">
    <w:abstractNumId w:val="9"/>
  </w:num>
  <w:num w:numId="26" w16cid:durableId="870804980">
    <w:abstractNumId w:val="27"/>
  </w:num>
  <w:num w:numId="27" w16cid:durableId="201016227">
    <w:abstractNumId w:val="8"/>
  </w:num>
  <w:num w:numId="28" w16cid:durableId="1370492456">
    <w:abstractNumId w:val="2"/>
  </w:num>
  <w:num w:numId="29" w16cid:durableId="741677364">
    <w:abstractNumId w:val="13"/>
  </w:num>
  <w:num w:numId="30" w16cid:durableId="2061321274">
    <w:abstractNumId w:val="21"/>
  </w:num>
  <w:num w:numId="31" w16cid:durableId="11603147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2CAD"/>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E4D"/>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5F5"/>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1C4A"/>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0D5"/>
    <w:rsid w:val="000F514F"/>
    <w:rsid w:val="000F52C9"/>
    <w:rsid w:val="000F54AD"/>
    <w:rsid w:val="000F5A73"/>
    <w:rsid w:val="000F5F64"/>
    <w:rsid w:val="000F63D5"/>
    <w:rsid w:val="000F648A"/>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057"/>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9D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5B70"/>
    <w:rsid w:val="00196088"/>
    <w:rsid w:val="001962D1"/>
    <w:rsid w:val="00196902"/>
    <w:rsid w:val="00196BE4"/>
    <w:rsid w:val="00196CC1"/>
    <w:rsid w:val="001970C6"/>
    <w:rsid w:val="00197294"/>
    <w:rsid w:val="00197522"/>
    <w:rsid w:val="001976A1"/>
    <w:rsid w:val="0019786E"/>
    <w:rsid w:val="00197942"/>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75"/>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2CA3"/>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BFD"/>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C5D"/>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6B0"/>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52E"/>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06D"/>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869"/>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2E"/>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A88"/>
    <w:rsid w:val="00360D85"/>
    <w:rsid w:val="00360F07"/>
    <w:rsid w:val="00361109"/>
    <w:rsid w:val="00361A6B"/>
    <w:rsid w:val="00361A92"/>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4F"/>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A2"/>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929"/>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00"/>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0F4B"/>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4F3"/>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519"/>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3A"/>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5FC3"/>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2EB6"/>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06D"/>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A54"/>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07"/>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BC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9C3"/>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8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27"/>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0FAE"/>
    <w:rsid w:val="005610A0"/>
    <w:rsid w:val="005612D0"/>
    <w:rsid w:val="00561631"/>
    <w:rsid w:val="0056185C"/>
    <w:rsid w:val="00561BB2"/>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121"/>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AF"/>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8FE"/>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362"/>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4D"/>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41E"/>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9DB"/>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03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0DD6"/>
    <w:rsid w:val="00751098"/>
    <w:rsid w:val="0075111B"/>
    <w:rsid w:val="007513EE"/>
    <w:rsid w:val="00751B89"/>
    <w:rsid w:val="00751B8F"/>
    <w:rsid w:val="00751C7C"/>
    <w:rsid w:val="00751F34"/>
    <w:rsid w:val="0075295E"/>
    <w:rsid w:val="007529BE"/>
    <w:rsid w:val="00752A61"/>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C6B"/>
    <w:rsid w:val="00756D40"/>
    <w:rsid w:val="00756D44"/>
    <w:rsid w:val="00756D82"/>
    <w:rsid w:val="00756E5D"/>
    <w:rsid w:val="00756FC0"/>
    <w:rsid w:val="007571F0"/>
    <w:rsid w:val="0075728D"/>
    <w:rsid w:val="007572C4"/>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93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0C9"/>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12F"/>
    <w:rsid w:val="007A1381"/>
    <w:rsid w:val="007A16F4"/>
    <w:rsid w:val="007A194E"/>
    <w:rsid w:val="007A19B2"/>
    <w:rsid w:val="007A19E0"/>
    <w:rsid w:val="007A1D46"/>
    <w:rsid w:val="007A2072"/>
    <w:rsid w:val="007A2162"/>
    <w:rsid w:val="007A216C"/>
    <w:rsid w:val="007A242A"/>
    <w:rsid w:val="007A2553"/>
    <w:rsid w:val="007A2A37"/>
    <w:rsid w:val="007A2E2A"/>
    <w:rsid w:val="007A2FD1"/>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BE9"/>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0F"/>
    <w:rsid w:val="007E122B"/>
    <w:rsid w:val="007E180F"/>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2BC"/>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B99"/>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0E"/>
    <w:rsid w:val="00812128"/>
    <w:rsid w:val="00812176"/>
    <w:rsid w:val="00812AF2"/>
    <w:rsid w:val="00812D5C"/>
    <w:rsid w:val="00812E06"/>
    <w:rsid w:val="00813274"/>
    <w:rsid w:val="00813288"/>
    <w:rsid w:val="00813315"/>
    <w:rsid w:val="008133B2"/>
    <w:rsid w:val="008136B2"/>
    <w:rsid w:val="008137AB"/>
    <w:rsid w:val="00813804"/>
    <w:rsid w:val="00813855"/>
    <w:rsid w:val="00813888"/>
    <w:rsid w:val="008141D2"/>
    <w:rsid w:val="0081445E"/>
    <w:rsid w:val="0081457A"/>
    <w:rsid w:val="008145BC"/>
    <w:rsid w:val="00814855"/>
    <w:rsid w:val="00814AC5"/>
    <w:rsid w:val="00814AF0"/>
    <w:rsid w:val="00814D42"/>
    <w:rsid w:val="00814F0E"/>
    <w:rsid w:val="008154A0"/>
    <w:rsid w:val="00815556"/>
    <w:rsid w:val="00815A27"/>
    <w:rsid w:val="00816359"/>
    <w:rsid w:val="00816442"/>
    <w:rsid w:val="008164CF"/>
    <w:rsid w:val="0081656D"/>
    <w:rsid w:val="0081659C"/>
    <w:rsid w:val="00816884"/>
    <w:rsid w:val="00816F05"/>
    <w:rsid w:val="00817026"/>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9CD"/>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51C"/>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27A"/>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4"/>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282"/>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9D5"/>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3C20"/>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6C5"/>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97"/>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ABC"/>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703"/>
    <w:rsid w:val="00947D9F"/>
    <w:rsid w:val="00947E10"/>
    <w:rsid w:val="00947FE4"/>
    <w:rsid w:val="00950292"/>
    <w:rsid w:val="0095032F"/>
    <w:rsid w:val="00950461"/>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4FE7"/>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B9B"/>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43"/>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1E01"/>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5"/>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7C"/>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27"/>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3C79"/>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2FF"/>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3E6"/>
    <w:rsid w:val="00B305A8"/>
    <w:rsid w:val="00B3087F"/>
    <w:rsid w:val="00B30929"/>
    <w:rsid w:val="00B3114C"/>
    <w:rsid w:val="00B31308"/>
    <w:rsid w:val="00B31441"/>
    <w:rsid w:val="00B31560"/>
    <w:rsid w:val="00B31669"/>
    <w:rsid w:val="00B317FA"/>
    <w:rsid w:val="00B3191D"/>
    <w:rsid w:val="00B31AE6"/>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277"/>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94"/>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8D"/>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18"/>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EF8"/>
    <w:rsid w:val="00BB4F35"/>
    <w:rsid w:val="00BB5673"/>
    <w:rsid w:val="00BB5706"/>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C3E"/>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19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0B3"/>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07"/>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1E9"/>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930"/>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A52"/>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AA7"/>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626"/>
    <w:rsid w:val="00D67710"/>
    <w:rsid w:val="00D677CA"/>
    <w:rsid w:val="00D67A8E"/>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1907"/>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2B1"/>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6F3"/>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2D3"/>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4C5"/>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300"/>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79D"/>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6A2"/>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57F89"/>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4DF"/>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6DD"/>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BEA"/>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6FEF"/>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804"/>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875"/>
    <w:rsid w:val="00EE29B5"/>
    <w:rsid w:val="00EE2AAE"/>
    <w:rsid w:val="00EE2D67"/>
    <w:rsid w:val="00EE2DB3"/>
    <w:rsid w:val="00EE3073"/>
    <w:rsid w:val="00EE3153"/>
    <w:rsid w:val="00EE3257"/>
    <w:rsid w:val="00EE33BC"/>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E7981"/>
    <w:rsid w:val="00EF004A"/>
    <w:rsid w:val="00EF03FF"/>
    <w:rsid w:val="00EF04B5"/>
    <w:rsid w:val="00EF0973"/>
    <w:rsid w:val="00EF0F00"/>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B2"/>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2E"/>
    <w:rsid w:val="00F35FE0"/>
    <w:rsid w:val="00F36149"/>
    <w:rsid w:val="00F3623A"/>
    <w:rsid w:val="00F36674"/>
    <w:rsid w:val="00F36A42"/>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78"/>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6C0D"/>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06"/>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689"/>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29A824C"/>
    <w:rsid w:val="0619D682"/>
    <w:rsid w:val="07E15254"/>
    <w:rsid w:val="15597CF3"/>
    <w:rsid w:val="22FD427D"/>
    <w:rsid w:val="2637C887"/>
    <w:rsid w:val="27D0B3A0"/>
    <w:rsid w:val="2C9E5EEB"/>
    <w:rsid w:val="323C8935"/>
    <w:rsid w:val="3ADC5372"/>
    <w:rsid w:val="41A2F096"/>
    <w:rsid w:val="4D91DE90"/>
    <w:rsid w:val="5033E0FF"/>
    <w:rsid w:val="55EA78AD"/>
    <w:rsid w:val="579EA54F"/>
    <w:rsid w:val="57C2F03A"/>
    <w:rsid w:val="59A12039"/>
    <w:rsid w:val="5B8FCFFC"/>
    <w:rsid w:val="625F3FE7"/>
    <w:rsid w:val="6AE1278E"/>
    <w:rsid w:val="6B1DFF21"/>
    <w:rsid w:val="7DCAF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C326F"/>
  <w15:docId w15:val="{D8E72ABB-9DD3-4C50-B0E9-591CA4B3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A42"/>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normaltextrun">
    <w:name w:val="normaltextrun"/>
    <w:basedOn w:val="DefaultParagraphFont"/>
    <w:rsid w:val="00B03C79"/>
  </w:style>
  <w:style w:type="character" w:styleId="UnresolvedMention">
    <w:name w:val="Unresolved Mention"/>
    <w:uiPriority w:val="99"/>
    <w:semiHidden/>
    <w:unhideWhenUsed/>
    <w:rsid w:val="0005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0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social/main.jsp?catId=1545&amp;langId=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FR/TXT/?uri=COM%3A2023%3A501%3AF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a.europa.eu/en/news/enhancing-cross-border-cooperation-area-posting-workers-ela-launches-posting-360-program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ol.europa.eu/crime-areas-and-statistics/empac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17" ma:contentTypeDescription="Create a new document." ma:contentTypeScope="" ma:versionID="53f521604ef111927f0ade1a105123e7">
  <xsd:schema xmlns:xsd="http://www.w3.org/2001/XMLSchema" xmlns:xs="http://www.w3.org/2001/XMLSchema" xmlns:p="http://schemas.microsoft.com/office/2006/metadata/properties" xmlns:ns1="http://schemas.microsoft.com/sharepoint/v3" xmlns:ns2="cce4269c-1bca-4c47-bcbd-0ca0cb14aa6e" xmlns:ns3="96a7f24e-e0df-4592-b6e0-4a62e251a0e5" targetNamespace="http://schemas.microsoft.com/office/2006/metadata/properties" ma:root="true" ma:fieldsID="3094ad24cc8aecc2954c8821b26cceef" ns1:_="" ns2:_="" ns3:_="">
    <xsd:import namespace="http://schemas.microsoft.com/sharepoint/v3"/>
    <xsd:import namespace="cce4269c-1bca-4c47-bcbd-0ca0cb14aa6e"/>
    <xsd:import namespace="96a7f24e-e0df-4592-b6e0-4a62e251a0e5"/>
    <xsd:element name="properties">
      <xsd:complexType>
        <xsd:sequence>
          <xsd:element name="documentManagement">
            <xsd:complexType>
              <xsd:all>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Language"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complexType>
        <xsd:complexContent>
          <xsd:extension base="dms:MultiChoice">
            <xsd:sequence>
              <xsd:element name="Value" maxOccurs="unbounded" minOccurs="0" nillable="true">
                <xsd:simpleType>
                  <xsd:restriction base="dms:Choice">
                    <xsd:enumeration value="FISMA"/>
                    <xsd:enumeration value="ESTAT"/>
                    <xsd:enumeration value="TAXUD"/>
                    <xsd:enumeration value="BUDGET"/>
                    <xsd:enumeration value="MANAGEMENT"/>
                    <xsd:enumeration value="LPPS"/>
                    <xsd:enumeration value="Choice 7"/>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ddeed7-3f14-4cbc-be1d-0468071a0c24}"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TaxCatchAll xmlns="96a7f24e-e0df-4592-b6e0-4a62e251a0e5"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opic xmlns="cce4269c-1bca-4c47-bcbd-0ca0cb14aa6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AD6D2-5925-4A83-AE7E-D75C049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B5664-A8BD-4E5B-8E81-0095D3FFD13A}">
  <ds:schemaRefs>
    <ds:schemaRef ds:uri="http://schemas.microsoft.com/office/2006/metadata/properties"/>
    <ds:schemaRef ds:uri="http://schemas.microsoft.com/office/infopath/2007/PartnerControls"/>
    <ds:schemaRef ds:uri="http://schemas.microsoft.com/sharepoint/v3"/>
    <ds:schemaRef ds:uri="96a7f24e-e0df-4592-b6e0-4a62e251a0e5"/>
    <ds:schemaRef ds:uri="cce4269c-1bca-4c47-bcbd-0ca0cb14aa6e"/>
  </ds:schemaRefs>
</ds:datastoreItem>
</file>

<file path=customXml/itemProps3.xml><?xml version="1.0" encoding="utf-8"?>
<ds:datastoreItem xmlns:ds="http://schemas.openxmlformats.org/officeDocument/2006/customXml" ds:itemID="{0B7E1DAF-C35A-417F-B579-535419FADD18}">
  <ds:schemaRefs>
    <ds:schemaRef ds:uri="http://schemas.openxmlformats.org/officeDocument/2006/bibliography"/>
  </ds:schemaRefs>
</ds:datastoreItem>
</file>

<file path=customXml/itemProps4.xml><?xml version="1.0" encoding="utf-8"?>
<ds:datastoreItem xmlns:ds="http://schemas.openxmlformats.org/officeDocument/2006/customXml" ds:itemID="{475492D3-1CC1-4DB0-9ED4-1D38E62F6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4</Pages>
  <Words>2010</Words>
  <Characters>11402</Characters>
  <Application>Microsoft Office Word</Application>
  <DocSecurity>0</DocSecurity>
  <PresentationFormat>Microsoft Word 8.0b</PresentationFormat>
  <Lines>175</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2017-11-23T08:32:00Z</cp:lastPrinted>
  <dcterms:created xsi:type="dcterms:W3CDTF">2024-05-15T15:27:00Z</dcterms:created>
  <dcterms:modified xsi:type="dcterms:W3CDTF">2024-05-15T15:27:00Z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2024-01-23T12:44:46Z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a92e00cd-498b-4dfa-bda2-8a98a4516ca4</vt:lpwstr>
  </property>
  <property fmtid="{D5CDD505-2E9C-101B-9397-08002B2CF9AE}" pid="19" name="MSIP_Label_6bd9ddd1-4d20-43f6-abfa-fc3c07406f94_ContentBits">
    <vt:lpwstr>0</vt:lpwstr>
  </property>
  <property fmtid="{D5CDD505-2E9C-101B-9397-08002B2CF9AE}" pid="20" name="ContentTypeId">
    <vt:lpwstr>0x0101008BA6791DDFFC024DAA4136D92359EB10</vt:lpwstr>
  </property>
  <property fmtid="{D5CDD505-2E9C-101B-9397-08002B2CF9AE}" pid="21" name="MediaServiceImageTags">
    <vt:lpwstr/>
  </property>
</Properties>
</file>