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C8E6" w14:textId="3311A8DE" w:rsidR="00F42613" w:rsidRPr="00F305B6" w:rsidRDefault="00F42613" w:rsidP="00743D19">
      <w:pPr>
        <w:spacing w:after="600"/>
        <w:jc w:val="center"/>
        <w:rPr>
          <w:rFonts w:ascii="Times New Roman" w:hAnsi="Times New Roman"/>
          <w:b/>
          <w:bCs/>
          <w:szCs w:val="24"/>
        </w:rPr>
      </w:pPr>
      <w:bookmarkStart w:id="0" w:name="SME"/>
      <w:r w:rsidRPr="00F305B6">
        <w:rPr>
          <w:rFonts w:ascii="Times New Roman" w:hAnsi="Times New Roman"/>
          <w:b/>
          <w:bCs/>
          <w:szCs w:val="24"/>
        </w:rPr>
        <w:t>Follow up to the European Parliament non-legislative resolution on implementation of the Neighbourhood, Development and International Cooperation Instrument– Global Europe</w:t>
      </w:r>
    </w:p>
    <w:bookmarkEnd w:id="0"/>
    <w:p w14:paraId="1298E41E" w14:textId="16AD9367" w:rsidR="00F42613" w:rsidRPr="00F305B6" w:rsidRDefault="00F92D52" w:rsidP="00743D19">
      <w:pPr>
        <w:numPr>
          <w:ilvl w:val="0"/>
          <w:numId w:val="5"/>
        </w:numPr>
        <w:ind w:left="567" w:hanging="567"/>
        <w:rPr>
          <w:rFonts w:ascii="Times New Roman" w:hAnsi="Times New Roman"/>
          <w:b/>
          <w:szCs w:val="24"/>
          <w:lang w:val="fr-BE"/>
        </w:rPr>
      </w:pPr>
      <w:r w:rsidRPr="00F305B6">
        <w:rPr>
          <w:rFonts w:ascii="Times New Roman" w:hAnsi="Times New Roman"/>
          <w:b/>
          <w:szCs w:val="24"/>
          <w:lang w:val="fr-BE"/>
        </w:rPr>
        <w:t xml:space="preserve">Rapporteur: </w:t>
      </w:r>
      <w:r w:rsidRPr="00EB74B9">
        <w:rPr>
          <w:rFonts w:ascii="Times New Roman" w:hAnsi="Times New Roman"/>
          <w:bCs/>
          <w:szCs w:val="24"/>
          <w:lang w:val="fr-BE"/>
        </w:rPr>
        <w:t xml:space="preserve">Michael </w:t>
      </w:r>
      <w:r w:rsidR="00EB74B9" w:rsidRPr="00EB74B9">
        <w:rPr>
          <w:rFonts w:ascii="Times New Roman" w:hAnsi="Times New Roman"/>
          <w:bCs/>
          <w:szCs w:val="24"/>
          <w:lang w:val="fr-BE"/>
        </w:rPr>
        <w:t>GAHLE</w:t>
      </w:r>
      <w:r w:rsidR="00B22DF9">
        <w:rPr>
          <w:rFonts w:ascii="Times New Roman" w:hAnsi="Times New Roman"/>
          <w:bCs/>
          <w:szCs w:val="24"/>
          <w:lang w:val="fr-BE"/>
        </w:rPr>
        <w:t>R</w:t>
      </w:r>
      <w:r w:rsidRPr="00EB74B9">
        <w:rPr>
          <w:rFonts w:ascii="Times New Roman" w:hAnsi="Times New Roman"/>
          <w:bCs/>
          <w:szCs w:val="24"/>
          <w:lang w:val="fr-BE"/>
        </w:rPr>
        <w:t xml:space="preserve"> (EPP</w:t>
      </w:r>
      <w:r w:rsidR="00EB74B9">
        <w:rPr>
          <w:rFonts w:ascii="Times New Roman" w:hAnsi="Times New Roman"/>
          <w:bCs/>
          <w:szCs w:val="24"/>
          <w:lang w:val="fr-BE"/>
        </w:rPr>
        <w:t xml:space="preserve"> </w:t>
      </w:r>
      <w:r w:rsidRPr="00EB74B9">
        <w:rPr>
          <w:rFonts w:ascii="Times New Roman" w:hAnsi="Times New Roman"/>
          <w:bCs/>
          <w:szCs w:val="24"/>
          <w:lang w:val="fr-BE"/>
        </w:rPr>
        <w:t>/</w:t>
      </w:r>
      <w:r w:rsidR="00EB74B9">
        <w:rPr>
          <w:rFonts w:ascii="Times New Roman" w:hAnsi="Times New Roman"/>
          <w:bCs/>
          <w:szCs w:val="24"/>
          <w:lang w:val="fr-BE"/>
        </w:rPr>
        <w:t xml:space="preserve"> </w:t>
      </w:r>
      <w:r w:rsidRPr="00EB74B9">
        <w:rPr>
          <w:rFonts w:ascii="Times New Roman" w:hAnsi="Times New Roman"/>
          <w:bCs/>
          <w:szCs w:val="24"/>
          <w:lang w:val="fr-BE"/>
        </w:rPr>
        <w:t xml:space="preserve">DE), Pedro </w:t>
      </w:r>
      <w:r w:rsidR="00EB74B9" w:rsidRPr="00EB74B9">
        <w:rPr>
          <w:rFonts w:ascii="Times New Roman" w:hAnsi="Times New Roman"/>
          <w:bCs/>
          <w:szCs w:val="24"/>
          <w:lang w:val="fr-BE"/>
        </w:rPr>
        <w:t>MARQUES</w:t>
      </w:r>
      <w:r w:rsidRPr="00EB74B9">
        <w:rPr>
          <w:rFonts w:ascii="Times New Roman" w:hAnsi="Times New Roman"/>
          <w:bCs/>
          <w:szCs w:val="24"/>
          <w:lang w:val="fr-BE"/>
        </w:rPr>
        <w:t xml:space="preserve"> (S&amp;D</w:t>
      </w:r>
      <w:r w:rsidR="00EB74B9">
        <w:rPr>
          <w:rFonts w:ascii="Times New Roman" w:hAnsi="Times New Roman"/>
          <w:bCs/>
          <w:szCs w:val="24"/>
          <w:lang w:val="fr-BE"/>
        </w:rPr>
        <w:t xml:space="preserve"> </w:t>
      </w:r>
      <w:r w:rsidRPr="00EB74B9">
        <w:rPr>
          <w:rFonts w:ascii="Times New Roman" w:hAnsi="Times New Roman"/>
          <w:bCs/>
          <w:szCs w:val="24"/>
          <w:lang w:val="fr-BE"/>
        </w:rPr>
        <w:t>/</w:t>
      </w:r>
      <w:r w:rsidR="00EB74B9">
        <w:rPr>
          <w:rFonts w:ascii="Times New Roman" w:hAnsi="Times New Roman"/>
          <w:bCs/>
          <w:szCs w:val="24"/>
          <w:lang w:val="fr-BE"/>
        </w:rPr>
        <w:t xml:space="preserve"> </w:t>
      </w:r>
      <w:r w:rsidRPr="00EB74B9">
        <w:rPr>
          <w:rFonts w:ascii="Times New Roman" w:hAnsi="Times New Roman"/>
          <w:bCs/>
          <w:szCs w:val="24"/>
          <w:lang w:val="fr-BE"/>
        </w:rPr>
        <w:t xml:space="preserve">PT), Tomas </w:t>
      </w:r>
      <w:r w:rsidR="00EB74B9">
        <w:rPr>
          <w:rFonts w:ascii="Times New Roman" w:hAnsi="Times New Roman"/>
          <w:bCs/>
          <w:szCs w:val="24"/>
          <w:lang w:val="fr-BE"/>
        </w:rPr>
        <w:t>TOBE</w:t>
      </w:r>
      <w:r w:rsidRPr="00EB74B9">
        <w:rPr>
          <w:rFonts w:ascii="Times New Roman" w:hAnsi="Times New Roman"/>
          <w:bCs/>
          <w:szCs w:val="24"/>
          <w:lang w:val="fr-BE"/>
        </w:rPr>
        <w:t xml:space="preserve"> (EPP</w:t>
      </w:r>
      <w:r w:rsidR="00EB74B9">
        <w:rPr>
          <w:rFonts w:ascii="Times New Roman" w:hAnsi="Times New Roman"/>
          <w:bCs/>
          <w:szCs w:val="24"/>
          <w:lang w:val="fr-BE"/>
        </w:rPr>
        <w:t xml:space="preserve"> </w:t>
      </w:r>
      <w:r w:rsidRPr="00EB74B9">
        <w:rPr>
          <w:rFonts w:ascii="Times New Roman" w:hAnsi="Times New Roman"/>
          <w:bCs/>
          <w:szCs w:val="24"/>
          <w:lang w:val="fr-BE"/>
        </w:rPr>
        <w:t>/</w:t>
      </w:r>
      <w:r w:rsidR="00EB74B9">
        <w:rPr>
          <w:rFonts w:ascii="Times New Roman" w:hAnsi="Times New Roman"/>
          <w:bCs/>
          <w:szCs w:val="24"/>
          <w:lang w:val="fr-BE"/>
        </w:rPr>
        <w:t xml:space="preserve"> </w:t>
      </w:r>
      <w:r w:rsidRPr="00EB74B9">
        <w:rPr>
          <w:rFonts w:ascii="Times New Roman" w:hAnsi="Times New Roman"/>
          <w:bCs/>
          <w:szCs w:val="24"/>
          <w:lang w:val="fr-BE"/>
        </w:rPr>
        <w:t>SE), Charles G</w:t>
      </w:r>
      <w:r w:rsidR="00EB74B9">
        <w:rPr>
          <w:rFonts w:ascii="Times New Roman" w:hAnsi="Times New Roman"/>
          <w:bCs/>
          <w:szCs w:val="24"/>
          <w:lang w:val="fr-BE"/>
        </w:rPr>
        <w:t>OERENS</w:t>
      </w:r>
      <w:r w:rsidRPr="00EB74B9">
        <w:rPr>
          <w:rFonts w:ascii="Times New Roman" w:hAnsi="Times New Roman"/>
          <w:bCs/>
          <w:szCs w:val="24"/>
          <w:lang w:val="fr-BE"/>
        </w:rPr>
        <w:t xml:space="preserve"> (</w:t>
      </w:r>
      <w:proofErr w:type="spellStart"/>
      <w:r w:rsidRPr="00EB74B9">
        <w:rPr>
          <w:rFonts w:ascii="Times New Roman" w:hAnsi="Times New Roman"/>
          <w:bCs/>
          <w:szCs w:val="24"/>
          <w:lang w:val="fr-BE"/>
        </w:rPr>
        <w:t>Renew</w:t>
      </w:r>
      <w:proofErr w:type="spellEnd"/>
      <w:r w:rsidR="00EB74B9">
        <w:rPr>
          <w:rFonts w:ascii="Times New Roman" w:hAnsi="Times New Roman"/>
          <w:bCs/>
          <w:szCs w:val="24"/>
          <w:lang w:val="fr-BE"/>
        </w:rPr>
        <w:t xml:space="preserve"> / LU</w:t>
      </w:r>
      <w:r w:rsidRPr="00EB74B9">
        <w:rPr>
          <w:rFonts w:ascii="Times New Roman" w:hAnsi="Times New Roman"/>
          <w:bCs/>
          <w:szCs w:val="24"/>
          <w:lang w:val="fr-BE"/>
        </w:rPr>
        <w:t>)</w:t>
      </w:r>
    </w:p>
    <w:p w14:paraId="0E740E18" w14:textId="7BE7C801" w:rsidR="00F42613" w:rsidRPr="00F305B6" w:rsidRDefault="00F42613" w:rsidP="00743D19">
      <w:pPr>
        <w:numPr>
          <w:ilvl w:val="0"/>
          <w:numId w:val="5"/>
        </w:numPr>
        <w:ind w:left="567" w:hanging="567"/>
        <w:rPr>
          <w:rFonts w:ascii="Times New Roman" w:hAnsi="Times New Roman"/>
          <w:i/>
          <w:iCs/>
          <w:szCs w:val="24"/>
        </w:rPr>
      </w:pPr>
      <w:r w:rsidRPr="00F305B6">
        <w:rPr>
          <w:rFonts w:ascii="Times New Roman" w:hAnsi="Times New Roman"/>
          <w:b/>
          <w:bCs/>
          <w:szCs w:val="24"/>
        </w:rPr>
        <w:t xml:space="preserve">Reference numbers: </w:t>
      </w:r>
      <w:r w:rsidRPr="00F305B6">
        <w:rPr>
          <w:rFonts w:ascii="Times New Roman" w:hAnsi="Times New Roman"/>
          <w:szCs w:val="24"/>
        </w:rPr>
        <w:t xml:space="preserve"> 2023/2029</w:t>
      </w:r>
      <w:r w:rsidR="00EB74B9">
        <w:rPr>
          <w:rFonts w:ascii="Times New Roman" w:hAnsi="Times New Roman"/>
          <w:szCs w:val="24"/>
        </w:rPr>
        <w:t xml:space="preserve"> </w:t>
      </w:r>
      <w:r w:rsidRPr="00F305B6">
        <w:rPr>
          <w:rFonts w:ascii="Times New Roman" w:hAnsi="Times New Roman"/>
          <w:szCs w:val="24"/>
        </w:rPr>
        <w:t xml:space="preserve">(INI) </w:t>
      </w:r>
      <w:r w:rsidR="00EB74B9">
        <w:rPr>
          <w:rFonts w:ascii="Times New Roman" w:hAnsi="Times New Roman"/>
          <w:szCs w:val="24"/>
        </w:rPr>
        <w:t>/</w:t>
      </w:r>
      <w:r w:rsidRPr="00F305B6">
        <w:rPr>
          <w:rFonts w:ascii="Times New Roman" w:hAnsi="Times New Roman"/>
          <w:szCs w:val="24"/>
        </w:rPr>
        <w:t xml:space="preserve"> </w:t>
      </w:r>
      <w:r w:rsidR="00EB74B9">
        <w:rPr>
          <w:rFonts w:ascii="Times New Roman" w:hAnsi="Times New Roman"/>
          <w:szCs w:val="24"/>
        </w:rPr>
        <w:t xml:space="preserve">A9-0374/2023 / </w:t>
      </w:r>
      <w:r w:rsidRPr="00F305B6">
        <w:rPr>
          <w:rFonts w:ascii="Times New Roman" w:hAnsi="Times New Roman"/>
          <w:szCs w:val="24"/>
        </w:rPr>
        <w:t>P9_TA(2023)0458</w:t>
      </w:r>
    </w:p>
    <w:p w14:paraId="154D753B" w14:textId="4D18B93F" w:rsidR="00F42613" w:rsidRPr="00F305B6" w:rsidRDefault="00F42613" w:rsidP="00743D19">
      <w:pPr>
        <w:numPr>
          <w:ilvl w:val="0"/>
          <w:numId w:val="5"/>
        </w:numPr>
        <w:ind w:left="567" w:hanging="567"/>
        <w:rPr>
          <w:rFonts w:ascii="Times New Roman" w:hAnsi="Times New Roman"/>
          <w:szCs w:val="24"/>
        </w:rPr>
      </w:pPr>
      <w:r w:rsidRPr="00F305B6">
        <w:rPr>
          <w:rFonts w:ascii="Times New Roman" w:hAnsi="Times New Roman"/>
          <w:b/>
          <w:bCs/>
          <w:szCs w:val="24"/>
        </w:rPr>
        <w:t xml:space="preserve">Date of adoption of the resolution: </w:t>
      </w:r>
      <w:r w:rsidRPr="00F305B6">
        <w:rPr>
          <w:rFonts w:ascii="Times New Roman" w:hAnsi="Times New Roman"/>
          <w:szCs w:val="24"/>
        </w:rPr>
        <w:t xml:space="preserve"> 12</w:t>
      </w:r>
      <w:r w:rsidR="00EB74B9">
        <w:rPr>
          <w:rFonts w:ascii="Times New Roman" w:hAnsi="Times New Roman"/>
          <w:szCs w:val="24"/>
        </w:rPr>
        <w:t xml:space="preserve"> December </w:t>
      </w:r>
      <w:r w:rsidRPr="00F305B6">
        <w:rPr>
          <w:rFonts w:ascii="Times New Roman" w:hAnsi="Times New Roman"/>
          <w:szCs w:val="24"/>
        </w:rPr>
        <w:t>2023</w:t>
      </w:r>
    </w:p>
    <w:p w14:paraId="579708FC" w14:textId="6B3CB8EA" w:rsidR="00F42613" w:rsidRPr="00F305B6" w:rsidRDefault="00F42613" w:rsidP="00743D19">
      <w:pPr>
        <w:widowControl w:val="0"/>
        <w:numPr>
          <w:ilvl w:val="0"/>
          <w:numId w:val="5"/>
        </w:numPr>
        <w:ind w:left="567" w:hanging="567"/>
        <w:rPr>
          <w:rFonts w:ascii="Times New Roman" w:hAnsi="Times New Roman"/>
          <w:szCs w:val="24"/>
        </w:rPr>
      </w:pPr>
      <w:bookmarkStart w:id="1" w:name="_Hlk152762992"/>
      <w:r w:rsidRPr="00F305B6">
        <w:rPr>
          <w:rFonts w:ascii="Times New Roman" w:hAnsi="Times New Roman"/>
          <w:b/>
          <w:szCs w:val="24"/>
        </w:rPr>
        <w:t>Competent Parliamentary Committee:</w:t>
      </w:r>
      <w:r w:rsidRPr="00F305B6">
        <w:rPr>
          <w:rFonts w:ascii="Times New Roman" w:hAnsi="Times New Roman"/>
          <w:szCs w:val="24"/>
        </w:rPr>
        <w:t xml:space="preserve"> </w:t>
      </w:r>
      <w:r w:rsidR="00EB74B9" w:rsidRPr="00EB74B9">
        <w:rPr>
          <w:rFonts w:ascii="Times New Roman" w:hAnsi="Times New Roman"/>
          <w:szCs w:val="24"/>
        </w:rPr>
        <w:t>Committee on Foreign Affairs</w:t>
      </w:r>
      <w:r w:rsidRPr="00F305B6">
        <w:rPr>
          <w:rFonts w:ascii="Times New Roman" w:hAnsi="Times New Roman"/>
          <w:szCs w:val="24"/>
        </w:rPr>
        <w:t xml:space="preserve"> </w:t>
      </w:r>
      <w:r w:rsidR="00EB74B9">
        <w:rPr>
          <w:rFonts w:ascii="Times New Roman" w:hAnsi="Times New Roman"/>
          <w:szCs w:val="24"/>
        </w:rPr>
        <w:t>(</w:t>
      </w:r>
      <w:r w:rsidRPr="00F305B6">
        <w:rPr>
          <w:rFonts w:ascii="Times New Roman" w:hAnsi="Times New Roman"/>
          <w:szCs w:val="24"/>
        </w:rPr>
        <w:t>AFET</w:t>
      </w:r>
      <w:r w:rsidR="00EB74B9">
        <w:rPr>
          <w:rFonts w:ascii="Times New Roman" w:hAnsi="Times New Roman"/>
          <w:szCs w:val="24"/>
        </w:rPr>
        <w:t>); Committee on Development (</w:t>
      </w:r>
      <w:r w:rsidRPr="00F305B6">
        <w:rPr>
          <w:rFonts w:ascii="Times New Roman" w:hAnsi="Times New Roman"/>
          <w:szCs w:val="24"/>
        </w:rPr>
        <w:t>DEVE</w:t>
      </w:r>
      <w:r w:rsidR="00EB74B9">
        <w:rPr>
          <w:rFonts w:ascii="Times New Roman" w:hAnsi="Times New Roman"/>
          <w:szCs w:val="24"/>
        </w:rPr>
        <w:t>)</w:t>
      </w:r>
    </w:p>
    <w:bookmarkEnd w:id="1"/>
    <w:p w14:paraId="5840A05C" w14:textId="77777777" w:rsidR="00F42613" w:rsidRPr="00F305B6" w:rsidRDefault="00F42613" w:rsidP="00743D19">
      <w:pPr>
        <w:widowControl w:val="0"/>
        <w:numPr>
          <w:ilvl w:val="0"/>
          <w:numId w:val="5"/>
        </w:numPr>
        <w:ind w:left="567" w:hanging="567"/>
        <w:rPr>
          <w:rFonts w:ascii="Times New Roman" w:hAnsi="Times New Roman"/>
          <w:szCs w:val="24"/>
        </w:rPr>
      </w:pPr>
      <w:r w:rsidRPr="00F305B6">
        <w:rPr>
          <w:rFonts w:ascii="Times New Roman" w:hAnsi="Times New Roman"/>
          <w:b/>
          <w:bCs/>
          <w:szCs w:val="24"/>
        </w:rPr>
        <w:t>Brief analysis/ assessment of the resolution and requests made in it:</w:t>
      </w:r>
      <w:r w:rsidRPr="00F305B6" w:rsidDel="008C56FD">
        <w:rPr>
          <w:rFonts w:ascii="Times New Roman" w:hAnsi="Times New Roman"/>
          <w:szCs w:val="24"/>
        </w:rPr>
        <w:t xml:space="preserve"> </w:t>
      </w:r>
    </w:p>
    <w:p w14:paraId="297AFD26" w14:textId="217EE129" w:rsidR="001431F9" w:rsidRPr="00F305B6" w:rsidRDefault="71F93429" w:rsidP="00EB74B9">
      <w:pPr>
        <w:spacing w:after="120"/>
        <w:rPr>
          <w:rFonts w:ascii="Times New Roman" w:hAnsi="Times New Roman"/>
        </w:rPr>
      </w:pPr>
      <w:r w:rsidRPr="00F305B6">
        <w:rPr>
          <w:rFonts w:ascii="Times New Roman" w:hAnsi="Times New Roman"/>
        </w:rPr>
        <w:t xml:space="preserve">The resolution </w:t>
      </w:r>
      <w:r w:rsidR="1E5F2D4C" w:rsidRPr="00F305B6">
        <w:rPr>
          <w:rFonts w:ascii="Times New Roman" w:hAnsi="Times New Roman"/>
        </w:rPr>
        <w:t>outline</w:t>
      </w:r>
      <w:r w:rsidR="510AE2E4" w:rsidRPr="00F305B6">
        <w:rPr>
          <w:rFonts w:ascii="Times New Roman" w:hAnsi="Times New Roman"/>
        </w:rPr>
        <w:t>s</w:t>
      </w:r>
      <w:r w:rsidRPr="00F305B6">
        <w:rPr>
          <w:rFonts w:ascii="Times New Roman" w:hAnsi="Times New Roman"/>
        </w:rPr>
        <w:t xml:space="preserve"> several general considerations and priorities for the </w:t>
      </w:r>
      <w:r w:rsidR="5D47CFFC" w:rsidRPr="00F305B6">
        <w:rPr>
          <w:rFonts w:ascii="Times New Roman" w:hAnsi="Times New Roman"/>
        </w:rPr>
        <w:t>mid</w:t>
      </w:r>
      <w:r w:rsidRPr="00F305B6">
        <w:rPr>
          <w:rFonts w:ascii="Times New Roman" w:hAnsi="Times New Roman"/>
        </w:rPr>
        <w:t>-</w:t>
      </w:r>
      <w:r w:rsidR="5D47CFFC" w:rsidRPr="00F305B6">
        <w:rPr>
          <w:rFonts w:ascii="Times New Roman" w:hAnsi="Times New Roman"/>
        </w:rPr>
        <w:t xml:space="preserve">term evaluation </w:t>
      </w:r>
      <w:r w:rsidRPr="00F305B6">
        <w:rPr>
          <w:rFonts w:ascii="Times New Roman" w:hAnsi="Times New Roman"/>
        </w:rPr>
        <w:t xml:space="preserve">of the </w:t>
      </w:r>
      <w:r w:rsidR="00EB74B9" w:rsidRPr="00EB74B9">
        <w:rPr>
          <w:rFonts w:ascii="Times New Roman" w:hAnsi="Times New Roman"/>
        </w:rPr>
        <w:t>Neighbourhood, Development and International Cooperation Instrument – Global Europe</w:t>
      </w:r>
      <w:r w:rsidR="00EB74B9">
        <w:rPr>
          <w:rFonts w:ascii="Times New Roman" w:hAnsi="Times New Roman"/>
        </w:rPr>
        <w:t xml:space="preserve"> (</w:t>
      </w:r>
      <w:r w:rsidRPr="00F305B6">
        <w:rPr>
          <w:rFonts w:ascii="Times New Roman" w:hAnsi="Times New Roman"/>
        </w:rPr>
        <w:t>NDICI/GE</w:t>
      </w:r>
      <w:r w:rsidR="00EB74B9">
        <w:rPr>
          <w:rFonts w:ascii="Times New Roman" w:hAnsi="Times New Roman"/>
        </w:rPr>
        <w:t>)</w:t>
      </w:r>
      <w:r w:rsidRPr="00F305B6">
        <w:rPr>
          <w:rFonts w:ascii="Times New Roman" w:hAnsi="Times New Roman"/>
        </w:rPr>
        <w:t xml:space="preserve">, particularly focusing on additional funding required for external action and development policies. It highlights the need to review the EU's external and development policies in light of </w:t>
      </w:r>
      <w:r w:rsidR="66DD8AB7" w:rsidRPr="00F305B6">
        <w:rPr>
          <w:rFonts w:ascii="Times New Roman" w:hAnsi="Times New Roman"/>
        </w:rPr>
        <w:t xml:space="preserve">the global </w:t>
      </w:r>
      <w:r w:rsidRPr="00F305B6">
        <w:rPr>
          <w:rFonts w:ascii="Times New Roman" w:hAnsi="Times New Roman"/>
        </w:rPr>
        <w:t>increasing inequalities and food insecurity, and the impact of geopolitical changes. It further stresses the unwavering support for Ukraine in the face of the ongoing Russia</w:t>
      </w:r>
      <w:r w:rsidR="2B2A5536" w:rsidRPr="00F305B6">
        <w:rPr>
          <w:rFonts w:ascii="Times New Roman" w:hAnsi="Times New Roman"/>
        </w:rPr>
        <w:t xml:space="preserve">'s </w:t>
      </w:r>
      <w:r w:rsidRPr="00F305B6">
        <w:rPr>
          <w:rFonts w:ascii="Times New Roman" w:hAnsi="Times New Roman"/>
        </w:rPr>
        <w:t>war of aggression and emphasizes the need for a thorough evaluation of the Instrument's resources to ensure they meet the objectives. The resolution also discusses effective accountability and transparency in the programming process of NDICI/GE.</w:t>
      </w:r>
    </w:p>
    <w:p w14:paraId="6E4E60C9" w14:textId="5B27E7F4" w:rsidR="001431F9" w:rsidRPr="00F305B6" w:rsidRDefault="001431F9" w:rsidP="00EB74B9">
      <w:pPr>
        <w:spacing w:after="120"/>
        <w:rPr>
          <w:rFonts w:ascii="Times New Roman" w:hAnsi="Times New Roman"/>
          <w:szCs w:val="24"/>
        </w:rPr>
      </w:pPr>
      <w:r w:rsidRPr="00F305B6">
        <w:rPr>
          <w:rFonts w:ascii="Times New Roman" w:hAnsi="Times New Roman"/>
          <w:szCs w:val="24"/>
        </w:rPr>
        <w:t>The European Parliament calls for a comprehensive assessment of the Instrument's capacity to achieve the EU's overall external policy goals. Furthermore, it emphasi</w:t>
      </w:r>
      <w:r w:rsidR="0013111D" w:rsidRPr="00F305B6">
        <w:rPr>
          <w:rFonts w:ascii="Times New Roman" w:hAnsi="Times New Roman"/>
          <w:szCs w:val="24"/>
        </w:rPr>
        <w:t>s</w:t>
      </w:r>
      <w:r w:rsidRPr="00F305B6">
        <w:rPr>
          <w:rFonts w:ascii="Times New Roman" w:hAnsi="Times New Roman"/>
          <w:szCs w:val="24"/>
        </w:rPr>
        <w:t>es the importance of investments in human development, the fight against climate change, and the eradication of poverty. It calls for the EU to secure necessary resources and mobili</w:t>
      </w:r>
      <w:r w:rsidR="00F87D68" w:rsidRPr="00F305B6">
        <w:rPr>
          <w:rFonts w:ascii="Times New Roman" w:hAnsi="Times New Roman"/>
          <w:szCs w:val="24"/>
        </w:rPr>
        <w:t>s</w:t>
      </w:r>
      <w:r w:rsidRPr="00F305B6">
        <w:rPr>
          <w:rFonts w:ascii="Times New Roman" w:hAnsi="Times New Roman"/>
          <w:szCs w:val="24"/>
        </w:rPr>
        <w:t>e investments, including leveraging private-sector financing and ensuring the EU's positive impact and credibility on the global stage. The resolution also highlights the strategic nature of Global Gateway and Team Europe for EU’s role in the world as well as the need for parliamentary scrutiny and involvement. It calls for improvements in providing information and greater involvement of civil society organizations and local partners in the implementation of the Instrument.</w:t>
      </w:r>
    </w:p>
    <w:p w14:paraId="1ABAE65D" w14:textId="55850A1F" w:rsidR="00F42613" w:rsidRPr="00F305B6" w:rsidRDefault="00F42613" w:rsidP="00743D19">
      <w:pPr>
        <w:widowControl w:val="0"/>
        <w:numPr>
          <w:ilvl w:val="0"/>
          <w:numId w:val="5"/>
        </w:numPr>
        <w:rPr>
          <w:rFonts w:ascii="Times New Roman" w:hAnsi="Times New Roman"/>
          <w:b/>
          <w:bCs/>
          <w:i/>
          <w:iCs/>
          <w:szCs w:val="24"/>
        </w:rPr>
      </w:pPr>
      <w:r w:rsidRPr="00F305B6">
        <w:rPr>
          <w:rFonts w:ascii="Times New Roman" w:hAnsi="Times New Roman"/>
          <w:b/>
          <w:bCs/>
          <w:szCs w:val="24"/>
        </w:rPr>
        <w:t>Response to the requests and overview of the action taken, or intended to be taken, by the Commission:</w:t>
      </w:r>
    </w:p>
    <w:p w14:paraId="1741846A" w14:textId="1B90ADE0" w:rsidR="6EA77865" w:rsidRPr="00F305B6" w:rsidRDefault="709FE4DB" w:rsidP="00EB74B9">
      <w:pPr>
        <w:spacing w:after="120"/>
        <w:rPr>
          <w:rFonts w:ascii="Times New Roman" w:hAnsi="Times New Roman"/>
        </w:rPr>
      </w:pPr>
      <w:r w:rsidRPr="00F305B6">
        <w:rPr>
          <w:rFonts w:ascii="Times New Roman" w:hAnsi="Times New Roman"/>
        </w:rPr>
        <w:t xml:space="preserve">The Commission </w:t>
      </w:r>
      <w:r w:rsidR="6C62A5A8" w:rsidRPr="00F305B6">
        <w:rPr>
          <w:rFonts w:ascii="Times New Roman" w:hAnsi="Times New Roman"/>
        </w:rPr>
        <w:t>welcomes</w:t>
      </w:r>
      <w:r w:rsidR="08B36C0D" w:rsidRPr="00F305B6">
        <w:rPr>
          <w:rFonts w:ascii="Times New Roman" w:hAnsi="Times New Roman"/>
        </w:rPr>
        <w:t xml:space="preserve"> the resolution of the European Parliament and </w:t>
      </w:r>
      <w:r w:rsidRPr="00F305B6">
        <w:rPr>
          <w:rFonts w:ascii="Times New Roman" w:hAnsi="Times New Roman"/>
        </w:rPr>
        <w:t xml:space="preserve">notes that currently there are three separate </w:t>
      </w:r>
      <w:r w:rsidR="025F10DA" w:rsidRPr="00F305B6">
        <w:rPr>
          <w:rFonts w:ascii="Times New Roman" w:hAnsi="Times New Roman"/>
        </w:rPr>
        <w:t xml:space="preserve">on-going </w:t>
      </w:r>
      <w:r w:rsidRPr="00F305B6">
        <w:rPr>
          <w:rFonts w:ascii="Times New Roman" w:hAnsi="Times New Roman"/>
        </w:rPr>
        <w:t xml:space="preserve">processes: the proposed revision of the Multiannual Financial Framework (MFF), the mid-term evaluation of the NDICI-Global Europe Regulation as well as the mid-term review of NDICI-Global Europe programming. The mid-term evaluation of the NDICI-Global Europe Regulation will inform the </w:t>
      </w:r>
      <w:r w:rsidR="77471B42" w:rsidRPr="00F305B6">
        <w:rPr>
          <w:rFonts w:ascii="Times New Roman" w:hAnsi="Times New Roman"/>
        </w:rPr>
        <w:t>mid</w:t>
      </w:r>
      <w:r w:rsidRPr="00F305B6">
        <w:rPr>
          <w:rFonts w:ascii="Times New Roman" w:hAnsi="Times New Roman"/>
        </w:rPr>
        <w:t>-</w:t>
      </w:r>
      <w:r w:rsidR="77471B42" w:rsidRPr="00F305B6">
        <w:rPr>
          <w:rFonts w:ascii="Times New Roman" w:hAnsi="Times New Roman"/>
        </w:rPr>
        <w:t xml:space="preserve">term review </w:t>
      </w:r>
      <w:r w:rsidRPr="00F305B6">
        <w:rPr>
          <w:rFonts w:ascii="Times New Roman" w:hAnsi="Times New Roman"/>
        </w:rPr>
        <w:t>of the programming.</w:t>
      </w:r>
    </w:p>
    <w:p w14:paraId="620768E5" w14:textId="5538A8D7" w:rsidR="6EA77865" w:rsidRPr="00F305B6" w:rsidRDefault="709FE4DB" w:rsidP="00EB74B9">
      <w:pPr>
        <w:spacing w:after="120"/>
        <w:rPr>
          <w:rFonts w:ascii="Times New Roman" w:hAnsi="Times New Roman"/>
        </w:rPr>
      </w:pPr>
      <w:r w:rsidRPr="00F305B6">
        <w:rPr>
          <w:rFonts w:ascii="Times New Roman" w:hAnsi="Times New Roman"/>
        </w:rPr>
        <w:t xml:space="preserve">A key issue </w:t>
      </w:r>
      <w:r w:rsidR="001939C8" w:rsidRPr="00F305B6">
        <w:rPr>
          <w:rFonts w:ascii="Times New Roman" w:hAnsi="Times New Roman"/>
        </w:rPr>
        <w:t xml:space="preserve">for </w:t>
      </w:r>
      <w:r w:rsidRPr="00F305B6">
        <w:rPr>
          <w:rFonts w:ascii="Times New Roman" w:hAnsi="Times New Roman"/>
        </w:rPr>
        <w:t xml:space="preserve">the mid-term evaluation </w:t>
      </w:r>
      <w:r w:rsidR="001939C8" w:rsidRPr="00F305B6">
        <w:rPr>
          <w:rFonts w:ascii="Times New Roman" w:hAnsi="Times New Roman"/>
        </w:rPr>
        <w:t xml:space="preserve">is to </w:t>
      </w:r>
      <w:r w:rsidRPr="00F305B6">
        <w:rPr>
          <w:rFonts w:ascii="Times New Roman" w:hAnsi="Times New Roman"/>
        </w:rPr>
        <w:t xml:space="preserve">analyse whether NDICI-Global Europe is on track to effectively </w:t>
      </w:r>
      <w:r w:rsidRPr="00F305B6">
        <w:rPr>
          <w:rFonts w:ascii="Times New Roman" w:hAnsi="Times New Roman"/>
          <w:b/>
          <w:bCs/>
        </w:rPr>
        <w:t xml:space="preserve">deliver </w:t>
      </w:r>
      <w:r w:rsidR="257537F8" w:rsidRPr="00F305B6">
        <w:rPr>
          <w:rFonts w:ascii="Times New Roman" w:hAnsi="Times New Roman"/>
          <w:b/>
          <w:bCs/>
        </w:rPr>
        <w:t xml:space="preserve">on </w:t>
      </w:r>
      <w:r w:rsidRPr="00F305B6">
        <w:rPr>
          <w:rFonts w:ascii="Times New Roman" w:hAnsi="Times New Roman"/>
          <w:b/>
          <w:bCs/>
        </w:rPr>
        <w:t xml:space="preserve">its </w:t>
      </w:r>
      <w:r w:rsidR="4FF81B7B" w:rsidRPr="00F305B6">
        <w:rPr>
          <w:rFonts w:ascii="Times New Roman" w:hAnsi="Times New Roman"/>
          <w:b/>
          <w:bCs/>
        </w:rPr>
        <w:t xml:space="preserve">general and specific </w:t>
      </w:r>
      <w:r w:rsidRPr="00F305B6">
        <w:rPr>
          <w:rFonts w:ascii="Times New Roman" w:hAnsi="Times New Roman"/>
          <w:b/>
          <w:bCs/>
        </w:rPr>
        <w:t>objectives</w:t>
      </w:r>
      <w:r w:rsidRPr="00F305B6">
        <w:rPr>
          <w:rFonts w:ascii="Times New Roman" w:hAnsi="Times New Roman"/>
        </w:rPr>
        <w:t xml:space="preserve">. </w:t>
      </w:r>
      <w:r w:rsidR="77471B42" w:rsidRPr="00F305B6">
        <w:rPr>
          <w:rFonts w:ascii="Times New Roman" w:hAnsi="Times New Roman"/>
        </w:rPr>
        <w:t>It will</w:t>
      </w:r>
      <w:r w:rsidRPr="00F305B6">
        <w:rPr>
          <w:rFonts w:ascii="Times New Roman" w:hAnsi="Times New Roman"/>
        </w:rPr>
        <w:t xml:space="preserve"> also</w:t>
      </w:r>
      <w:r w:rsidR="3E7A42B3" w:rsidRPr="00F305B6">
        <w:rPr>
          <w:rFonts w:ascii="Times New Roman" w:hAnsi="Times New Roman"/>
        </w:rPr>
        <w:t xml:space="preserve"> assess</w:t>
      </w:r>
      <w:r w:rsidRPr="00F305B6">
        <w:rPr>
          <w:rFonts w:ascii="Times New Roman" w:hAnsi="Times New Roman"/>
        </w:rPr>
        <w:t xml:space="preserve"> the relevance </w:t>
      </w:r>
      <w:r w:rsidR="77471B42" w:rsidRPr="00F305B6">
        <w:rPr>
          <w:rFonts w:ascii="Times New Roman" w:hAnsi="Times New Roman"/>
        </w:rPr>
        <w:t>of the set general objective</w:t>
      </w:r>
      <w:r w:rsidR="7EF03698" w:rsidRPr="00F305B6">
        <w:rPr>
          <w:rFonts w:ascii="Times New Roman" w:hAnsi="Times New Roman"/>
        </w:rPr>
        <w:t>s</w:t>
      </w:r>
      <w:r w:rsidR="77471B42" w:rsidRPr="00F305B6">
        <w:rPr>
          <w:rFonts w:ascii="Times New Roman" w:hAnsi="Times New Roman"/>
        </w:rPr>
        <w:t xml:space="preserve"> in the context of the evolving geopolitical context </w:t>
      </w:r>
      <w:r w:rsidR="721A4FE6" w:rsidRPr="00F305B6">
        <w:rPr>
          <w:rFonts w:ascii="Times New Roman" w:hAnsi="Times New Roman"/>
        </w:rPr>
        <w:t xml:space="preserve">and </w:t>
      </w:r>
      <w:r w:rsidR="44882801" w:rsidRPr="00F305B6">
        <w:rPr>
          <w:rFonts w:ascii="Times New Roman" w:eastAsia="Arial" w:hAnsi="Times New Roman"/>
        </w:rPr>
        <w:t xml:space="preserve">how they </w:t>
      </w:r>
      <w:r w:rsidR="77471B42" w:rsidRPr="00F305B6">
        <w:rPr>
          <w:rFonts w:ascii="Times New Roman" w:eastAsia="Arial" w:hAnsi="Times New Roman"/>
        </w:rPr>
        <w:t>match the</w:t>
      </w:r>
      <w:r w:rsidR="3E7A42B3" w:rsidRPr="00F305B6">
        <w:rPr>
          <w:rFonts w:ascii="Times New Roman" w:eastAsia="Arial" w:hAnsi="Times New Roman"/>
        </w:rPr>
        <w:t xml:space="preserve"> </w:t>
      </w:r>
      <w:r w:rsidR="721A4FE6" w:rsidRPr="00F305B6">
        <w:rPr>
          <w:rFonts w:ascii="Times New Roman" w:eastAsia="Arial" w:hAnsi="Times New Roman"/>
        </w:rPr>
        <w:t>EU and partner countries’ policy priorities</w:t>
      </w:r>
      <w:r w:rsidRPr="00F305B6">
        <w:rPr>
          <w:rFonts w:ascii="Times New Roman" w:hAnsi="Times New Roman"/>
        </w:rPr>
        <w:t xml:space="preserve"> </w:t>
      </w:r>
      <w:r w:rsidRPr="00F305B6">
        <w:rPr>
          <w:rFonts w:ascii="Times New Roman" w:hAnsi="Times New Roman"/>
          <w:b/>
          <w:bCs/>
        </w:rPr>
        <w:t>(paragraphs 2</w:t>
      </w:r>
      <w:r w:rsidR="00EB74B9">
        <w:rPr>
          <w:rFonts w:ascii="Times New Roman" w:hAnsi="Times New Roman"/>
          <w:b/>
          <w:bCs/>
        </w:rPr>
        <w:t xml:space="preserve"> and</w:t>
      </w:r>
      <w:r w:rsidRPr="00F305B6">
        <w:rPr>
          <w:rFonts w:ascii="Times New Roman" w:hAnsi="Times New Roman"/>
          <w:b/>
          <w:bCs/>
        </w:rPr>
        <w:t xml:space="preserve"> 5)</w:t>
      </w:r>
      <w:r w:rsidRPr="00F305B6">
        <w:rPr>
          <w:rFonts w:ascii="Times New Roman" w:hAnsi="Times New Roman"/>
        </w:rPr>
        <w:t>. As such</w:t>
      </w:r>
      <w:r w:rsidR="00EB74B9">
        <w:rPr>
          <w:rFonts w:ascii="Times New Roman" w:hAnsi="Times New Roman"/>
        </w:rPr>
        <w:t>,</w:t>
      </w:r>
      <w:r w:rsidRPr="00F305B6">
        <w:rPr>
          <w:rFonts w:ascii="Times New Roman" w:hAnsi="Times New Roman"/>
        </w:rPr>
        <w:t xml:space="preserve"> the mid-term evaluation does not examine whether the allocated </w:t>
      </w:r>
      <w:r w:rsidRPr="00F305B6">
        <w:rPr>
          <w:rFonts w:ascii="Times New Roman" w:hAnsi="Times New Roman"/>
          <w:b/>
          <w:bCs/>
        </w:rPr>
        <w:t>resources</w:t>
      </w:r>
      <w:r w:rsidRPr="00F305B6">
        <w:rPr>
          <w:rFonts w:ascii="Times New Roman" w:hAnsi="Times New Roman"/>
        </w:rPr>
        <w:t xml:space="preserve"> are sufficient to meet the objectives; this is the </w:t>
      </w:r>
      <w:r w:rsidR="26F46B74" w:rsidRPr="00F305B6">
        <w:rPr>
          <w:rFonts w:ascii="Times New Roman" w:hAnsi="Times New Roman"/>
        </w:rPr>
        <w:t xml:space="preserve">purpose </w:t>
      </w:r>
      <w:r w:rsidRPr="00F305B6">
        <w:rPr>
          <w:rFonts w:ascii="Times New Roman" w:hAnsi="Times New Roman"/>
        </w:rPr>
        <w:t xml:space="preserve">of the Commission’s proposal on the mid-term revision of the </w:t>
      </w:r>
      <w:r w:rsidRPr="00F305B6">
        <w:rPr>
          <w:rFonts w:ascii="Times New Roman" w:hAnsi="Times New Roman"/>
        </w:rPr>
        <w:lastRenderedPageBreak/>
        <w:t xml:space="preserve">current MFF </w:t>
      </w:r>
      <w:r w:rsidRPr="00F305B6">
        <w:rPr>
          <w:rFonts w:ascii="Times New Roman" w:hAnsi="Times New Roman"/>
          <w:b/>
          <w:bCs/>
        </w:rPr>
        <w:t>(paragraph 3)</w:t>
      </w:r>
      <w:r w:rsidRPr="00F305B6">
        <w:rPr>
          <w:rFonts w:ascii="Times New Roman" w:hAnsi="Times New Roman"/>
        </w:rPr>
        <w:t xml:space="preserve">. The mid-term evaluation focuses on the </w:t>
      </w:r>
      <w:r w:rsidRPr="00F305B6">
        <w:rPr>
          <w:rFonts w:ascii="Times New Roman" w:hAnsi="Times New Roman"/>
          <w:b/>
          <w:bCs/>
        </w:rPr>
        <w:t xml:space="preserve">objectives and principles </w:t>
      </w:r>
      <w:r w:rsidRPr="00F305B6">
        <w:rPr>
          <w:rFonts w:ascii="Times New Roman" w:hAnsi="Times New Roman"/>
        </w:rPr>
        <w:t>contained in the NDICI-</w:t>
      </w:r>
      <w:r w:rsidR="77471B42" w:rsidRPr="00F305B6">
        <w:rPr>
          <w:rFonts w:ascii="Times New Roman" w:hAnsi="Times New Roman"/>
        </w:rPr>
        <w:t>GE</w:t>
      </w:r>
      <w:r w:rsidRPr="00F305B6">
        <w:rPr>
          <w:rFonts w:ascii="Times New Roman" w:hAnsi="Times New Roman"/>
        </w:rPr>
        <w:t xml:space="preserve"> Regulation (e.g., flexibility or complementarity with other instruments) rather than on the </w:t>
      </w:r>
      <w:r w:rsidRPr="00F305B6">
        <w:rPr>
          <w:rFonts w:ascii="Times New Roman" w:hAnsi="Times New Roman"/>
          <w:b/>
          <w:bCs/>
        </w:rPr>
        <w:t>implementation of the policies, programmes and actions</w:t>
      </w:r>
      <w:r w:rsidRPr="00F305B6">
        <w:rPr>
          <w:rFonts w:ascii="Times New Roman" w:hAnsi="Times New Roman"/>
        </w:rPr>
        <w:t xml:space="preserve"> that have been supported </w:t>
      </w:r>
      <w:r w:rsidR="77471B42" w:rsidRPr="00F305B6">
        <w:rPr>
          <w:rFonts w:ascii="Times New Roman" w:hAnsi="Times New Roman"/>
        </w:rPr>
        <w:t>with the help</w:t>
      </w:r>
      <w:r w:rsidRPr="00F305B6">
        <w:rPr>
          <w:rFonts w:ascii="Times New Roman" w:hAnsi="Times New Roman"/>
        </w:rPr>
        <w:t xml:space="preserve"> of the instrument </w:t>
      </w:r>
      <w:r w:rsidRPr="00F305B6">
        <w:rPr>
          <w:rFonts w:ascii="Times New Roman" w:hAnsi="Times New Roman"/>
          <w:b/>
          <w:bCs/>
        </w:rPr>
        <w:t>(paragraphs 5</w:t>
      </w:r>
      <w:r w:rsidR="00EB74B9">
        <w:rPr>
          <w:rFonts w:ascii="Times New Roman" w:hAnsi="Times New Roman"/>
          <w:b/>
          <w:bCs/>
        </w:rPr>
        <w:t xml:space="preserve"> and</w:t>
      </w:r>
      <w:r w:rsidRPr="00F305B6">
        <w:rPr>
          <w:rFonts w:ascii="Times New Roman" w:hAnsi="Times New Roman"/>
          <w:b/>
          <w:bCs/>
        </w:rPr>
        <w:t xml:space="preserve"> 9)</w:t>
      </w:r>
      <w:r w:rsidRPr="00F305B6">
        <w:rPr>
          <w:rFonts w:ascii="Times New Roman" w:hAnsi="Times New Roman"/>
        </w:rPr>
        <w:t>. As provided in the NDICI-</w:t>
      </w:r>
      <w:r w:rsidR="77471B42" w:rsidRPr="00F305B6">
        <w:rPr>
          <w:rFonts w:ascii="Times New Roman" w:hAnsi="Times New Roman"/>
        </w:rPr>
        <w:t>GE</w:t>
      </w:r>
      <w:r w:rsidRPr="00F305B6">
        <w:rPr>
          <w:rFonts w:ascii="Times New Roman" w:hAnsi="Times New Roman"/>
        </w:rPr>
        <w:t xml:space="preserve"> Regulation, in the mid-term evaluation the Commission will consider whether a legislative proposal to amend the </w:t>
      </w:r>
      <w:r w:rsidR="00EB74B9">
        <w:rPr>
          <w:rFonts w:ascii="Times New Roman" w:hAnsi="Times New Roman"/>
        </w:rPr>
        <w:t>r</w:t>
      </w:r>
      <w:r w:rsidRPr="00F305B6">
        <w:rPr>
          <w:rFonts w:ascii="Times New Roman" w:hAnsi="Times New Roman"/>
        </w:rPr>
        <w:t xml:space="preserve">egulation would be needed </w:t>
      </w:r>
      <w:r w:rsidRPr="00F305B6">
        <w:rPr>
          <w:rFonts w:ascii="Times New Roman" w:hAnsi="Times New Roman"/>
          <w:b/>
          <w:bCs/>
        </w:rPr>
        <w:t>(paragraph</w:t>
      </w:r>
      <w:r w:rsidR="00EB74B9">
        <w:rPr>
          <w:rFonts w:ascii="Times New Roman" w:hAnsi="Times New Roman"/>
          <w:b/>
          <w:bCs/>
        </w:rPr>
        <w:t> </w:t>
      </w:r>
      <w:r w:rsidRPr="00F305B6">
        <w:rPr>
          <w:rFonts w:ascii="Times New Roman" w:hAnsi="Times New Roman"/>
          <w:b/>
          <w:bCs/>
        </w:rPr>
        <w:t>35)</w:t>
      </w:r>
      <w:r w:rsidRPr="00F305B6">
        <w:rPr>
          <w:rFonts w:ascii="Times New Roman" w:hAnsi="Times New Roman"/>
        </w:rPr>
        <w:t>.</w:t>
      </w:r>
    </w:p>
    <w:p w14:paraId="529923B6" w14:textId="2F6000E2" w:rsidR="6EA77865" w:rsidRPr="00F305B6" w:rsidRDefault="6EA77865" w:rsidP="00EB74B9">
      <w:pPr>
        <w:spacing w:after="120"/>
        <w:rPr>
          <w:rFonts w:ascii="Times New Roman" w:hAnsi="Times New Roman"/>
          <w:szCs w:val="24"/>
        </w:rPr>
      </w:pPr>
      <w:r w:rsidRPr="00F305B6">
        <w:rPr>
          <w:rFonts w:ascii="Times New Roman" w:hAnsi="Times New Roman"/>
          <w:szCs w:val="24"/>
        </w:rPr>
        <w:t xml:space="preserve">The </w:t>
      </w:r>
      <w:r w:rsidRPr="00F305B6">
        <w:rPr>
          <w:rFonts w:ascii="Times New Roman" w:hAnsi="Times New Roman"/>
          <w:b/>
          <w:bCs/>
          <w:szCs w:val="24"/>
        </w:rPr>
        <w:t xml:space="preserve">main </w:t>
      </w:r>
      <w:r w:rsidR="44CD1D38" w:rsidRPr="00F305B6">
        <w:rPr>
          <w:rFonts w:ascii="Times New Roman" w:hAnsi="Times New Roman"/>
          <w:b/>
          <w:bCs/>
          <w:szCs w:val="24"/>
        </w:rPr>
        <w:t>goal</w:t>
      </w:r>
      <w:r w:rsidRPr="00F305B6">
        <w:rPr>
          <w:rFonts w:ascii="Times New Roman" w:hAnsi="Times New Roman"/>
          <w:b/>
          <w:bCs/>
          <w:szCs w:val="24"/>
        </w:rPr>
        <w:t xml:space="preserve"> of the on-going mid-term review of NDICI-</w:t>
      </w:r>
      <w:r w:rsidR="00C43D25" w:rsidRPr="00F305B6">
        <w:rPr>
          <w:rFonts w:ascii="Times New Roman" w:hAnsi="Times New Roman"/>
          <w:b/>
          <w:bCs/>
          <w:szCs w:val="24"/>
        </w:rPr>
        <w:t>GE</w:t>
      </w:r>
      <w:r w:rsidRPr="00F305B6">
        <w:rPr>
          <w:rFonts w:ascii="Times New Roman" w:hAnsi="Times New Roman"/>
          <w:b/>
          <w:bCs/>
          <w:szCs w:val="24"/>
        </w:rPr>
        <w:t xml:space="preserve"> programming</w:t>
      </w:r>
      <w:r w:rsidRPr="00F305B6">
        <w:rPr>
          <w:rFonts w:ascii="Times New Roman" w:hAnsi="Times New Roman"/>
          <w:szCs w:val="24"/>
        </w:rPr>
        <w:t xml:space="preserve"> is to assess the relevance and progress of all adopted geographic and thematic multi-annual indicative programmes, and, if needed, to revise their priority areas and related sectors of intervention (</w:t>
      </w:r>
      <w:r w:rsidRPr="00F305B6">
        <w:rPr>
          <w:rFonts w:ascii="Times New Roman" w:hAnsi="Times New Roman"/>
          <w:b/>
          <w:bCs/>
          <w:szCs w:val="24"/>
        </w:rPr>
        <w:t>paragraph 35</w:t>
      </w:r>
      <w:r w:rsidRPr="00F305B6">
        <w:rPr>
          <w:rFonts w:ascii="Times New Roman" w:hAnsi="Times New Roman"/>
          <w:szCs w:val="24"/>
        </w:rPr>
        <w:t>).</w:t>
      </w:r>
    </w:p>
    <w:p w14:paraId="70F408C6" w14:textId="3519373C" w:rsidR="382106A5" w:rsidRPr="00F305B6" w:rsidRDefault="006349E9" w:rsidP="00EB74B9">
      <w:pPr>
        <w:spacing w:after="120"/>
        <w:rPr>
          <w:rFonts w:ascii="Times New Roman" w:hAnsi="Times New Roman"/>
          <w:b/>
        </w:rPr>
      </w:pPr>
      <w:r w:rsidRPr="00F305B6">
        <w:rPr>
          <w:rFonts w:ascii="Times New Roman" w:hAnsi="Times New Roman"/>
        </w:rPr>
        <w:t xml:space="preserve">Looking at the structure of the instrument, </w:t>
      </w:r>
      <w:r w:rsidRPr="00F305B6">
        <w:rPr>
          <w:rFonts w:ascii="Times New Roman" w:eastAsia="Calibri" w:hAnsi="Times New Roman"/>
        </w:rPr>
        <w:t xml:space="preserve">the Foreign Policy Needs (FPN) component of the rapid response pillar is specifically mandated to promote the Union foreign policy needs and priorities and plays a crucial role </w:t>
      </w:r>
      <w:r w:rsidRPr="00F305B6">
        <w:rPr>
          <w:rFonts w:ascii="Times New Roman" w:hAnsi="Times New Roman"/>
        </w:rPr>
        <w:t xml:space="preserve">for example by </w:t>
      </w:r>
      <w:r>
        <w:rPr>
          <w:rFonts w:ascii="Times New Roman" w:hAnsi="Times New Roman"/>
        </w:rPr>
        <w:t xml:space="preserve">piloting new actions for instance in </w:t>
      </w:r>
      <w:r w:rsidRPr="00F305B6">
        <w:rPr>
          <w:rFonts w:ascii="Times New Roman" w:hAnsi="Times New Roman"/>
        </w:rPr>
        <w:t xml:space="preserve">managing the external impacts of the new regulation on deforestation and forest degradation, </w:t>
      </w:r>
      <w:r>
        <w:rPr>
          <w:rFonts w:ascii="Times New Roman" w:hAnsi="Times New Roman"/>
        </w:rPr>
        <w:t>or</w:t>
      </w:r>
      <w:r w:rsidRPr="00F305B6">
        <w:rPr>
          <w:rFonts w:ascii="Times New Roman" w:hAnsi="Times New Roman"/>
        </w:rPr>
        <w:t xml:space="preserve"> by</w:t>
      </w:r>
      <w:r w:rsidRPr="00F305B6">
        <w:rPr>
          <w:rFonts w:ascii="Times New Roman" w:eastAsia="Calibri" w:hAnsi="Times New Roman"/>
        </w:rPr>
        <w:t xml:space="preserve"> strengthening EU capacities to counter foreign information manipulation and interference. The ability of FPN to substantially contribute to promoting EU interests in the world has been hampered by the limited financial allocation assigned to it. D</w:t>
      </w:r>
      <w:r w:rsidRPr="00F305B6">
        <w:rPr>
          <w:rFonts w:ascii="Times New Roman" w:hAnsi="Times New Roman"/>
        </w:rPr>
        <w:t xml:space="preserve">espite limited funds, crisis response actions clearly promote a stronger EU in the world </w:t>
      </w:r>
      <w:r w:rsidRPr="00F305B6">
        <w:rPr>
          <w:rFonts w:ascii="Times New Roman" w:hAnsi="Times New Roman"/>
          <w:lang w:val="en-IE"/>
        </w:rPr>
        <w:t xml:space="preserve">by advocating accountability, supporting protection of civilians in armed conflicts and reducing risk of conflict in the wake of natural disasters. </w:t>
      </w:r>
      <w:r w:rsidRPr="00F305B6">
        <w:rPr>
          <w:rFonts w:ascii="Times New Roman" w:eastAsia="Calibri" w:hAnsi="Times New Roman"/>
        </w:rPr>
        <w:t>Actions under the rapid response pillar are non-programmable but they are adopted timely and in close consultation with the E</w:t>
      </w:r>
      <w:r>
        <w:rPr>
          <w:rFonts w:ascii="Times New Roman" w:eastAsia="Calibri" w:hAnsi="Times New Roman"/>
        </w:rPr>
        <w:t xml:space="preserve">uropean </w:t>
      </w:r>
      <w:r w:rsidRPr="00F305B6">
        <w:rPr>
          <w:rFonts w:ascii="Times New Roman" w:eastAsia="Calibri" w:hAnsi="Times New Roman"/>
        </w:rPr>
        <w:t>E</w:t>
      </w:r>
      <w:r>
        <w:rPr>
          <w:rFonts w:ascii="Times New Roman" w:eastAsia="Calibri" w:hAnsi="Times New Roman"/>
        </w:rPr>
        <w:t xml:space="preserve">xternal </w:t>
      </w:r>
      <w:r w:rsidRPr="00F305B6">
        <w:rPr>
          <w:rFonts w:ascii="Times New Roman" w:eastAsia="Calibri" w:hAnsi="Times New Roman"/>
        </w:rPr>
        <w:t>A</w:t>
      </w:r>
      <w:r>
        <w:rPr>
          <w:rFonts w:ascii="Times New Roman" w:eastAsia="Calibri" w:hAnsi="Times New Roman"/>
        </w:rPr>
        <w:t xml:space="preserve">ction </w:t>
      </w:r>
      <w:r w:rsidRPr="00F305B6">
        <w:rPr>
          <w:rFonts w:ascii="Times New Roman" w:eastAsia="Calibri" w:hAnsi="Times New Roman"/>
        </w:rPr>
        <w:t>S</w:t>
      </w:r>
      <w:r>
        <w:rPr>
          <w:rFonts w:ascii="Times New Roman" w:eastAsia="Calibri" w:hAnsi="Times New Roman"/>
        </w:rPr>
        <w:t>ervice</w:t>
      </w:r>
      <w:r w:rsidRPr="00F305B6">
        <w:rPr>
          <w:rFonts w:ascii="Times New Roman" w:eastAsia="Calibri" w:hAnsi="Times New Roman"/>
        </w:rPr>
        <w:t>, EU Delegations and relevant Commission services, to respond to emerging policy priorities and/or crises (</w:t>
      </w:r>
      <w:r w:rsidRPr="00F305B6">
        <w:rPr>
          <w:rFonts w:ascii="Times New Roman" w:eastAsia="Calibri" w:hAnsi="Times New Roman"/>
          <w:b/>
        </w:rPr>
        <w:t>paragraph 15</w:t>
      </w:r>
      <w:r w:rsidRPr="00F305B6">
        <w:rPr>
          <w:rFonts w:ascii="Times New Roman" w:eastAsia="Calibri" w:hAnsi="Times New Roman"/>
        </w:rPr>
        <w:t xml:space="preserve">). </w:t>
      </w:r>
      <w:r w:rsidRPr="00F305B6">
        <w:rPr>
          <w:rFonts w:ascii="Times New Roman" w:hAnsi="Times New Roman"/>
        </w:rPr>
        <w:t xml:space="preserve">On the cushion, the Commission notes that against the backdrop of unprecedented geopolitical developments, the Parliament has always been consistently informed before the mobilisation of the cushion, as per recital 71 of the NDICI-GE Regulation </w:t>
      </w:r>
      <w:r w:rsidRPr="00F305B6">
        <w:rPr>
          <w:rFonts w:ascii="Times New Roman" w:hAnsi="Times New Roman"/>
          <w:b/>
        </w:rPr>
        <w:t>(paragraph 29)</w:t>
      </w:r>
      <w:r w:rsidRPr="00646F94">
        <w:rPr>
          <w:rFonts w:ascii="Times New Roman" w:hAnsi="Times New Roman"/>
          <w:bCs/>
        </w:rPr>
        <w:t>.</w:t>
      </w:r>
    </w:p>
    <w:p w14:paraId="441BFA97" w14:textId="0A11475C" w:rsidR="00C41EC5" w:rsidRPr="00F305B6" w:rsidRDefault="00E259BF" w:rsidP="00EB74B9">
      <w:pPr>
        <w:spacing w:after="120"/>
        <w:rPr>
          <w:rFonts w:ascii="Times New Roman" w:hAnsi="Times New Roman"/>
        </w:rPr>
      </w:pPr>
      <w:r>
        <w:rPr>
          <w:rFonts w:ascii="Times New Roman" w:hAnsi="Times New Roman"/>
        </w:rPr>
        <w:t>To be</w:t>
      </w:r>
      <w:r w:rsidR="709FE4DB" w:rsidRPr="00F305B6">
        <w:rPr>
          <w:rFonts w:ascii="Times New Roman" w:hAnsi="Times New Roman"/>
        </w:rPr>
        <w:t xml:space="preserve"> note</w:t>
      </w:r>
      <w:r>
        <w:rPr>
          <w:rFonts w:ascii="Times New Roman" w:hAnsi="Times New Roman"/>
        </w:rPr>
        <w:t>d</w:t>
      </w:r>
      <w:r w:rsidR="709FE4DB" w:rsidRPr="00F305B6">
        <w:rPr>
          <w:rFonts w:ascii="Times New Roman" w:hAnsi="Times New Roman"/>
        </w:rPr>
        <w:t xml:space="preserve"> that t</w:t>
      </w:r>
      <w:r w:rsidR="2D550DA3" w:rsidRPr="00F305B6">
        <w:rPr>
          <w:rFonts w:ascii="Times New Roman" w:hAnsi="Times New Roman"/>
        </w:rPr>
        <w:t xml:space="preserve">he spending targets envisaged in the NDICI-GE </w:t>
      </w:r>
      <w:r w:rsidR="1A0FBAE6" w:rsidRPr="00F305B6">
        <w:rPr>
          <w:rFonts w:ascii="Times New Roman" w:hAnsi="Times New Roman"/>
        </w:rPr>
        <w:t xml:space="preserve">Regulation </w:t>
      </w:r>
      <w:r w:rsidR="709FE4DB" w:rsidRPr="00F305B6">
        <w:rPr>
          <w:rFonts w:ascii="Times New Roman" w:hAnsi="Times New Roman"/>
        </w:rPr>
        <w:t xml:space="preserve">are to be reached </w:t>
      </w:r>
      <w:r w:rsidR="1A0FBAE6" w:rsidRPr="00F305B6">
        <w:rPr>
          <w:rFonts w:ascii="Times New Roman" w:hAnsi="Times New Roman"/>
        </w:rPr>
        <w:t>by the end of the</w:t>
      </w:r>
      <w:r w:rsidR="709FE4DB" w:rsidRPr="00F305B6">
        <w:rPr>
          <w:rFonts w:ascii="Times New Roman" w:hAnsi="Times New Roman"/>
        </w:rPr>
        <w:t xml:space="preserve"> MFF period 2021-2027 and not annually. </w:t>
      </w:r>
      <w:r w:rsidR="00F14874" w:rsidRPr="00F305B6">
        <w:rPr>
          <w:rFonts w:ascii="Times New Roman" w:hAnsi="Times New Roman"/>
        </w:rPr>
        <w:t>Considering</w:t>
      </w:r>
      <w:r w:rsidR="709FE4DB" w:rsidRPr="00F305B6">
        <w:rPr>
          <w:rFonts w:ascii="Times New Roman" w:hAnsi="Times New Roman"/>
        </w:rPr>
        <w:t xml:space="preserve"> the cumulative figures for 2021-2022 and the preliminary results attesting positive trends, the Commission is confident that the contributions to various targets are on track. The information related to the contributions on the various targets in a given year is published before 30 November of the following year in the Annual Report on the implementation of the European Union's external action instruments, as provided in the NDICI-G</w:t>
      </w:r>
      <w:r w:rsidR="218505B8" w:rsidRPr="00F305B6">
        <w:rPr>
          <w:rFonts w:ascii="Times New Roman" w:hAnsi="Times New Roman"/>
        </w:rPr>
        <w:t>E</w:t>
      </w:r>
      <w:r w:rsidR="709FE4DB" w:rsidRPr="00F305B6">
        <w:rPr>
          <w:rFonts w:ascii="Times New Roman" w:hAnsi="Times New Roman"/>
        </w:rPr>
        <w:t xml:space="preserve"> Regulation </w:t>
      </w:r>
      <w:r w:rsidR="709FE4DB" w:rsidRPr="00F305B6">
        <w:rPr>
          <w:rFonts w:ascii="Times New Roman" w:hAnsi="Times New Roman"/>
          <w:b/>
          <w:bCs/>
        </w:rPr>
        <w:t>(paragraphs 5</w:t>
      </w:r>
      <w:r>
        <w:rPr>
          <w:rFonts w:ascii="Times New Roman" w:hAnsi="Times New Roman"/>
          <w:b/>
          <w:bCs/>
        </w:rPr>
        <w:t xml:space="preserve"> and</w:t>
      </w:r>
      <w:r w:rsidR="709FE4DB" w:rsidRPr="00F305B6">
        <w:rPr>
          <w:rFonts w:ascii="Times New Roman" w:hAnsi="Times New Roman"/>
          <w:b/>
          <w:bCs/>
        </w:rPr>
        <w:t xml:space="preserve"> 13)</w:t>
      </w:r>
      <w:r w:rsidR="709FE4DB" w:rsidRPr="00F305B6">
        <w:rPr>
          <w:rFonts w:ascii="Times New Roman" w:hAnsi="Times New Roman"/>
        </w:rPr>
        <w:t>.</w:t>
      </w:r>
    </w:p>
    <w:p w14:paraId="6724D7AD" w14:textId="1C0FB230" w:rsidR="00C64F24" w:rsidRPr="00F305B6" w:rsidRDefault="003B1ED9" w:rsidP="00EB74B9">
      <w:pPr>
        <w:spacing w:after="120"/>
        <w:rPr>
          <w:rFonts w:ascii="Times New Roman" w:hAnsi="Times New Roman"/>
        </w:rPr>
      </w:pPr>
      <w:r w:rsidRPr="00F305B6">
        <w:rPr>
          <w:rFonts w:ascii="Times New Roman" w:hAnsi="Times New Roman"/>
        </w:rPr>
        <w:t>T</w:t>
      </w:r>
      <w:r w:rsidR="00C41EC5" w:rsidRPr="00F305B6">
        <w:rPr>
          <w:rFonts w:ascii="Times New Roman" w:hAnsi="Times New Roman"/>
        </w:rPr>
        <w:t>he Commission</w:t>
      </w:r>
      <w:r w:rsidR="0028704B" w:rsidRPr="00F305B6">
        <w:rPr>
          <w:rFonts w:ascii="Times New Roman" w:hAnsi="Times New Roman"/>
        </w:rPr>
        <w:t xml:space="preserve"> confirms</w:t>
      </w:r>
      <w:r w:rsidR="00C41EC5" w:rsidRPr="00F305B6">
        <w:rPr>
          <w:rFonts w:ascii="Times New Roman" w:hAnsi="Times New Roman"/>
        </w:rPr>
        <w:t xml:space="preserve"> that the contribution to the indicative migration spending target is on track</w:t>
      </w:r>
      <w:r w:rsidR="00565476">
        <w:rPr>
          <w:rFonts w:ascii="Times New Roman" w:hAnsi="Times New Roman"/>
        </w:rPr>
        <w:t>.</w:t>
      </w:r>
      <w:r w:rsidR="00E259BF">
        <w:rPr>
          <w:rFonts w:ascii="Times New Roman" w:hAnsi="Times New Roman"/>
        </w:rPr>
        <w:t xml:space="preserve"> </w:t>
      </w:r>
      <w:r w:rsidR="00C41EC5" w:rsidRPr="00F305B6">
        <w:rPr>
          <w:rFonts w:ascii="Times New Roman" w:hAnsi="Times New Roman"/>
        </w:rPr>
        <w:t>The Commission is committed to regularly sharing information with the European Parliament on the contribution to this target (</w:t>
      </w:r>
      <w:r w:rsidR="00C41EC5" w:rsidRPr="00F305B6">
        <w:rPr>
          <w:rFonts w:ascii="Times New Roman" w:hAnsi="Times New Roman"/>
          <w:b/>
        </w:rPr>
        <w:t>paragraph 14</w:t>
      </w:r>
      <w:r w:rsidR="00C41EC5" w:rsidRPr="00F305B6">
        <w:rPr>
          <w:rFonts w:ascii="Times New Roman" w:hAnsi="Times New Roman"/>
        </w:rPr>
        <w:t xml:space="preserve">). </w:t>
      </w:r>
      <w:r w:rsidR="00C64F24" w:rsidRPr="00F305B6">
        <w:rPr>
          <w:rFonts w:ascii="Times New Roman" w:hAnsi="Times New Roman"/>
        </w:rPr>
        <w:t>On</w:t>
      </w:r>
      <w:r w:rsidR="2647FB8F" w:rsidRPr="00F305B6">
        <w:rPr>
          <w:rFonts w:ascii="Times New Roman" w:hAnsi="Times New Roman"/>
        </w:rPr>
        <w:t xml:space="preserve"> the use of the Global Europe Results Framework</w:t>
      </w:r>
      <w:r w:rsidR="00045E3C" w:rsidRPr="00F305B6">
        <w:rPr>
          <w:rStyle w:val="FootnoteReference"/>
          <w:rFonts w:ascii="Times New Roman" w:hAnsi="Times New Roman"/>
        </w:rPr>
        <w:footnoteReference w:id="2"/>
      </w:r>
      <w:r w:rsidR="2647FB8F" w:rsidRPr="00F305B6">
        <w:rPr>
          <w:rFonts w:ascii="Times New Roman" w:hAnsi="Times New Roman"/>
        </w:rPr>
        <w:t xml:space="preserve"> (GERF) indicators</w:t>
      </w:r>
      <w:r w:rsidR="00C64F24" w:rsidRPr="00F305B6">
        <w:rPr>
          <w:rFonts w:ascii="Times New Roman" w:hAnsi="Times New Roman"/>
        </w:rPr>
        <w:t>,</w:t>
      </w:r>
      <w:r w:rsidR="2647FB8F" w:rsidRPr="00F305B6">
        <w:rPr>
          <w:rFonts w:ascii="Times New Roman" w:hAnsi="Times New Roman"/>
        </w:rPr>
        <w:t xml:space="preserve"> all </w:t>
      </w:r>
      <w:r w:rsidR="00E259BF" w:rsidRPr="00F305B6">
        <w:rPr>
          <w:rFonts w:ascii="Times New Roman" w:hAnsi="Times New Roman"/>
          <w:szCs w:val="24"/>
          <w:lang w:val="en-US"/>
        </w:rPr>
        <w:t xml:space="preserve">Multiannual </w:t>
      </w:r>
      <w:r w:rsidR="00E259BF" w:rsidRPr="00E259BF">
        <w:rPr>
          <w:rFonts w:ascii="Times New Roman" w:hAnsi="Times New Roman"/>
          <w:szCs w:val="24"/>
        </w:rPr>
        <w:t>Indicative Programmes</w:t>
      </w:r>
      <w:r w:rsidR="00E259BF" w:rsidRPr="00F305B6">
        <w:rPr>
          <w:rFonts w:ascii="Times New Roman" w:hAnsi="Times New Roman"/>
          <w:szCs w:val="24"/>
          <w:lang w:val="en-US"/>
        </w:rPr>
        <w:t xml:space="preserve"> </w:t>
      </w:r>
      <w:r w:rsidR="00E259BF">
        <w:rPr>
          <w:rFonts w:ascii="Times New Roman" w:hAnsi="Times New Roman"/>
          <w:szCs w:val="24"/>
          <w:lang w:val="en-US"/>
        </w:rPr>
        <w:t>(</w:t>
      </w:r>
      <w:r w:rsidR="2647FB8F" w:rsidRPr="00F305B6">
        <w:rPr>
          <w:rFonts w:ascii="Times New Roman" w:hAnsi="Times New Roman"/>
        </w:rPr>
        <w:t>MIPs</w:t>
      </w:r>
      <w:r w:rsidR="00E259BF">
        <w:rPr>
          <w:rFonts w:ascii="Times New Roman" w:hAnsi="Times New Roman"/>
        </w:rPr>
        <w:t>)</w:t>
      </w:r>
      <w:r w:rsidR="2647FB8F" w:rsidRPr="00F305B6">
        <w:rPr>
          <w:rFonts w:ascii="Times New Roman" w:hAnsi="Times New Roman"/>
        </w:rPr>
        <w:t xml:space="preserve"> include </w:t>
      </w:r>
      <w:r w:rsidR="00F14874" w:rsidRPr="00F305B6">
        <w:rPr>
          <w:rFonts w:ascii="Times New Roman" w:hAnsi="Times New Roman"/>
        </w:rPr>
        <w:t>such</w:t>
      </w:r>
      <w:r w:rsidR="2647FB8F" w:rsidRPr="00F305B6">
        <w:rPr>
          <w:rFonts w:ascii="Times New Roman" w:hAnsi="Times New Roman"/>
        </w:rPr>
        <w:t xml:space="preserve"> indicators and the Commission ensur</w:t>
      </w:r>
      <w:r w:rsidR="00F14874" w:rsidRPr="00F305B6">
        <w:rPr>
          <w:rFonts w:ascii="Times New Roman" w:hAnsi="Times New Roman"/>
        </w:rPr>
        <w:t>es</w:t>
      </w:r>
      <w:r w:rsidR="2647FB8F" w:rsidRPr="00F305B6">
        <w:rPr>
          <w:rFonts w:ascii="Times New Roman" w:hAnsi="Times New Roman"/>
        </w:rPr>
        <w:t xml:space="preserve"> that these indicators are also included in corresponding Action Documents and contracts, in order to ensure data collection of their results </w:t>
      </w:r>
      <w:r w:rsidR="2647FB8F" w:rsidRPr="00F305B6">
        <w:rPr>
          <w:rFonts w:ascii="Times New Roman" w:hAnsi="Times New Roman"/>
          <w:b/>
        </w:rPr>
        <w:t>(paragraph 4)</w:t>
      </w:r>
      <w:r w:rsidR="00F14874" w:rsidRPr="00F305B6">
        <w:rPr>
          <w:rFonts w:ascii="Times New Roman" w:hAnsi="Times New Roman"/>
        </w:rPr>
        <w:t>.</w:t>
      </w:r>
    </w:p>
    <w:p w14:paraId="01984CE9" w14:textId="72D75B2C" w:rsidR="00C64F24" w:rsidRPr="00F305B6" w:rsidRDefault="2647FB8F" w:rsidP="00EB74B9">
      <w:pPr>
        <w:spacing w:after="120"/>
        <w:rPr>
          <w:rFonts w:ascii="Times New Roman" w:hAnsi="Times New Roman"/>
          <w:szCs w:val="24"/>
        </w:rPr>
      </w:pPr>
      <w:r w:rsidRPr="00F305B6">
        <w:rPr>
          <w:rFonts w:ascii="Times New Roman" w:hAnsi="Times New Roman"/>
          <w:szCs w:val="24"/>
        </w:rPr>
        <w:t xml:space="preserve">The </w:t>
      </w:r>
      <w:r w:rsidR="00E259BF" w:rsidRPr="00E259BF">
        <w:rPr>
          <w:rFonts w:ascii="Times New Roman" w:hAnsi="Times New Roman"/>
          <w:szCs w:val="24"/>
        </w:rPr>
        <w:t xml:space="preserve">European Fund for Sustainable Development Plus </w:t>
      </w:r>
      <w:r w:rsidR="00E259BF">
        <w:rPr>
          <w:rFonts w:ascii="Times New Roman" w:hAnsi="Times New Roman"/>
          <w:szCs w:val="24"/>
        </w:rPr>
        <w:t>(</w:t>
      </w:r>
      <w:r w:rsidRPr="00F305B6">
        <w:rPr>
          <w:rFonts w:ascii="Times New Roman" w:hAnsi="Times New Roman"/>
          <w:szCs w:val="24"/>
        </w:rPr>
        <w:t>EFSD+</w:t>
      </w:r>
      <w:r w:rsidR="00E259BF">
        <w:rPr>
          <w:rFonts w:ascii="Times New Roman" w:hAnsi="Times New Roman"/>
          <w:szCs w:val="24"/>
        </w:rPr>
        <w:t>)</w:t>
      </w:r>
      <w:r w:rsidRPr="00F305B6">
        <w:rPr>
          <w:rFonts w:ascii="Times New Roman" w:hAnsi="Times New Roman"/>
          <w:szCs w:val="24"/>
        </w:rPr>
        <w:t xml:space="preserve"> Results Measurement Framework (</w:t>
      </w:r>
      <w:proofErr w:type="spellStart"/>
      <w:r w:rsidRPr="00F305B6">
        <w:rPr>
          <w:rFonts w:ascii="Times New Roman" w:hAnsi="Times New Roman"/>
          <w:szCs w:val="24"/>
        </w:rPr>
        <w:t>ReMF</w:t>
      </w:r>
      <w:proofErr w:type="spellEnd"/>
      <w:r w:rsidRPr="00F305B6">
        <w:rPr>
          <w:rFonts w:ascii="Times New Roman" w:hAnsi="Times New Roman"/>
          <w:szCs w:val="24"/>
        </w:rPr>
        <w:t>) was designed in full collaboration and partnership with Member States and Development Finance Institutions to ensure</w:t>
      </w:r>
      <w:r w:rsidR="00C64F24" w:rsidRPr="00F305B6">
        <w:rPr>
          <w:rFonts w:ascii="Times New Roman" w:hAnsi="Times New Roman"/>
          <w:szCs w:val="24"/>
        </w:rPr>
        <w:t xml:space="preserve"> </w:t>
      </w:r>
      <w:r w:rsidRPr="00F305B6">
        <w:rPr>
          <w:rFonts w:ascii="Times New Roman" w:hAnsi="Times New Roman"/>
          <w:szCs w:val="24"/>
        </w:rPr>
        <w:t xml:space="preserve">a comprehensive and standardised procedure. It was subsequently presented to the EFSD+ Governance </w:t>
      </w:r>
      <w:r w:rsidR="546066AC" w:rsidRPr="00F305B6">
        <w:rPr>
          <w:rFonts w:ascii="Times New Roman" w:hAnsi="Times New Roman"/>
          <w:szCs w:val="24"/>
        </w:rPr>
        <w:t>Board</w:t>
      </w:r>
      <w:r w:rsidRPr="00F305B6">
        <w:rPr>
          <w:rFonts w:ascii="Times New Roman" w:hAnsi="Times New Roman"/>
          <w:szCs w:val="24"/>
        </w:rPr>
        <w:t xml:space="preserve"> </w:t>
      </w:r>
      <w:r w:rsidRPr="00F305B6">
        <w:rPr>
          <w:rFonts w:ascii="Times New Roman" w:hAnsi="Times New Roman"/>
          <w:b/>
          <w:bCs/>
          <w:szCs w:val="24"/>
        </w:rPr>
        <w:t>(paragraph</w:t>
      </w:r>
      <w:r w:rsidR="00E259BF">
        <w:rPr>
          <w:rFonts w:ascii="Times New Roman" w:hAnsi="Times New Roman"/>
          <w:b/>
          <w:bCs/>
          <w:szCs w:val="24"/>
        </w:rPr>
        <w:t>s</w:t>
      </w:r>
      <w:r w:rsidRPr="00F305B6">
        <w:rPr>
          <w:rFonts w:ascii="Times New Roman" w:hAnsi="Times New Roman"/>
          <w:b/>
          <w:bCs/>
          <w:szCs w:val="24"/>
        </w:rPr>
        <w:t xml:space="preserve"> 24</w:t>
      </w:r>
      <w:r w:rsidR="00E259BF">
        <w:rPr>
          <w:rFonts w:ascii="Times New Roman" w:hAnsi="Times New Roman"/>
          <w:b/>
          <w:bCs/>
          <w:szCs w:val="24"/>
        </w:rPr>
        <w:t xml:space="preserve"> and</w:t>
      </w:r>
      <w:r w:rsidR="00F14874" w:rsidRPr="00F305B6">
        <w:rPr>
          <w:rFonts w:ascii="Times New Roman" w:hAnsi="Times New Roman"/>
          <w:b/>
          <w:bCs/>
          <w:szCs w:val="24"/>
        </w:rPr>
        <w:t xml:space="preserve"> </w:t>
      </w:r>
      <w:r w:rsidRPr="00F305B6">
        <w:rPr>
          <w:rFonts w:ascii="Times New Roman" w:hAnsi="Times New Roman"/>
          <w:b/>
          <w:bCs/>
          <w:szCs w:val="24"/>
        </w:rPr>
        <w:t>34)</w:t>
      </w:r>
      <w:r w:rsidR="00F14874" w:rsidRPr="00F305B6">
        <w:rPr>
          <w:rFonts w:ascii="Times New Roman" w:hAnsi="Times New Roman"/>
          <w:szCs w:val="24"/>
        </w:rPr>
        <w:t>.</w:t>
      </w:r>
    </w:p>
    <w:p w14:paraId="7901B0EA" w14:textId="59D3BE4A" w:rsidR="00FE05C9" w:rsidRPr="00F305B6" w:rsidRDefault="00C64F24" w:rsidP="00EB74B9">
      <w:pPr>
        <w:spacing w:after="120"/>
        <w:rPr>
          <w:rFonts w:ascii="Times New Roman" w:hAnsi="Times New Roman"/>
          <w:szCs w:val="24"/>
        </w:rPr>
      </w:pPr>
      <w:r w:rsidRPr="00F305B6">
        <w:rPr>
          <w:rFonts w:ascii="Times New Roman" w:hAnsi="Times New Roman"/>
          <w:szCs w:val="24"/>
        </w:rPr>
        <w:lastRenderedPageBreak/>
        <w:t>E</w:t>
      </w:r>
      <w:r w:rsidR="2647FB8F" w:rsidRPr="00F305B6">
        <w:rPr>
          <w:rFonts w:ascii="Times New Roman" w:hAnsi="Times New Roman"/>
          <w:szCs w:val="24"/>
        </w:rPr>
        <w:t xml:space="preserve">valuations at geographic, sector or modality levels are key methodological tools to assess the impact of the EU external actions. Impact is assessed by (re)constructing the intervention logic and assessing the linkages </w:t>
      </w:r>
      <w:r w:rsidR="003B1ED9" w:rsidRPr="00F305B6">
        <w:rPr>
          <w:rFonts w:ascii="Times New Roman" w:hAnsi="Times New Roman"/>
          <w:szCs w:val="24"/>
        </w:rPr>
        <w:t>of</w:t>
      </w:r>
      <w:r w:rsidRPr="00F305B6">
        <w:rPr>
          <w:rFonts w:ascii="Times New Roman" w:hAnsi="Times New Roman"/>
          <w:szCs w:val="24"/>
        </w:rPr>
        <w:t xml:space="preserve"> </w:t>
      </w:r>
      <w:r w:rsidR="2647FB8F" w:rsidRPr="00F305B6">
        <w:rPr>
          <w:rFonts w:ascii="Times New Roman" w:hAnsi="Times New Roman"/>
          <w:szCs w:val="24"/>
        </w:rPr>
        <w:t xml:space="preserve">inputs to outputs and impact, using in relevant cases a contribution analysis approach </w:t>
      </w:r>
      <w:r w:rsidR="2647FB8F" w:rsidRPr="00F305B6">
        <w:rPr>
          <w:rFonts w:ascii="Times New Roman" w:hAnsi="Times New Roman"/>
          <w:b/>
          <w:bCs/>
          <w:szCs w:val="24"/>
        </w:rPr>
        <w:t>(paragraph 27)</w:t>
      </w:r>
      <w:r w:rsidR="00F14874" w:rsidRPr="00E259BF">
        <w:rPr>
          <w:rFonts w:ascii="Times New Roman" w:hAnsi="Times New Roman"/>
          <w:szCs w:val="24"/>
        </w:rPr>
        <w:t>.</w:t>
      </w:r>
    </w:p>
    <w:p w14:paraId="38C302A9" w14:textId="05E338AB" w:rsidR="00FE05C9" w:rsidRPr="00F305B6" w:rsidRDefault="00FE05C9" w:rsidP="00EB74B9">
      <w:pPr>
        <w:spacing w:after="120"/>
        <w:rPr>
          <w:rFonts w:ascii="Times New Roman" w:hAnsi="Times New Roman"/>
          <w:szCs w:val="24"/>
        </w:rPr>
      </w:pPr>
      <w:r w:rsidRPr="00F305B6">
        <w:rPr>
          <w:rFonts w:ascii="Times New Roman" w:hAnsi="Times New Roman"/>
          <w:szCs w:val="24"/>
        </w:rPr>
        <w:t xml:space="preserve">The Commission is committed to implement the recommendations of the European Court of Auditors’ special report 14/2023 it has agreed to as per the timeline stated in its official replies to this report </w:t>
      </w:r>
      <w:r w:rsidRPr="00F305B6">
        <w:rPr>
          <w:rFonts w:ascii="Times New Roman" w:hAnsi="Times New Roman"/>
          <w:b/>
          <w:bCs/>
          <w:szCs w:val="24"/>
        </w:rPr>
        <w:t>(paragraph 27)</w:t>
      </w:r>
      <w:r w:rsidRPr="00F305B6">
        <w:rPr>
          <w:rFonts w:ascii="Times New Roman" w:hAnsi="Times New Roman"/>
          <w:szCs w:val="24"/>
        </w:rPr>
        <w:t>.</w:t>
      </w:r>
    </w:p>
    <w:p w14:paraId="188F934B" w14:textId="41F898B0" w:rsidR="66AD782B" w:rsidRPr="00F305B6" w:rsidRDefault="282A024D" w:rsidP="00EB74B9">
      <w:pPr>
        <w:spacing w:after="120"/>
        <w:rPr>
          <w:rFonts w:ascii="Times New Roman" w:hAnsi="Times New Roman"/>
          <w:szCs w:val="24"/>
          <w:u w:val="single"/>
        </w:rPr>
      </w:pPr>
      <w:r w:rsidRPr="00F305B6">
        <w:rPr>
          <w:rFonts w:ascii="Times New Roman" w:hAnsi="Times New Roman"/>
          <w:szCs w:val="24"/>
        </w:rPr>
        <w:t xml:space="preserve">The improvement of </w:t>
      </w:r>
      <w:r w:rsidR="66AD782B" w:rsidRPr="00F305B6">
        <w:rPr>
          <w:rFonts w:ascii="Times New Roman" w:hAnsi="Times New Roman"/>
          <w:szCs w:val="24"/>
        </w:rPr>
        <w:t xml:space="preserve">effectiveness of </w:t>
      </w:r>
      <w:r w:rsidR="00FE05C9" w:rsidRPr="00F305B6">
        <w:rPr>
          <w:rFonts w:ascii="Times New Roman" w:hAnsi="Times New Roman"/>
          <w:szCs w:val="24"/>
        </w:rPr>
        <w:t xml:space="preserve">the EU </w:t>
      </w:r>
      <w:r w:rsidR="66AD782B" w:rsidRPr="00F305B6">
        <w:rPr>
          <w:rFonts w:ascii="Times New Roman" w:hAnsi="Times New Roman"/>
          <w:szCs w:val="24"/>
        </w:rPr>
        <w:t>development cooperation</w:t>
      </w:r>
      <w:r w:rsidR="7F274DBD" w:rsidRPr="00F305B6">
        <w:rPr>
          <w:rFonts w:ascii="Times New Roman" w:hAnsi="Times New Roman"/>
          <w:szCs w:val="24"/>
        </w:rPr>
        <w:t xml:space="preserve"> </w:t>
      </w:r>
      <w:r w:rsidR="66AD782B" w:rsidRPr="00F305B6">
        <w:rPr>
          <w:rFonts w:ascii="Times New Roman" w:hAnsi="Times New Roman"/>
          <w:szCs w:val="24"/>
        </w:rPr>
        <w:t>has been part of the Global Partnership for Effective Development Cooperation (GPEDC) biannual monitoring rounds. In 2022 the GPEDC decided to</w:t>
      </w:r>
      <w:r w:rsidR="00FE05C9" w:rsidRPr="00F305B6">
        <w:rPr>
          <w:rFonts w:ascii="Times New Roman" w:hAnsi="Times New Roman"/>
          <w:szCs w:val="24"/>
        </w:rPr>
        <w:t xml:space="preserve"> </w:t>
      </w:r>
      <w:r w:rsidR="66AD782B" w:rsidRPr="00F305B6">
        <w:rPr>
          <w:rFonts w:ascii="Times New Roman" w:hAnsi="Times New Roman"/>
          <w:szCs w:val="24"/>
        </w:rPr>
        <w:t>introduce a more flexible monitoring process where data will be made available in a dashboard</w:t>
      </w:r>
      <w:r w:rsidR="00FE05C9" w:rsidRPr="00F305B6">
        <w:rPr>
          <w:rFonts w:ascii="Times New Roman" w:hAnsi="Times New Roman"/>
          <w:szCs w:val="24"/>
        </w:rPr>
        <w:t xml:space="preserve">, as soon as reported, </w:t>
      </w:r>
      <w:r w:rsidR="66AD782B" w:rsidRPr="00F305B6">
        <w:rPr>
          <w:rFonts w:ascii="Times New Roman" w:hAnsi="Times New Roman"/>
          <w:szCs w:val="24"/>
        </w:rPr>
        <w:t xml:space="preserve">and once every four years in a global report. The Commission </w:t>
      </w:r>
      <w:r w:rsidR="008C6974" w:rsidRPr="00F305B6">
        <w:rPr>
          <w:rFonts w:ascii="Times New Roman" w:hAnsi="Times New Roman"/>
          <w:szCs w:val="24"/>
        </w:rPr>
        <w:t xml:space="preserve">intends </w:t>
      </w:r>
      <w:r w:rsidR="00743D19" w:rsidRPr="00F305B6">
        <w:rPr>
          <w:rFonts w:ascii="Times New Roman" w:hAnsi="Times New Roman"/>
          <w:szCs w:val="24"/>
        </w:rPr>
        <w:t>to issue</w:t>
      </w:r>
      <w:r w:rsidR="66AD782B" w:rsidRPr="00F305B6">
        <w:rPr>
          <w:rFonts w:ascii="Times New Roman" w:hAnsi="Times New Roman"/>
          <w:szCs w:val="24"/>
        </w:rPr>
        <w:t xml:space="preserve"> a report as soon as sufficient GPEDC data is available in the dashboard</w:t>
      </w:r>
      <w:r w:rsidR="538BC5D3" w:rsidRPr="00F305B6">
        <w:rPr>
          <w:rFonts w:ascii="Times New Roman" w:hAnsi="Times New Roman"/>
          <w:szCs w:val="24"/>
        </w:rPr>
        <w:t xml:space="preserve"> (</w:t>
      </w:r>
      <w:r w:rsidR="538BC5D3" w:rsidRPr="00F305B6">
        <w:rPr>
          <w:rFonts w:ascii="Times New Roman" w:hAnsi="Times New Roman"/>
          <w:b/>
          <w:bCs/>
          <w:szCs w:val="24"/>
        </w:rPr>
        <w:t>paragraph 4</w:t>
      </w:r>
      <w:r w:rsidR="538BC5D3" w:rsidRPr="00F305B6">
        <w:rPr>
          <w:rFonts w:ascii="Times New Roman" w:hAnsi="Times New Roman"/>
          <w:szCs w:val="24"/>
        </w:rPr>
        <w:t>)</w:t>
      </w:r>
      <w:r w:rsidR="66AD782B" w:rsidRPr="00F305B6">
        <w:rPr>
          <w:rFonts w:ascii="Times New Roman" w:hAnsi="Times New Roman"/>
          <w:szCs w:val="24"/>
        </w:rPr>
        <w:t>.</w:t>
      </w:r>
    </w:p>
    <w:p w14:paraId="415D32CA" w14:textId="08E2B3AF" w:rsidR="00996574" w:rsidRPr="00F305B6" w:rsidRDefault="17F1EA98" w:rsidP="00EB74B9">
      <w:pPr>
        <w:spacing w:after="120"/>
        <w:rPr>
          <w:rFonts w:ascii="Times New Roman" w:hAnsi="Times New Roman"/>
        </w:rPr>
      </w:pPr>
      <w:r w:rsidRPr="00F305B6">
        <w:rPr>
          <w:rFonts w:ascii="Times New Roman" w:hAnsi="Times New Roman"/>
        </w:rPr>
        <w:t xml:space="preserve">Regarding </w:t>
      </w:r>
      <w:r w:rsidR="39C6F14F" w:rsidRPr="00F305B6">
        <w:rPr>
          <w:rFonts w:ascii="Times New Roman" w:hAnsi="Times New Roman"/>
        </w:rPr>
        <w:t>human rights risk assessments, the Commission has established an internal Risk Management Framework for all third countries receiving EU development assistance. The framework pays particular attention to political risk</w:t>
      </w:r>
      <w:r w:rsidR="0919A5A8" w:rsidRPr="00F305B6">
        <w:rPr>
          <w:rFonts w:ascii="Times New Roman" w:hAnsi="Times New Roman"/>
        </w:rPr>
        <w:t>s</w:t>
      </w:r>
      <w:r w:rsidR="39C6F14F" w:rsidRPr="00F305B6">
        <w:rPr>
          <w:rFonts w:ascii="Times New Roman" w:hAnsi="Times New Roman"/>
        </w:rPr>
        <w:t xml:space="preserve">, which encompass human rights and fundamental freedoms, </w:t>
      </w:r>
      <w:r w:rsidR="1F7C0787" w:rsidRPr="00F305B6">
        <w:rPr>
          <w:rFonts w:ascii="Times New Roman" w:hAnsi="Times New Roman"/>
        </w:rPr>
        <w:t>equality</w:t>
      </w:r>
      <w:r w:rsidR="39C6F14F" w:rsidRPr="00F305B6">
        <w:rPr>
          <w:rFonts w:ascii="Times New Roman" w:hAnsi="Times New Roman"/>
        </w:rPr>
        <w:t xml:space="preserve">, inclusion and non-discrimination, and </w:t>
      </w:r>
      <w:r w:rsidR="1F7C0787" w:rsidRPr="00F305B6">
        <w:rPr>
          <w:rFonts w:ascii="Times New Roman" w:hAnsi="Times New Roman"/>
        </w:rPr>
        <w:t xml:space="preserve">democracy </w:t>
      </w:r>
      <w:r w:rsidR="39C6F14F" w:rsidRPr="00F305B6">
        <w:rPr>
          <w:rFonts w:ascii="Times New Roman" w:hAnsi="Times New Roman"/>
        </w:rPr>
        <w:t xml:space="preserve">and </w:t>
      </w:r>
      <w:r w:rsidR="1F7C0787" w:rsidRPr="00F305B6">
        <w:rPr>
          <w:rFonts w:ascii="Times New Roman" w:hAnsi="Times New Roman"/>
        </w:rPr>
        <w:t xml:space="preserve">rule </w:t>
      </w:r>
      <w:r w:rsidR="39C6F14F" w:rsidRPr="00F305B6">
        <w:rPr>
          <w:rFonts w:ascii="Times New Roman" w:hAnsi="Times New Roman"/>
        </w:rPr>
        <w:t xml:space="preserve">of </w:t>
      </w:r>
      <w:r w:rsidR="1F7C0787" w:rsidRPr="00F305B6">
        <w:rPr>
          <w:rFonts w:ascii="Times New Roman" w:hAnsi="Times New Roman"/>
        </w:rPr>
        <w:t>law</w:t>
      </w:r>
      <w:r w:rsidR="39C6F14F" w:rsidRPr="00F305B6">
        <w:rPr>
          <w:rFonts w:ascii="Times New Roman" w:hAnsi="Times New Roman"/>
        </w:rPr>
        <w:t>. Furthermore, the Commission adopted on 30</w:t>
      </w:r>
      <w:r w:rsidR="00DF5C6A">
        <w:rPr>
          <w:rFonts w:ascii="Times New Roman" w:hAnsi="Times New Roman"/>
        </w:rPr>
        <w:t xml:space="preserve"> June </w:t>
      </w:r>
      <w:r w:rsidR="39C6F14F" w:rsidRPr="00F305B6">
        <w:rPr>
          <w:rFonts w:ascii="Times New Roman" w:hAnsi="Times New Roman"/>
        </w:rPr>
        <w:t>2021 an updated toolbox on the ‘</w:t>
      </w:r>
      <w:r w:rsidR="1F7C0787" w:rsidRPr="00F305B6">
        <w:rPr>
          <w:rFonts w:ascii="Times New Roman" w:hAnsi="Times New Roman"/>
        </w:rPr>
        <w:t>human rights</w:t>
      </w:r>
      <w:r w:rsidR="39C6F14F" w:rsidRPr="00F305B6">
        <w:rPr>
          <w:rFonts w:ascii="Times New Roman" w:hAnsi="Times New Roman"/>
        </w:rPr>
        <w:t>-</w:t>
      </w:r>
      <w:r w:rsidR="1F7C0787" w:rsidRPr="00F305B6">
        <w:rPr>
          <w:rFonts w:ascii="Times New Roman" w:hAnsi="Times New Roman"/>
        </w:rPr>
        <w:t>based approach’</w:t>
      </w:r>
      <w:r w:rsidR="00743D19" w:rsidRPr="00F305B6">
        <w:rPr>
          <w:rStyle w:val="FootnoteReference"/>
          <w:rFonts w:ascii="Times New Roman" w:hAnsi="Times New Roman"/>
        </w:rPr>
        <w:footnoteReference w:id="3"/>
      </w:r>
      <w:r w:rsidR="1F7C0787" w:rsidRPr="00F305B6">
        <w:rPr>
          <w:rFonts w:ascii="Times New Roman" w:hAnsi="Times New Roman"/>
        </w:rPr>
        <w:t>, which is applied at every step of the actions’ lifecycle</w:t>
      </w:r>
      <w:r w:rsidR="39C6F14F" w:rsidRPr="00F305B6">
        <w:rPr>
          <w:rFonts w:ascii="Times New Roman" w:hAnsi="Times New Roman"/>
        </w:rPr>
        <w:t>.</w:t>
      </w:r>
      <w:r w:rsidR="1F7C0787" w:rsidRPr="00F305B6">
        <w:rPr>
          <w:rFonts w:ascii="Times New Roman" w:hAnsi="Times New Roman"/>
        </w:rPr>
        <w:t xml:space="preserve"> </w:t>
      </w:r>
      <w:r w:rsidR="39C6F14F" w:rsidRPr="00F305B6">
        <w:rPr>
          <w:rFonts w:ascii="Times New Roman" w:hAnsi="Times New Roman"/>
        </w:rPr>
        <w:t xml:space="preserve">These monitoring tools allow for the Commission to put on hold any EU intervention </w:t>
      </w:r>
      <w:r w:rsidR="7EAAAFC4" w:rsidRPr="00F305B6">
        <w:rPr>
          <w:rFonts w:ascii="Times New Roman" w:hAnsi="Times New Roman"/>
        </w:rPr>
        <w:t xml:space="preserve">in case of </w:t>
      </w:r>
      <w:r w:rsidR="39C6F14F" w:rsidRPr="00F305B6">
        <w:rPr>
          <w:rFonts w:ascii="Times New Roman" w:hAnsi="Times New Roman"/>
        </w:rPr>
        <w:t xml:space="preserve">serious concerns over fundamental values, and to suspend or terminate </w:t>
      </w:r>
      <w:r w:rsidR="1F7C0787" w:rsidRPr="00F305B6">
        <w:rPr>
          <w:rFonts w:ascii="Times New Roman" w:hAnsi="Times New Roman"/>
        </w:rPr>
        <w:t xml:space="preserve">financing agreements </w:t>
      </w:r>
      <w:r w:rsidR="39C6F14F" w:rsidRPr="00F305B6">
        <w:rPr>
          <w:rFonts w:ascii="Times New Roman" w:hAnsi="Times New Roman"/>
        </w:rPr>
        <w:t xml:space="preserve">in case </w:t>
      </w:r>
      <w:r w:rsidR="1F7C0787" w:rsidRPr="00F305B6">
        <w:rPr>
          <w:rFonts w:ascii="Times New Roman" w:hAnsi="Times New Roman"/>
        </w:rPr>
        <w:t xml:space="preserve">partner countries </w:t>
      </w:r>
      <w:r w:rsidR="39C6F14F" w:rsidRPr="00F305B6">
        <w:rPr>
          <w:rFonts w:ascii="Times New Roman" w:hAnsi="Times New Roman"/>
        </w:rPr>
        <w:t>fail to observe the principles of international law, the principles of democracy, rule of law</w:t>
      </w:r>
      <w:r w:rsidR="4A01C4BB" w:rsidRPr="00F305B6">
        <w:rPr>
          <w:rFonts w:ascii="Times New Roman" w:hAnsi="Times New Roman"/>
        </w:rPr>
        <w:t xml:space="preserve">, </w:t>
      </w:r>
      <w:r w:rsidR="39C6F14F" w:rsidRPr="00F305B6">
        <w:rPr>
          <w:rFonts w:ascii="Times New Roman" w:hAnsi="Times New Roman"/>
        </w:rPr>
        <w:t xml:space="preserve">good governance, or respect </w:t>
      </w:r>
      <w:r w:rsidR="61B64F28" w:rsidRPr="00F305B6">
        <w:rPr>
          <w:rFonts w:ascii="Times New Roman" w:hAnsi="Times New Roman"/>
        </w:rPr>
        <w:t xml:space="preserve">to </w:t>
      </w:r>
      <w:r w:rsidR="39C6F14F" w:rsidRPr="00F305B6">
        <w:rPr>
          <w:rFonts w:ascii="Times New Roman" w:hAnsi="Times New Roman"/>
        </w:rPr>
        <w:t>human rights and fundamental freedoms</w:t>
      </w:r>
      <w:r w:rsidR="4107B0E4" w:rsidRPr="00F305B6">
        <w:rPr>
          <w:rFonts w:ascii="Times New Roman" w:hAnsi="Times New Roman"/>
        </w:rPr>
        <w:t xml:space="preserve"> (</w:t>
      </w:r>
      <w:r w:rsidR="4107B0E4" w:rsidRPr="00F305B6">
        <w:rPr>
          <w:rFonts w:ascii="Times New Roman" w:hAnsi="Times New Roman"/>
          <w:b/>
          <w:bCs/>
        </w:rPr>
        <w:t>paragraph 6)</w:t>
      </w:r>
      <w:r w:rsidR="39C6F14F" w:rsidRPr="00F305B6">
        <w:rPr>
          <w:rFonts w:ascii="Times New Roman" w:hAnsi="Times New Roman"/>
        </w:rPr>
        <w:t>.</w:t>
      </w:r>
    </w:p>
    <w:p w14:paraId="3316A9E6" w14:textId="71C586C5" w:rsidR="00FE05C9" w:rsidRPr="00F305B6" w:rsidRDefault="4E960121" w:rsidP="00E259BF">
      <w:pPr>
        <w:spacing w:after="120"/>
        <w:rPr>
          <w:rFonts w:ascii="Times New Roman" w:hAnsi="Times New Roman"/>
          <w:szCs w:val="24"/>
        </w:rPr>
      </w:pPr>
      <w:r w:rsidRPr="00F305B6">
        <w:rPr>
          <w:rFonts w:ascii="Times New Roman" w:hAnsi="Times New Roman"/>
          <w:szCs w:val="24"/>
        </w:rPr>
        <w:t xml:space="preserve">The </w:t>
      </w:r>
      <w:r w:rsidR="00E259BF" w:rsidRPr="00E259BF">
        <w:rPr>
          <w:rFonts w:ascii="Times New Roman" w:hAnsi="Times New Roman"/>
          <w:szCs w:val="24"/>
        </w:rPr>
        <w:t xml:space="preserve">e Instrument for Pre-accession Assistance </w:t>
      </w:r>
      <w:r w:rsidR="00E259BF">
        <w:rPr>
          <w:rFonts w:ascii="Times New Roman" w:hAnsi="Times New Roman"/>
          <w:szCs w:val="24"/>
        </w:rPr>
        <w:t>(</w:t>
      </w:r>
      <w:r w:rsidRPr="00F305B6">
        <w:rPr>
          <w:rFonts w:ascii="Times New Roman" w:hAnsi="Times New Roman"/>
          <w:szCs w:val="24"/>
        </w:rPr>
        <w:t>IPA III</w:t>
      </w:r>
      <w:r w:rsidR="00E259BF">
        <w:rPr>
          <w:rFonts w:ascii="Times New Roman" w:hAnsi="Times New Roman"/>
          <w:szCs w:val="24"/>
        </w:rPr>
        <w:t>)</w:t>
      </w:r>
      <w:r w:rsidRPr="00F305B6">
        <w:rPr>
          <w:rFonts w:ascii="Times New Roman" w:hAnsi="Times New Roman"/>
          <w:szCs w:val="24"/>
        </w:rPr>
        <w:t xml:space="preserve"> </w:t>
      </w:r>
      <w:r w:rsidR="3DD9ECC7" w:rsidRPr="00F305B6">
        <w:rPr>
          <w:rFonts w:ascii="Times New Roman" w:hAnsi="Times New Roman"/>
          <w:szCs w:val="24"/>
        </w:rPr>
        <w:t>R</w:t>
      </w:r>
      <w:r w:rsidRPr="00F305B6">
        <w:rPr>
          <w:rFonts w:ascii="Times New Roman" w:hAnsi="Times New Roman"/>
          <w:szCs w:val="24"/>
        </w:rPr>
        <w:t xml:space="preserve">egulation specifically sets out the partners covered, and Moldova and Georgia are not included. Transition to IPA III for both countries would imply a revision of the IPA III Regulation, which would need to be accompanied by a revision to the NDICI-GE Regulation to remove the two counties as beneficiaries under that </w:t>
      </w:r>
      <w:r w:rsidR="00E259BF">
        <w:rPr>
          <w:rFonts w:ascii="Times New Roman" w:hAnsi="Times New Roman"/>
          <w:szCs w:val="24"/>
        </w:rPr>
        <w:t>r</w:t>
      </w:r>
      <w:r w:rsidRPr="00F305B6">
        <w:rPr>
          <w:rFonts w:ascii="Times New Roman" w:hAnsi="Times New Roman"/>
          <w:szCs w:val="24"/>
        </w:rPr>
        <w:t>egulation.</w:t>
      </w:r>
    </w:p>
    <w:p w14:paraId="6DD9CC74" w14:textId="5FF2697B" w:rsidR="4E960121" w:rsidRPr="00F305B6" w:rsidRDefault="2E726B2E" w:rsidP="00EB74B9">
      <w:pPr>
        <w:spacing w:after="120"/>
        <w:rPr>
          <w:rFonts w:ascii="Times New Roman" w:hAnsi="Times New Roman"/>
        </w:rPr>
      </w:pPr>
      <w:r w:rsidRPr="00F305B6">
        <w:rPr>
          <w:rFonts w:ascii="Times New Roman" w:hAnsi="Times New Roman"/>
        </w:rPr>
        <w:t xml:space="preserve">Support for Moldova and Georgia </w:t>
      </w:r>
      <w:r w:rsidR="7FBFF1A1" w:rsidRPr="00F305B6">
        <w:rPr>
          <w:rFonts w:ascii="Times New Roman" w:hAnsi="Times New Roman"/>
        </w:rPr>
        <w:t xml:space="preserve">and to their accession efforts </w:t>
      </w:r>
      <w:r w:rsidRPr="00F305B6">
        <w:rPr>
          <w:rFonts w:ascii="Times New Roman" w:hAnsi="Times New Roman"/>
        </w:rPr>
        <w:t>can continue without interruption under NDICI-G</w:t>
      </w:r>
      <w:r w:rsidR="76465791" w:rsidRPr="00F305B6">
        <w:rPr>
          <w:rFonts w:ascii="Times New Roman" w:hAnsi="Times New Roman"/>
        </w:rPr>
        <w:t>E</w:t>
      </w:r>
      <w:r w:rsidRPr="00F305B6">
        <w:rPr>
          <w:rFonts w:ascii="Times New Roman" w:hAnsi="Times New Roman"/>
        </w:rPr>
        <w:t xml:space="preserve">. This cooperation is already based on alignment to EU standards and approximation to the EU. A planned transition to address the transfer of the countries from NDICI-GE to IPA III could be undertaken, but this would be outside of the </w:t>
      </w:r>
      <w:r w:rsidR="49B6024C" w:rsidRPr="00F305B6">
        <w:rPr>
          <w:rFonts w:ascii="Times New Roman" w:hAnsi="Times New Roman"/>
        </w:rPr>
        <w:t>m</w:t>
      </w:r>
      <w:r w:rsidRPr="00F305B6">
        <w:rPr>
          <w:rFonts w:ascii="Times New Roman" w:hAnsi="Times New Roman"/>
        </w:rPr>
        <w:t>id</w:t>
      </w:r>
      <w:r w:rsidR="01E434C3" w:rsidRPr="00F305B6">
        <w:rPr>
          <w:rFonts w:ascii="Times New Roman" w:hAnsi="Times New Roman"/>
        </w:rPr>
        <w:t>-t</w:t>
      </w:r>
      <w:r w:rsidRPr="00F305B6">
        <w:rPr>
          <w:rFonts w:ascii="Times New Roman" w:hAnsi="Times New Roman"/>
        </w:rPr>
        <w:t xml:space="preserve">erm </w:t>
      </w:r>
      <w:r w:rsidR="08388FF6" w:rsidRPr="00F305B6">
        <w:rPr>
          <w:rFonts w:ascii="Times New Roman" w:hAnsi="Times New Roman"/>
        </w:rPr>
        <w:t>e</w:t>
      </w:r>
      <w:r w:rsidRPr="00F305B6">
        <w:rPr>
          <w:rFonts w:ascii="Times New Roman" w:hAnsi="Times New Roman"/>
        </w:rPr>
        <w:t>valuation of the NDICI-GE programming. Regarding Ukraine, the Commission’s proposal for establish</w:t>
      </w:r>
      <w:r w:rsidR="12ABB419" w:rsidRPr="00F305B6">
        <w:rPr>
          <w:rFonts w:ascii="Times New Roman" w:hAnsi="Times New Roman"/>
        </w:rPr>
        <w:t>ing</w:t>
      </w:r>
      <w:r w:rsidRPr="00F305B6">
        <w:rPr>
          <w:rFonts w:ascii="Times New Roman" w:hAnsi="Times New Roman"/>
        </w:rPr>
        <w:t xml:space="preserve"> the Ukraine Facility replies to Ukraine’s particular situation and needs, aiming at supporting Ukraine's recovery, reconstruction and modernisation aligned with the EU accession process and adapted to the unprecedented challenges of supporting a candidate country at war. As the enlargement policy will be the primary policy framework for these three countries, the coherence of IPA III and the instruments from which they receive pre-accession assistance will need to be continuously ensured, as highlighted by the </w:t>
      </w:r>
      <w:r w:rsidR="1FBE9CA0" w:rsidRPr="00F305B6">
        <w:rPr>
          <w:rFonts w:ascii="Times New Roman" w:hAnsi="Times New Roman"/>
        </w:rPr>
        <w:t>m</w:t>
      </w:r>
      <w:r w:rsidRPr="00F305B6">
        <w:rPr>
          <w:rFonts w:ascii="Times New Roman" w:hAnsi="Times New Roman"/>
        </w:rPr>
        <w:t>id</w:t>
      </w:r>
      <w:r w:rsidR="701F08A2" w:rsidRPr="00F305B6">
        <w:rPr>
          <w:rFonts w:ascii="Times New Roman" w:hAnsi="Times New Roman"/>
        </w:rPr>
        <w:t>-t</w:t>
      </w:r>
      <w:r w:rsidRPr="00F305B6">
        <w:rPr>
          <w:rFonts w:ascii="Times New Roman" w:hAnsi="Times New Roman"/>
        </w:rPr>
        <w:t xml:space="preserve">erm </w:t>
      </w:r>
      <w:r w:rsidR="443BEFAC" w:rsidRPr="00F305B6">
        <w:rPr>
          <w:rFonts w:ascii="Times New Roman" w:hAnsi="Times New Roman"/>
        </w:rPr>
        <w:t>e</w:t>
      </w:r>
      <w:r w:rsidRPr="00F305B6">
        <w:rPr>
          <w:rFonts w:ascii="Times New Roman" w:hAnsi="Times New Roman"/>
        </w:rPr>
        <w:t>valuation</w:t>
      </w:r>
      <w:r w:rsidR="2DC3F771" w:rsidRPr="00F305B6">
        <w:rPr>
          <w:rFonts w:ascii="Times New Roman" w:hAnsi="Times New Roman"/>
        </w:rPr>
        <w:t xml:space="preserve"> (</w:t>
      </w:r>
      <w:r w:rsidR="00E259BF">
        <w:rPr>
          <w:rFonts w:ascii="Times New Roman" w:hAnsi="Times New Roman"/>
          <w:b/>
          <w:bCs/>
        </w:rPr>
        <w:t>p</w:t>
      </w:r>
      <w:r w:rsidR="2DC3F771" w:rsidRPr="00F305B6">
        <w:rPr>
          <w:rFonts w:ascii="Times New Roman" w:hAnsi="Times New Roman"/>
          <w:b/>
          <w:bCs/>
        </w:rPr>
        <w:t>aragraph 8</w:t>
      </w:r>
      <w:r w:rsidR="2DC3F771" w:rsidRPr="00F305B6">
        <w:rPr>
          <w:rFonts w:ascii="Times New Roman" w:hAnsi="Times New Roman"/>
        </w:rPr>
        <w:t>)</w:t>
      </w:r>
      <w:r w:rsidRPr="00F305B6">
        <w:rPr>
          <w:rFonts w:ascii="Times New Roman" w:hAnsi="Times New Roman"/>
        </w:rPr>
        <w:t>.</w:t>
      </w:r>
    </w:p>
    <w:p w14:paraId="39D0ED49" w14:textId="41D033C5" w:rsidR="603EA27D" w:rsidRPr="00F305B6" w:rsidRDefault="008C6974" w:rsidP="00EB74B9">
      <w:pPr>
        <w:spacing w:after="120"/>
        <w:rPr>
          <w:rFonts w:ascii="Times New Roman" w:hAnsi="Times New Roman"/>
          <w:szCs w:val="24"/>
        </w:rPr>
      </w:pPr>
      <w:r w:rsidRPr="00F305B6">
        <w:rPr>
          <w:rFonts w:ascii="Times New Roman" w:hAnsi="Times New Roman"/>
          <w:szCs w:val="24"/>
        </w:rPr>
        <w:t xml:space="preserve">The year </w:t>
      </w:r>
      <w:r w:rsidR="0028699D" w:rsidRPr="00F305B6">
        <w:rPr>
          <w:rFonts w:ascii="Times New Roman" w:hAnsi="Times New Roman"/>
          <w:szCs w:val="24"/>
        </w:rPr>
        <w:t xml:space="preserve">2023 marked the </w:t>
      </w:r>
      <w:r w:rsidR="00FE05C9" w:rsidRPr="00F305B6">
        <w:rPr>
          <w:rFonts w:ascii="Times New Roman" w:hAnsi="Times New Roman"/>
          <w:szCs w:val="24"/>
        </w:rPr>
        <w:t>start</w:t>
      </w:r>
      <w:r w:rsidR="0028699D" w:rsidRPr="00F305B6">
        <w:rPr>
          <w:rFonts w:ascii="Times New Roman" w:hAnsi="Times New Roman"/>
          <w:szCs w:val="24"/>
        </w:rPr>
        <w:t xml:space="preserve"> of implementation of the Youth Action Plan in EU’s external relation (2022-2027). </w:t>
      </w:r>
      <w:r w:rsidR="00012557" w:rsidRPr="00F305B6">
        <w:rPr>
          <w:rFonts w:ascii="Times New Roman" w:hAnsi="Times New Roman"/>
          <w:szCs w:val="24"/>
        </w:rPr>
        <w:t xml:space="preserve">Concrete </w:t>
      </w:r>
      <w:r w:rsidR="0079368B" w:rsidRPr="00F305B6">
        <w:rPr>
          <w:rFonts w:ascii="Times New Roman" w:hAnsi="Times New Roman"/>
          <w:szCs w:val="24"/>
        </w:rPr>
        <w:t xml:space="preserve">institutional </w:t>
      </w:r>
      <w:r w:rsidR="00012557" w:rsidRPr="00F305B6">
        <w:rPr>
          <w:rFonts w:ascii="Times New Roman" w:hAnsi="Times New Roman"/>
          <w:szCs w:val="24"/>
        </w:rPr>
        <w:t>mechanisms for facilitating youth engagement in EU policy</w:t>
      </w:r>
      <w:r w:rsidR="00F14874" w:rsidRPr="00F305B6">
        <w:rPr>
          <w:rFonts w:ascii="Times New Roman" w:hAnsi="Times New Roman"/>
          <w:szCs w:val="24"/>
        </w:rPr>
        <w:t xml:space="preserve"> </w:t>
      </w:r>
      <w:r w:rsidR="00012557" w:rsidRPr="00F305B6">
        <w:rPr>
          <w:rFonts w:ascii="Times New Roman" w:hAnsi="Times New Roman"/>
          <w:szCs w:val="24"/>
        </w:rPr>
        <w:t>making were set at global and local level</w:t>
      </w:r>
      <w:r w:rsidR="00B85062" w:rsidRPr="00F305B6">
        <w:rPr>
          <w:rFonts w:ascii="Times New Roman" w:hAnsi="Times New Roman"/>
          <w:szCs w:val="24"/>
        </w:rPr>
        <w:t>. That entailed</w:t>
      </w:r>
      <w:r w:rsidR="00012557" w:rsidRPr="00F305B6">
        <w:rPr>
          <w:rFonts w:ascii="Times New Roman" w:hAnsi="Times New Roman"/>
          <w:szCs w:val="24"/>
        </w:rPr>
        <w:t xml:space="preserve"> the creation of more than 30 youth sounding board</w:t>
      </w:r>
      <w:r w:rsidR="0351BC16" w:rsidRPr="00F305B6">
        <w:rPr>
          <w:rFonts w:ascii="Times New Roman" w:hAnsi="Times New Roman"/>
          <w:szCs w:val="24"/>
        </w:rPr>
        <w:t>s</w:t>
      </w:r>
      <w:r w:rsidR="00012557" w:rsidRPr="00F305B6">
        <w:rPr>
          <w:rFonts w:ascii="Times New Roman" w:hAnsi="Times New Roman"/>
          <w:szCs w:val="24"/>
        </w:rPr>
        <w:t xml:space="preserve"> in EU Delegations, and the development of a platform for structured dialogue with youth organisations</w:t>
      </w:r>
      <w:r w:rsidR="33482619" w:rsidRPr="00F305B6">
        <w:rPr>
          <w:rFonts w:ascii="Times New Roman" w:hAnsi="Times New Roman"/>
          <w:szCs w:val="24"/>
        </w:rPr>
        <w:t xml:space="preserve">, which is </w:t>
      </w:r>
      <w:r w:rsidR="00012557" w:rsidRPr="00F305B6">
        <w:rPr>
          <w:rFonts w:ascii="Times New Roman" w:hAnsi="Times New Roman"/>
          <w:szCs w:val="24"/>
        </w:rPr>
        <w:t xml:space="preserve">a new element of the Policy Forum on </w:t>
      </w:r>
      <w:r w:rsidR="00012557" w:rsidRPr="00F305B6">
        <w:rPr>
          <w:rFonts w:ascii="Times New Roman" w:hAnsi="Times New Roman"/>
          <w:szCs w:val="24"/>
        </w:rPr>
        <w:lastRenderedPageBreak/>
        <w:t>Development.</w:t>
      </w:r>
      <w:r w:rsidR="0079368B" w:rsidRPr="00F305B6">
        <w:rPr>
          <w:rFonts w:ascii="Times New Roman" w:hAnsi="Times New Roman"/>
          <w:szCs w:val="24"/>
        </w:rPr>
        <w:t xml:space="preserve"> Two flagship initiatives of the Youth Action Plan were also launched: the Women and Youth in Democracy Initiative which supports the engagement of women and youth participation in public and political affairs, and the Youth Empowerment Fund</w:t>
      </w:r>
      <w:r w:rsidR="12C29D7A" w:rsidRPr="00F305B6">
        <w:rPr>
          <w:rFonts w:ascii="Times New Roman" w:hAnsi="Times New Roman"/>
          <w:szCs w:val="24"/>
        </w:rPr>
        <w:t>,</w:t>
      </w:r>
      <w:r w:rsidR="0079368B" w:rsidRPr="00F305B6">
        <w:rPr>
          <w:rFonts w:ascii="Times New Roman" w:hAnsi="Times New Roman"/>
          <w:szCs w:val="24"/>
        </w:rPr>
        <w:t xml:space="preserve"> </w:t>
      </w:r>
      <w:r w:rsidR="00743D19" w:rsidRPr="00F305B6">
        <w:rPr>
          <w:rFonts w:ascii="Times New Roman" w:hAnsi="Times New Roman"/>
          <w:szCs w:val="24"/>
        </w:rPr>
        <w:t>which provides</w:t>
      </w:r>
      <w:r w:rsidR="0079368B" w:rsidRPr="00F305B6">
        <w:rPr>
          <w:rFonts w:ascii="Times New Roman" w:hAnsi="Times New Roman"/>
          <w:szCs w:val="24"/>
        </w:rPr>
        <w:t xml:space="preserve"> small grants and capacity building to youth-led initiatives in partner countries</w:t>
      </w:r>
      <w:r w:rsidR="565B3408" w:rsidRPr="00F305B6">
        <w:rPr>
          <w:rFonts w:ascii="Times New Roman" w:hAnsi="Times New Roman"/>
          <w:szCs w:val="24"/>
        </w:rPr>
        <w:t xml:space="preserve"> (</w:t>
      </w:r>
      <w:r w:rsidR="565B3408" w:rsidRPr="00F305B6">
        <w:rPr>
          <w:rFonts w:ascii="Times New Roman" w:hAnsi="Times New Roman"/>
          <w:b/>
          <w:bCs/>
          <w:szCs w:val="24"/>
        </w:rPr>
        <w:t>paragraph 10</w:t>
      </w:r>
      <w:r w:rsidR="565B3408" w:rsidRPr="00F305B6">
        <w:rPr>
          <w:rFonts w:ascii="Times New Roman" w:hAnsi="Times New Roman"/>
          <w:szCs w:val="24"/>
        </w:rPr>
        <w:t>)</w:t>
      </w:r>
      <w:r w:rsidR="0079368B" w:rsidRPr="00F305B6">
        <w:rPr>
          <w:rFonts w:ascii="Times New Roman" w:hAnsi="Times New Roman"/>
          <w:szCs w:val="24"/>
        </w:rPr>
        <w:t>.</w:t>
      </w:r>
    </w:p>
    <w:p w14:paraId="698D5EBC" w14:textId="58618C2A" w:rsidR="4E960121" w:rsidRPr="00F305B6" w:rsidRDefault="4E960121" w:rsidP="00EB74B9">
      <w:pPr>
        <w:spacing w:after="120"/>
        <w:rPr>
          <w:rFonts w:ascii="Times New Roman" w:eastAsia="Calibri" w:hAnsi="Times New Roman"/>
          <w:szCs w:val="24"/>
        </w:rPr>
      </w:pPr>
      <w:r w:rsidRPr="00F305B6">
        <w:rPr>
          <w:rFonts w:ascii="Times New Roman" w:eastAsia="Calibri" w:hAnsi="Times New Roman"/>
          <w:szCs w:val="24"/>
        </w:rPr>
        <w:t xml:space="preserve">The Commission is working on the development of good practices to measure and monitor EU investments </w:t>
      </w:r>
      <w:r w:rsidR="6134EB74" w:rsidRPr="00F305B6">
        <w:rPr>
          <w:rFonts w:ascii="Times New Roman" w:eastAsia="Calibri" w:hAnsi="Times New Roman"/>
          <w:szCs w:val="24"/>
        </w:rPr>
        <w:t xml:space="preserve">for </w:t>
      </w:r>
      <w:r w:rsidRPr="00F305B6">
        <w:rPr>
          <w:rFonts w:ascii="Times New Roman" w:eastAsia="Calibri" w:hAnsi="Times New Roman"/>
          <w:szCs w:val="24"/>
        </w:rPr>
        <w:t>children</w:t>
      </w:r>
      <w:r w:rsidR="00B85062" w:rsidRPr="00F305B6">
        <w:rPr>
          <w:rFonts w:ascii="Times New Roman" w:eastAsia="Calibri" w:hAnsi="Times New Roman"/>
          <w:szCs w:val="24"/>
        </w:rPr>
        <w:t xml:space="preserve"> through collection of</w:t>
      </w:r>
      <w:r w:rsidRPr="00F305B6">
        <w:rPr>
          <w:rFonts w:ascii="Times New Roman" w:eastAsia="Calibri" w:hAnsi="Times New Roman"/>
          <w:szCs w:val="24"/>
        </w:rPr>
        <w:t xml:space="preserve"> age-disaggregated data</w:t>
      </w:r>
      <w:r w:rsidR="00B85062" w:rsidRPr="00F305B6">
        <w:rPr>
          <w:rFonts w:ascii="Times New Roman" w:eastAsia="Calibri" w:hAnsi="Times New Roman"/>
          <w:szCs w:val="24"/>
        </w:rPr>
        <w:t>,</w:t>
      </w:r>
      <w:r w:rsidRPr="00F305B6">
        <w:rPr>
          <w:rFonts w:ascii="Times New Roman" w:eastAsia="Calibri" w:hAnsi="Times New Roman"/>
          <w:szCs w:val="24"/>
        </w:rPr>
        <w:t xml:space="preserve"> when possible. The creation of a new child marker doesn’t seem necessary. </w:t>
      </w:r>
      <w:r w:rsidR="00B85062" w:rsidRPr="00F305B6">
        <w:rPr>
          <w:rFonts w:ascii="Times New Roman" w:eastAsia="Calibri" w:hAnsi="Times New Roman"/>
          <w:szCs w:val="24"/>
        </w:rPr>
        <w:t>T</w:t>
      </w:r>
      <w:r w:rsidRPr="00F305B6">
        <w:rPr>
          <w:rFonts w:ascii="Times New Roman" w:eastAsia="Calibri" w:hAnsi="Times New Roman"/>
          <w:szCs w:val="24"/>
        </w:rPr>
        <w:t xml:space="preserve">he Commission </w:t>
      </w:r>
      <w:r w:rsidR="003B1ED9" w:rsidRPr="00F305B6">
        <w:rPr>
          <w:rFonts w:ascii="Times New Roman" w:eastAsia="Calibri" w:hAnsi="Times New Roman"/>
          <w:szCs w:val="24"/>
        </w:rPr>
        <w:t>does collect</w:t>
      </w:r>
      <w:r w:rsidRPr="00F305B6">
        <w:rPr>
          <w:rFonts w:ascii="Times New Roman" w:eastAsia="Calibri" w:hAnsi="Times New Roman"/>
          <w:szCs w:val="24"/>
        </w:rPr>
        <w:t xml:space="preserve"> data on the EU’s actions in the field of children’s rights</w:t>
      </w:r>
      <w:r w:rsidR="003B1ED9" w:rsidRPr="00F305B6">
        <w:rPr>
          <w:rFonts w:ascii="Times New Roman" w:eastAsia="Calibri" w:hAnsi="Times New Roman"/>
          <w:szCs w:val="24"/>
        </w:rPr>
        <w:t xml:space="preserve"> and</w:t>
      </w:r>
      <w:r w:rsidRPr="00F305B6">
        <w:rPr>
          <w:rFonts w:ascii="Times New Roman" w:eastAsia="Calibri" w:hAnsi="Times New Roman"/>
          <w:szCs w:val="24"/>
        </w:rPr>
        <w:t xml:space="preserve"> about the geographical distribution, type of activities and progress towards the Sustainable Development Goals (</w:t>
      </w:r>
      <w:r w:rsidRPr="00F305B6">
        <w:rPr>
          <w:rFonts w:ascii="Times New Roman" w:eastAsia="Calibri" w:hAnsi="Times New Roman"/>
          <w:b/>
          <w:bCs/>
          <w:szCs w:val="24"/>
        </w:rPr>
        <w:t>paragraph 11</w:t>
      </w:r>
      <w:r w:rsidRPr="00F305B6">
        <w:rPr>
          <w:rFonts w:ascii="Times New Roman" w:eastAsia="Calibri" w:hAnsi="Times New Roman"/>
          <w:szCs w:val="24"/>
        </w:rPr>
        <w:t>).</w:t>
      </w:r>
    </w:p>
    <w:p w14:paraId="12AB8B41" w14:textId="6B5EDE50" w:rsidR="00C41EC5" w:rsidRPr="00F305B6" w:rsidRDefault="6C62A5A8" w:rsidP="00EB74B9">
      <w:pPr>
        <w:spacing w:after="120"/>
        <w:rPr>
          <w:rFonts w:ascii="Arial" w:eastAsia="Arial" w:hAnsi="Arial" w:cs="Arial"/>
          <w:b/>
          <w:bCs/>
          <w:sz w:val="21"/>
          <w:szCs w:val="21"/>
        </w:rPr>
      </w:pPr>
      <w:r w:rsidRPr="00F305B6">
        <w:rPr>
          <w:rFonts w:ascii="Times New Roman" w:hAnsi="Times New Roman"/>
        </w:rPr>
        <w:t>T</w:t>
      </w:r>
      <w:r w:rsidR="08701BAE" w:rsidRPr="00F305B6">
        <w:rPr>
          <w:rFonts w:ascii="Times New Roman" w:hAnsi="Times New Roman"/>
        </w:rPr>
        <w:t xml:space="preserve">he Commission emphasises its commitment to the protection of the rights of LGBTIQ persons around the world. </w:t>
      </w:r>
      <w:r w:rsidR="0ECBE44E" w:rsidRPr="00F305B6">
        <w:rPr>
          <w:rFonts w:ascii="Times New Roman" w:hAnsi="Times New Roman"/>
        </w:rPr>
        <w:t xml:space="preserve">Its </w:t>
      </w:r>
      <w:r w:rsidR="08701BAE" w:rsidRPr="00F305B6">
        <w:rPr>
          <w:rFonts w:ascii="Times New Roman" w:hAnsi="Times New Roman"/>
        </w:rPr>
        <w:t>engagement is guided by the fourth pillar</w:t>
      </w:r>
      <w:r w:rsidR="008C6974" w:rsidRPr="00F305B6">
        <w:rPr>
          <w:rStyle w:val="FootnoteReference"/>
          <w:rFonts w:ascii="Times New Roman" w:hAnsi="Times New Roman"/>
        </w:rPr>
        <w:footnoteReference w:id="4"/>
      </w:r>
      <w:r w:rsidR="08701BAE" w:rsidRPr="00F305B6">
        <w:rPr>
          <w:rFonts w:ascii="Times New Roman" w:hAnsi="Times New Roman"/>
        </w:rPr>
        <w:t xml:space="preserve"> of the LGBTIQ Equality Strategy and reinforced by the EU Gender Action Plan III </w:t>
      </w:r>
      <w:r w:rsidR="14F7F810" w:rsidRPr="00F305B6">
        <w:rPr>
          <w:rFonts w:ascii="Times New Roman" w:hAnsi="Times New Roman"/>
        </w:rPr>
        <w:t>and</w:t>
      </w:r>
      <w:r w:rsidR="08701BAE" w:rsidRPr="00F305B6">
        <w:rPr>
          <w:rFonts w:ascii="Times New Roman" w:hAnsi="Times New Roman"/>
        </w:rPr>
        <w:t xml:space="preserve"> the EU Action Plan on Human Rights and Democracy</w:t>
      </w:r>
      <w:r w:rsidR="452870BA" w:rsidRPr="00F305B6">
        <w:rPr>
          <w:rFonts w:ascii="Arial" w:eastAsia="Arial" w:hAnsi="Arial" w:cs="Arial"/>
          <w:sz w:val="21"/>
          <w:szCs w:val="21"/>
        </w:rPr>
        <w:t xml:space="preserve"> </w:t>
      </w:r>
      <w:r w:rsidR="452870BA" w:rsidRPr="00F305B6">
        <w:rPr>
          <w:rFonts w:ascii="Times New Roman" w:eastAsia="Arial" w:hAnsi="Times New Roman"/>
          <w:szCs w:val="24"/>
        </w:rPr>
        <w:t>2020 - 2024</w:t>
      </w:r>
      <w:r w:rsidR="08701BAE" w:rsidRPr="00F305B6">
        <w:rPr>
          <w:rFonts w:ascii="Times New Roman" w:hAnsi="Times New Roman"/>
          <w:szCs w:val="24"/>
        </w:rPr>
        <w:t>.</w:t>
      </w:r>
      <w:r w:rsidR="14F7F810" w:rsidRPr="00F305B6">
        <w:rPr>
          <w:rFonts w:ascii="Times New Roman" w:hAnsi="Times New Roman"/>
        </w:rPr>
        <w:t xml:space="preserve"> </w:t>
      </w:r>
      <w:r w:rsidR="08701BAE" w:rsidRPr="00F305B6">
        <w:rPr>
          <w:rFonts w:ascii="Times New Roman" w:hAnsi="Times New Roman"/>
        </w:rPr>
        <w:t xml:space="preserve">The rights of LGBTIQ persons are </w:t>
      </w:r>
      <w:r w:rsidR="4F9B61D4" w:rsidRPr="00F305B6">
        <w:rPr>
          <w:rFonts w:ascii="Times New Roman" w:hAnsi="Times New Roman"/>
        </w:rPr>
        <w:t xml:space="preserve">discussed </w:t>
      </w:r>
      <w:r w:rsidR="08701BAE" w:rsidRPr="00F305B6">
        <w:rPr>
          <w:rFonts w:ascii="Times New Roman" w:hAnsi="Times New Roman"/>
        </w:rPr>
        <w:t>with partner countries in the context of human rights and other political dialogues. At global level, the EU is active in multilateral forums, and promotes the rights of LGBTIQ persons in the United Nations system.</w:t>
      </w:r>
      <w:r w:rsidR="353CBA90" w:rsidRPr="00F305B6">
        <w:rPr>
          <w:rFonts w:ascii="Times New Roman" w:hAnsi="Times New Roman"/>
        </w:rPr>
        <w:t xml:space="preserve"> </w:t>
      </w:r>
      <w:r w:rsidR="08701BAE" w:rsidRPr="00F305B6">
        <w:rPr>
          <w:rFonts w:ascii="Times New Roman" w:hAnsi="Times New Roman"/>
        </w:rPr>
        <w:t>The EU also continues to operate a rapid response mechanism to protect individual LGBTIQ rights defenders at risk</w:t>
      </w:r>
      <w:r w:rsidRPr="00F305B6">
        <w:rPr>
          <w:rFonts w:ascii="Times New Roman" w:hAnsi="Times New Roman"/>
        </w:rPr>
        <w:t xml:space="preserve"> (</w:t>
      </w:r>
      <w:r w:rsidRPr="00F305B6">
        <w:rPr>
          <w:rFonts w:ascii="Times New Roman" w:hAnsi="Times New Roman"/>
          <w:b/>
          <w:bCs/>
        </w:rPr>
        <w:t>paragraph 12</w:t>
      </w:r>
      <w:r w:rsidRPr="00F305B6">
        <w:rPr>
          <w:rFonts w:ascii="Times New Roman" w:hAnsi="Times New Roman"/>
        </w:rPr>
        <w:t>)</w:t>
      </w:r>
      <w:r w:rsidR="08701BAE" w:rsidRPr="00F305B6">
        <w:rPr>
          <w:rFonts w:ascii="Times New Roman" w:hAnsi="Times New Roman"/>
        </w:rPr>
        <w:t>.</w:t>
      </w:r>
    </w:p>
    <w:p w14:paraId="3FA82443" w14:textId="4BED4C15" w:rsidR="00C41EC5" w:rsidRPr="00F305B6" w:rsidRDefault="00C41EC5" w:rsidP="00EB74B9">
      <w:pPr>
        <w:spacing w:after="120"/>
        <w:rPr>
          <w:rFonts w:ascii="Times New Roman" w:hAnsi="Times New Roman"/>
          <w:szCs w:val="24"/>
        </w:rPr>
      </w:pPr>
      <w:r w:rsidRPr="00F305B6">
        <w:rPr>
          <w:rFonts w:ascii="Times New Roman" w:hAnsi="Times New Roman"/>
          <w:szCs w:val="24"/>
        </w:rPr>
        <w:t>As regards gender equality, as pointed out in the Joint Mid-Term Report on the Implementation of the Gender Action Plan (GAP III)</w:t>
      </w:r>
      <w:r w:rsidRPr="00F305B6">
        <w:rPr>
          <w:rStyle w:val="FootnoteReference"/>
          <w:rFonts w:ascii="Times New Roman" w:hAnsi="Times New Roman"/>
          <w:szCs w:val="24"/>
        </w:rPr>
        <w:footnoteReference w:id="5"/>
      </w:r>
      <w:r w:rsidRPr="00F305B6">
        <w:rPr>
          <w:rFonts w:ascii="Times New Roman" w:hAnsi="Times New Roman"/>
          <w:szCs w:val="24"/>
        </w:rPr>
        <w:t xml:space="preserve">, the EU will continue to enhance quality-review processes across all instruments and sectors to improve the quality of gender-mainstreaming in line with </w:t>
      </w:r>
      <w:r w:rsidR="00E259BF">
        <w:rPr>
          <w:rFonts w:ascii="Times New Roman" w:hAnsi="Times New Roman"/>
          <w:szCs w:val="24"/>
        </w:rPr>
        <w:t xml:space="preserve">the </w:t>
      </w:r>
      <w:r w:rsidR="00E259BF" w:rsidRPr="00E259BF">
        <w:rPr>
          <w:rFonts w:ascii="Times New Roman" w:hAnsi="Times New Roman"/>
          <w:szCs w:val="24"/>
        </w:rPr>
        <w:t xml:space="preserve">Organisation for Economic Co-operation and Development's Development Assistance Committee </w:t>
      </w:r>
      <w:r w:rsidR="00E259BF">
        <w:rPr>
          <w:rFonts w:ascii="Times New Roman" w:hAnsi="Times New Roman"/>
          <w:szCs w:val="24"/>
        </w:rPr>
        <w:t>(</w:t>
      </w:r>
      <w:r w:rsidRPr="00F305B6">
        <w:rPr>
          <w:rFonts w:ascii="Times New Roman" w:hAnsi="Times New Roman"/>
          <w:szCs w:val="24"/>
        </w:rPr>
        <w:t>OECD-DAC</w:t>
      </w:r>
      <w:r w:rsidR="00E259BF">
        <w:rPr>
          <w:rFonts w:ascii="Times New Roman" w:hAnsi="Times New Roman"/>
          <w:szCs w:val="24"/>
        </w:rPr>
        <w:t>)</w:t>
      </w:r>
      <w:r w:rsidRPr="00F305B6">
        <w:rPr>
          <w:rFonts w:ascii="Times New Roman" w:hAnsi="Times New Roman"/>
          <w:szCs w:val="24"/>
        </w:rPr>
        <w:t xml:space="preserve"> gender equality policy marker criteria.</w:t>
      </w:r>
    </w:p>
    <w:p w14:paraId="4D9AC014" w14:textId="6E43FD08" w:rsidR="003F63EF" w:rsidRPr="00F305B6" w:rsidRDefault="20B1976C" w:rsidP="00EB74B9">
      <w:pPr>
        <w:spacing w:after="120"/>
        <w:rPr>
          <w:rFonts w:ascii="Times New Roman" w:eastAsiaTheme="minorEastAsia" w:hAnsi="Times New Roman"/>
        </w:rPr>
      </w:pPr>
      <w:r w:rsidRPr="00F305B6">
        <w:rPr>
          <w:rFonts w:ascii="Times New Roman" w:eastAsiaTheme="minorEastAsia" w:hAnsi="Times New Roman"/>
        </w:rPr>
        <w:t>The Commission is ensuring that the implementation of the EFSD+ is fully coherent with the objectives of the NDICI-GE Regulation as set out in its Art</w:t>
      </w:r>
      <w:r w:rsidR="236DB8B2" w:rsidRPr="00F305B6">
        <w:rPr>
          <w:rFonts w:ascii="Times New Roman" w:eastAsiaTheme="minorEastAsia" w:hAnsi="Times New Roman"/>
        </w:rPr>
        <w:t>icle</w:t>
      </w:r>
      <w:r w:rsidR="007F57CD" w:rsidRPr="00F305B6">
        <w:rPr>
          <w:rFonts w:ascii="Times New Roman" w:eastAsiaTheme="minorEastAsia" w:hAnsi="Times New Roman"/>
        </w:rPr>
        <w:t xml:space="preserve"> </w:t>
      </w:r>
      <w:r w:rsidRPr="00F305B6">
        <w:rPr>
          <w:rFonts w:ascii="Times New Roman" w:eastAsiaTheme="minorEastAsia" w:hAnsi="Times New Roman"/>
        </w:rPr>
        <w:t xml:space="preserve">31. Within the EFSD+ Strategic Orientations, which set out the areas of investments supported by EFSD+, the Green Deal is an overarching priority. This alignment is ensured during the approval process of individual operations for the </w:t>
      </w:r>
      <w:r w:rsidR="00E259BF" w:rsidRPr="00E259BF">
        <w:rPr>
          <w:rFonts w:ascii="Times New Roman" w:eastAsiaTheme="minorEastAsia" w:hAnsi="Times New Roman"/>
        </w:rPr>
        <w:t>e European Investment Bank</w:t>
      </w:r>
      <w:r w:rsidR="00E259BF">
        <w:rPr>
          <w:rFonts w:ascii="Times New Roman" w:eastAsiaTheme="minorEastAsia" w:hAnsi="Times New Roman"/>
        </w:rPr>
        <w:t xml:space="preserve"> (EIB)</w:t>
      </w:r>
      <w:r w:rsidR="00E259BF" w:rsidRPr="00E259BF">
        <w:rPr>
          <w:rFonts w:ascii="Times New Roman" w:eastAsiaTheme="minorEastAsia" w:hAnsi="Times New Roman"/>
        </w:rPr>
        <w:t xml:space="preserve"> </w:t>
      </w:r>
      <w:r w:rsidRPr="00F305B6">
        <w:rPr>
          <w:rFonts w:ascii="Times New Roman" w:eastAsiaTheme="minorEastAsia" w:hAnsi="Times New Roman"/>
        </w:rPr>
        <w:t xml:space="preserve">dedicated windows, the approval process of Proposed Investment Programmes for EFSD+ Open Architecture and as part of the assessment of blending operations. </w:t>
      </w:r>
      <w:r w:rsidR="00E47CB8" w:rsidRPr="00F305B6">
        <w:rPr>
          <w:rFonts w:ascii="Times New Roman" w:eastAsiaTheme="minorEastAsia" w:hAnsi="Times New Roman"/>
        </w:rPr>
        <w:t>Consequently</w:t>
      </w:r>
      <w:r w:rsidRPr="00F305B6">
        <w:rPr>
          <w:rFonts w:ascii="Times New Roman" w:eastAsiaTheme="minorEastAsia" w:hAnsi="Times New Roman"/>
        </w:rPr>
        <w:t>, investment operations supported under EFSD+ contribute to the achievement of the climate spending target (</w:t>
      </w:r>
      <w:r w:rsidRPr="00E259BF">
        <w:rPr>
          <w:rFonts w:ascii="Times New Roman" w:eastAsiaTheme="minorEastAsia" w:hAnsi="Times New Roman"/>
          <w:b/>
          <w:bCs/>
        </w:rPr>
        <w:t>paragraph 16</w:t>
      </w:r>
      <w:r w:rsidRPr="00F305B6">
        <w:rPr>
          <w:rFonts w:ascii="Times New Roman" w:eastAsiaTheme="minorEastAsia" w:hAnsi="Times New Roman"/>
        </w:rPr>
        <w:t>).</w:t>
      </w:r>
    </w:p>
    <w:p w14:paraId="07E46C19" w14:textId="5EE2A897" w:rsidR="006F3E49" w:rsidRPr="00F305B6" w:rsidDel="00863E10" w:rsidRDefault="48B69729" w:rsidP="00EB74B9">
      <w:pPr>
        <w:spacing w:after="120"/>
        <w:rPr>
          <w:rFonts w:ascii="Times New Roman" w:eastAsiaTheme="minorEastAsia" w:hAnsi="Times New Roman"/>
        </w:rPr>
      </w:pPr>
      <w:r w:rsidRPr="00F305B6">
        <w:rPr>
          <w:rFonts w:ascii="Times New Roman" w:eastAsiaTheme="minorEastAsia" w:hAnsi="Times New Roman"/>
        </w:rPr>
        <w:t>Private investment mobilisation has been one of the key assessment criteria adopted by the Commission when revising proposals submitted by</w:t>
      </w:r>
      <w:r w:rsidR="76F3DC51" w:rsidRPr="00F305B6">
        <w:rPr>
          <w:rFonts w:ascii="Times New Roman" w:hAnsi="Times New Roman"/>
          <w:lang w:val="en-US"/>
        </w:rPr>
        <w:t xml:space="preserve"> European Investment Bank</w:t>
      </w:r>
      <w:r w:rsidRPr="00F305B6">
        <w:rPr>
          <w:rFonts w:ascii="Times New Roman" w:eastAsiaTheme="minorEastAsia" w:hAnsi="Times New Roman"/>
        </w:rPr>
        <w:t xml:space="preserve"> </w:t>
      </w:r>
      <w:r w:rsidR="43FF0F82" w:rsidRPr="00F305B6">
        <w:rPr>
          <w:rFonts w:ascii="Times New Roman" w:eastAsiaTheme="minorEastAsia" w:hAnsi="Times New Roman"/>
        </w:rPr>
        <w:t>(</w:t>
      </w:r>
      <w:r w:rsidRPr="00F305B6">
        <w:rPr>
          <w:rFonts w:ascii="Times New Roman" w:eastAsiaTheme="minorEastAsia" w:hAnsi="Times New Roman"/>
        </w:rPr>
        <w:t>EIB</w:t>
      </w:r>
      <w:r w:rsidR="4FEB7CAF" w:rsidRPr="00F305B6">
        <w:rPr>
          <w:rFonts w:ascii="Times New Roman" w:eastAsiaTheme="minorEastAsia" w:hAnsi="Times New Roman"/>
        </w:rPr>
        <w:t>)</w:t>
      </w:r>
      <w:r w:rsidRPr="00F305B6">
        <w:rPr>
          <w:rFonts w:ascii="Times New Roman" w:eastAsiaTheme="minorEastAsia" w:hAnsi="Times New Roman"/>
        </w:rPr>
        <w:t xml:space="preserve">, </w:t>
      </w:r>
      <w:r w:rsidR="386AD7A0" w:rsidRPr="00F305B6">
        <w:rPr>
          <w:rFonts w:ascii="Times New Roman" w:hAnsi="Times New Roman"/>
          <w:lang w:val="en-US"/>
        </w:rPr>
        <w:t xml:space="preserve">European Bank for Reconstruction and Development </w:t>
      </w:r>
      <w:r w:rsidR="2282FDB1" w:rsidRPr="00F305B6">
        <w:rPr>
          <w:rFonts w:ascii="Times New Roman" w:hAnsi="Times New Roman"/>
          <w:lang w:val="en-US"/>
        </w:rPr>
        <w:t>(</w:t>
      </w:r>
      <w:r w:rsidRPr="00F305B6">
        <w:rPr>
          <w:rFonts w:ascii="Times New Roman" w:eastAsiaTheme="minorEastAsia" w:hAnsi="Times New Roman"/>
        </w:rPr>
        <w:t>EBRD</w:t>
      </w:r>
      <w:r w:rsidR="3AB646AA" w:rsidRPr="00F305B6">
        <w:rPr>
          <w:rFonts w:ascii="Times New Roman" w:eastAsiaTheme="minorEastAsia" w:hAnsi="Times New Roman"/>
        </w:rPr>
        <w:t>)</w:t>
      </w:r>
      <w:r w:rsidRPr="00F305B6">
        <w:rPr>
          <w:rFonts w:ascii="Times New Roman" w:eastAsiaTheme="minorEastAsia" w:hAnsi="Times New Roman"/>
        </w:rPr>
        <w:t xml:space="preserve"> and other implementing partners under the framework of EFSD+ Open Architecture. Following that approach, the Commission has introduced specific clauses into guarantee agreements to safeguard the private investment mobilisation approach</w:t>
      </w:r>
      <w:r w:rsidR="00CD685A" w:rsidRPr="00F305B6">
        <w:rPr>
          <w:rFonts w:ascii="Times New Roman" w:eastAsiaTheme="minorEastAsia" w:hAnsi="Times New Roman"/>
        </w:rPr>
        <w:t xml:space="preserve"> </w:t>
      </w:r>
      <w:r w:rsidR="5FF6EE08" w:rsidRPr="00F305B6">
        <w:rPr>
          <w:rFonts w:ascii="Times New Roman" w:eastAsiaTheme="minorEastAsia" w:hAnsi="Times New Roman"/>
        </w:rPr>
        <w:t>(</w:t>
      </w:r>
      <w:r w:rsidR="5FF6EE08" w:rsidRPr="00F305B6">
        <w:rPr>
          <w:rFonts w:ascii="Times New Roman" w:eastAsiaTheme="minorEastAsia" w:hAnsi="Times New Roman"/>
          <w:b/>
          <w:bCs/>
        </w:rPr>
        <w:t>paragraph 19</w:t>
      </w:r>
      <w:r w:rsidR="5FF6EE08" w:rsidRPr="00F305B6">
        <w:rPr>
          <w:rFonts w:ascii="Times New Roman" w:eastAsiaTheme="minorEastAsia" w:hAnsi="Times New Roman"/>
        </w:rPr>
        <w:t>).</w:t>
      </w:r>
    </w:p>
    <w:p w14:paraId="1B97F7F1" w14:textId="2A6C66AF" w:rsidR="63EB07CC" w:rsidRPr="00F305B6" w:rsidRDefault="6C62A5A8" w:rsidP="00EB74B9">
      <w:pPr>
        <w:spacing w:after="120"/>
        <w:rPr>
          <w:rFonts w:ascii="Times New Roman" w:hAnsi="Times New Roman"/>
        </w:rPr>
      </w:pPr>
      <w:r w:rsidRPr="00F305B6">
        <w:rPr>
          <w:rFonts w:ascii="Times New Roman" w:hAnsi="Times New Roman"/>
        </w:rPr>
        <w:t>T</w:t>
      </w:r>
      <w:r w:rsidR="638B659D" w:rsidRPr="00F305B6">
        <w:rPr>
          <w:rFonts w:ascii="Times New Roman" w:hAnsi="Times New Roman"/>
        </w:rPr>
        <w:t xml:space="preserve">he Commission recalls that the Team Europe approach </w:t>
      </w:r>
      <w:r w:rsidR="638B659D" w:rsidRPr="00F305B6">
        <w:rPr>
          <w:rFonts w:ascii="Times New Roman" w:hAnsi="Times New Roman"/>
          <w:lang w:val="en-US"/>
        </w:rPr>
        <w:t xml:space="preserve">brings together </w:t>
      </w:r>
      <w:r w:rsidR="638B659D" w:rsidRPr="00F305B6">
        <w:rPr>
          <w:rFonts w:ascii="Times New Roman" w:hAnsi="Times New Roman"/>
        </w:rPr>
        <w:t xml:space="preserve">the EU and its Member States, </w:t>
      </w:r>
      <w:r w:rsidR="638B659D" w:rsidRPr="00F305B6">
        <w:rPr>
          <w:rFonts w:ascii="Times New Roman" w:hAnsi="Times New Roman"/>
          <w:lang w:val="en-US"/>
        </w:rPr>
        <w:t>including their development agencies and public development banks and development finance institutions, as well as the EIB and the EBRD</w:t>
      </w:r>
      <w:r w:rsidR="65759FF3" w:rsidRPr="00F305B6">
        <w:rPr>
          <w:rFonts w:ascii="Times New Roman" w:hAnsi="Times New Roman"/>
          <w:lang w:val="en-US"/>
        </w:rPr>
        <w:t xml:space="preserve"> and the private sector</w:t>
      </w:r>
      <w:r w:rsidR="638B659D" w:rsidRPr="00F305B6">
        <w:rPr>
          <w:rFonts w:ascii="Times New Roman" w:hAnsi="Times New Roman"/>
        </w:rPr>
        <w:t xml:space="preserve">. </w:t>
      </w:r>
      <w:r w:rsidR="65759FF3" w:rsidRPr="00F305B6">
        <w:rPr>
          <w:rFonts w:ascii="Times New Roman" w:hAnsi="Times New Roman"/>
        </w:rPr>
        <w:t>T</w:t>
      </w:r>
      <w:r w:rsidR="638B659D" w:rsidRPr="00F305B6">
        <w:rPr>
          <w:rFonts w:ascii="Times New Roman" w:hAnsi="Times New Roman"/>
        </w:rPr>
        <w:t>he Team Europe approach</w:t>
      </w:r>
      <w:r w:rsidR="65759FF3" w:rsidRPr="00F305B6">
        <w:rPr>
          <w:rFonts w:ascii="Times New Roman" w:hAnsi="Times New Roman"/>
        </w:rPr>
        <w:t xml:space="preserve"> </w:t>
      </w:r>
      <w:r w:rsidR="638B659D" w:rsidRPr="00F305B6">
        <w:rPr>
          <w:rFonts w:ascii="Times New Roman" w:hAnsi="Times New Roman"/>
        </w:rPr>
        <w:t xml:space="preserve">has a voluntary, flexible, and </w:t>
      </w:r>
      <w:r w:rsidR="65759FF3" w:rsidRPr="00F305B6">
        <w:rPr>
          <w:rFonts w:ascii="Times New Roman" w:hAnsi="Times New Roman"/>
        </w:rPr>
        <w:t>context-</w:t>
      </w:r>
      <w:r w:rsidR="638B659D" w:rsidRPr="00F305B6">
        <w:rPr>
          <w:rFonts w:ascii="Times New Roman" w:hAnsi="Times New Roman"/>
        </w:rPr>
        <w:t>driven nature</w:t>
      </w:r>
      <w:r w:rsidR="00F14874" w:rsidRPr="00F305B6">
        <w:rPr>
          <w:rFonts w:ascii="Times New Roman" w:hAnsi="Times New Roman"/>
        </w:rPr>
        <w:t xml:space="preserve">, </w:t>
      </w:r>
      <w:r w:rsidR="00F14874" w:rsidRPr="00F305B6">
        <w:rPr>
          <w:rFonts w:ascii="Times New Roman" w:hAnsi="Times New Roman"/>
          <w:szCs w:val="24"/>
        </w:rPr>
        <w:t>respecting existing decision-making procedures of the respective participants</w:t>
      </w:r>
      <w:r w:rsidR="638B659D" w:rsidRPr="00F305B6">
        <w:rPr>
          <w:rFonts w:ascii="Times New Roman" w:hAnsi="Times New Roman"/>
        </w:rPr>
        <w:t xml:space="preserve">. It is not prescriptive, but rather encourages to innovate and </w:t>
      </w:r>
      <w:r w:rsidR="7F40182A" w:rsidRPr="00F305B6">
        <w:rPr>
          <w:rFonts w:ascii="Times New Roman" w:hAnsi="Times New Roman"/>
        </w:rPr>
        <w:t>be pragmatic</w:t>
      </w:r>
      <w:r w:rsidR="638B659D" w:rsidRPr="00F305B6">
        <w:rPr>
          <w:rFonts w:ascii="Times New Roman" w:hAnsi="Times New Roman"/>
        </w:rPr>
        <w:t>. This also means that the roles within the Team Europe approach may vary depending on context</w:t>
      </w:r>
      <w:r w:rsidR="65759FF3" w:rsidRPr="00F305B6">
        <w:rPr>
          <w:rFonts w:ascii="Times New Roman" w:hAnsi="Times New Roman"/>
        </w:rPr>
        <w:t>/specific action</w:t>
      </w:r>
      <w:r w:rsidR="638B659D" w:rsidRPr="00F305B6">
        <w:rPr>
          <w:rFonts w:ascii="Times New Roman" w:hAnsi="Times New Roman"/>
        </w:rPr>
        <w:t xml:space="preserve">. </w:t>
      </w:r>
      <w:r w:rsidR="65759FF3" w:rsidRPr="00F305B6">
        <w:rPr>
          <w:rFonts w:ascii="Times New Roman" w:hAnsi="Times New Roman"/>
          <w:lang w:val="en-US"/>
        </w:rPr>
        <w:t xml:space="preserve">This however does not affect the </w:t>
      </w:r>
      <w:r w:rsidR="638B659D" w:rsidRPr="00F305B6">
        <w:rPr>
          <w:rFonts w:ascii="Times New Roman" w:hAnsi="Times New Roman"/>
          <w:lang w:val="en-US"/>
        </w:rPr>
        <w:t xml:space="preserve">respective competences and decision-making processes (including programming) </w:t>
      </w:r>
      <w:r w:rsidR="65759FF3" w:rsidRPr="00F305B6">
        <w:rPr>
          <w:rFonts w:ascii="Times New Roman" w:hAnsi="Times New Roman"/>
          <w:lang w:val="en-US"/>
        </w:rPr>
        <w:t xml:space="preserve">of the Team Europe </w:t>
      </w:r>
      <w:r w:rsidR="65759FF3" w:rsidRPr="00F305B6">
        <w:rPr>
          <w:rFonts w:ascii="Times New Roman" w:hAnsi="Times New Roman"/>
          <w:lang w:val="en-US"/>
        </w:rPr>
        <w:lastRenderedPageBreak/>
        <w:t>participants</w:t>
      </w:r>
      <w:r w:rsidR="638B659D" w:rsidRPr="00F305B6">
        <w:rPr>
          <w:rFonts w:ascii="Times New Roman" w:hAnsi="Times New Roman"/>
          <w:lang w:val="en-US"/>
        </w:rPr>
        <w:t>. For EU funds, the principles and provisions of the Treaties and other EU legislation (including the EU Financial Regulation) continue to apply also in the context of Team Europe</w:t>
      </w:r>
      <w:r w:rsidR="2C65E6AF" w:rsidRPr="00F305B6">
        <w:rPr>
          <w:rFonts w:ascii="Times New Roman" w:hAnsi="Times New Roman"/>
          <w:lang w:val="en-US"/>
        </w:rPr>
        <w:t xml:space="preserve"> Initiatives</w:t>
      </w:r>
      <w:r w:rsidR="41E4BAD6" w:rsidRPr="00F305B6">
        <w:rPr>
          <w:rFonts w:ascii="Times New Roman" w:hAnsi="Times New Roman"/>
          <w:lang w:val="en-US"/>
        </w:rPr>
        <w:t>.</w:t>
      </w:r>
      <w:r w:rsidR="5FF6EE08" w:rsidRPr="00F305B6">
        <w:rPr>
          <w:rFonts w:ascii="Times New Roman" w:hAnsi="Times New Roman"/>
        </w:rPr>
        <w:t xml:space="preserve"> There are tools that ensure </w:t>
      </w:r>
      <w:r w:rsidR="41E4BAD6" w:rsidRPr="00F305B6">
        <w:rPr>
          <w:rFonts w:ascii="Times New Roman" w:hAnsi="Times New Roman"/>
        </w:rPr>
        <w:t xml:space="preserve">transparency </w:t>
      </w:r>
      <w:r w:rsidR="5FF6EE08" w:rsidRPr="00F305B6">
        <w:rPr>
          <w:rFonts w:ascii="Times New Roman" w:hAnsi="Times New Roman"/>
        </w:rPr>
        <w:t xml:space="preserve">including the </w:t>
      </w:r>
      <w:r w:rsidR="41E4BAD6" w:rsidRPr="00F305B6">
        <w:rPr>
          <w:rFonts w:ascii="Times New Roman" w:hAnsi="Times New Roman"/>
        </w:rPr>
        <w:t>“Team Europe initiative and Joint Programming Tracker”</w:t>
      </w:r>
      <w:r w:rsidR="008C6974" w:rsidRPr="00F305B6">
        <w:rPr>
          <w:rStyle w:val="FootnoteReference"/>
          <w:rFonts w:ascii="Times New Roman" w:hAnsi="Times New Roman"/>
        </w:rPr>
        <w:footnoteReference w:id="6"/>
      </w:r>
      <w:r w:rsidR="41E4BAD6" w:rsidRPr="00F305B6">
        <w:rPr>
          <w:rFonts w:ascii="Times New Roman" w:hAnsi="Times New Roman"/>
        </w:rPr>
        <w:t>,</w:t>
      </w:r>
      <w:r w:rsidR="1CD60349" w:rsidRPr="00F305B6">
        <w:rPr>
          <w:rFonts w:ascii="Times New Roman" w:hAnsi="Times New Roman"/>
        </w:rPr>
        <w:t xml:space="preserve"> and</w:t>
      </w:r>
      <w:r w:rsidR="41E4BAD6" w:rsidRPr="00F305B6">
        <w:rPr>
          <w:rFonts w:ascii="Times New Roman" w:hAnsi="Times New Roman"/>
        </w:rPr>
        <w:t xml:space="preserve"> the “EU Aid Explorer”</w:t>
      </w:r>
      <w:r w:rsidR="00045E3C" w:rsidRPr="00F305B6">
        <w:rPr>
          <w:rStyle w:val="FootnoteReference"/>
          <w:rFonts w:ascii="Times New Roman" w:hAnsi="Times New Roman"/>
        </w:rPr>
        <w:footnoteReference w:id="7"/>
      </w:r>
      <w:r w:rsidR="41E4BAD6" w:rsidRPr="00F305B6">
        <w:rPr>
          <w:rFonts w:ascii="Times New Roman" w:hAnsi="Times New Roman"/>
        </w:rPr>
        <w:t>,</w:t>
      </w:r>
      <w:r w:rsidR="1CD60349" w:rsidRPr="00F305B6">
        <w:rPr>
          <w:rFonts w:ascii="Times New Roman" w:hAnsi="Times New Roman"/>
        </w:rPr>
        <w:t xml:space="preserve"> among others (</w:t>
      </w:r>
      <w:r w:rsidR="1CD60349" w:rsidRPr="00F305B6">
        <w:rPr>
          <w:rFonts w:ascii="Times New Roman" w:hAnsi="Times New Roman"/>
          <w:b/>
          <w:bCs/>
        </w:rPr>
        <w:t>paragraph 20</w:t>
      </w:r>
      <w:r w:rsidR="1CD60349" w:rsidRPr="00F305B6">
        <w:rPr>
          <w:rFonts w:ascii="Times New Roman" w:hAnsi="Times New Roman"/>
        </w:rPr>
        <w:t>).</w:t>
      </w:r>
    </w:p>
    <w:p w14:paraId="2F94689B" w14:textId="6CEA177F" w:rsidR="000618DF" w:rsidRPr="00F305B6" w:rsidRDefault="00E47CB8" w:rsidP="00EB74B9">
      <w:pPr>
        <w:spacing w:after="120"/>
        <w:rPr>
          <w:rFonts w:ascii="Times New Roman" w:hAnsi="Times New Roman"/>
        </w:rPr>
      </w:pPr>
      <w:r w:rsidRPr="00F305B6">
        <w:rPr>
          <w:rFonts w:ascii="Times New Roman" w:hAnsi="Times New Roman"/>
          <w:szCs w:val="24"/>
          <w:lang w:val="en-US"/>
        </w:rPr>
        <w:t>The implementation of the Global Gateway Strategy strongly benefit</w:t>
      </w:r>
      <w:r w:rsidR="00F14874" w:rsidRPr="00F305B6">
        <w:rPr>
          <w:rFonts w:ascii="Times New Roman" w:hAnsi="Times New Roman"/>
          <w:szCs w:val="24"/>
          <w:lang w:val="en-US"/>
        </w:rPr>
        <w:t>s</w:t>
      </w:r>
      <w:r w:rsidRPr="00F305B6">
        <w:rPr>
          <w:rFonts w:ascii="Times New Roman" w:hAnsi="Times New Roman"/>
          <w:szCs w:val="24"/>
          <w:lang w:val="en-US"/>
        </w:rPr>
        <w:t xml:space="preserve"> from the Team Europe approach. It </w:t>
      </w:r>
      <w:r w:rsidR="002A62DC" w:rsidRPr="00F305B6">
        <w:rPr>
          <w:rFonts w:ascii="Times New Roman" w:hAnsi="Times New Roman"/>
          <w:szCs w:val="24"/>
          <w:lang w:val="en-US"/>
        </w:rPr>
        <w:t xml:space="preserve">demonstrates the political commitment and the financial firepower of the EU institutions and Member States, the EU financial institutions and private sector. </w:t>
      </w:r>
      <w:r w:rsidR="72A1AD4D" w:rsidRPr="00F305B6">
        <w:rPr>
          <w:rFonts w:ascii="Times New Roman" w:hAnsi="Times New Roman"/>
          <w:lang w:val="en-US"/>
        </w:rPr>
        <w:t xml:space="preserve">The </w:t>
      </w:r>
      <w:r w:rsidR="1690973B" w:rsidRPr="00F305B6">
        <w:rPr>
          <w:rFonts w:ascii="Times New Roman" w:hAnsi="Times New Roman"/>
          <w:lang w:val="en-US"/>
        </w:rPr>
        <w:t>Global Gateway</w:t>
      </w:r>
      <w:r w:rsidR="600B2C80" w:rsidRPr="00F305B6">
        <w:rPr>
          <w:rFonts w:ascii="Times New Roman" w:hAnsi="Times New Roman"/>
          <w:lang w:val="en-US"/>
        </w:rPr>
        <w:t xml:space="preserve"> governance is </w:t>
      </w:r>
      <w:r w:rsidR="4CB2EE5C" w:rsidRPr="00F305B6">
        <w:rPr>
          <w:rFonts w:ascii="Times New Roman" w:hAnsi="Times New Roman"/>
          <w:lang w:val="en-US"/>
        </w:rPr>
        <w:t xml:space="preserve">flexible and </w:t>
      </w:r>
      <w:r w:rsidR="65759FF3" w:rsidRPr="00F305B6">
        <w:rPr>
          <w:rFonts w:ascii="Times New Roman" w:hAnsi="Times New Roman"/>
          <w:lang w:val="en-US"/>
        </w:rPr>
        <w:t>of informal nature</w:t>
      </w:r>
      <w:r w:rsidR="4CB2EE5C" w:rsidRPr="00F305B6">
        <w:rPr>
          <w:rFonts w:ascii="Times New Roman" w:hAnsi="Times New Roman"/>
          <w:lang w:val="en-US"/>
        </w:rPr>
        <w:t xml:space="preserve">. </w:t>
      </w:r>
      <w:r w:rsidR="1690973B" w:rsidRPr="00F305B6">
        <w:rPr>
          <w:rFonts w:ascii="Times New Roman" w:hAnsi="Times New Roman"/>
          <w:lang w:val="en-US"/>
        </w:rPr>
        <w:t xml:space="preserve">The European Council and </w:t>
      </w:r>
      <w:r w:rsidR="14B4833D" w:rsidRPr="00F305B6">
        <w:rPr>
          <w:rFonts w:ascii="Times New Roman" w:hAnsi="Times New Roman"/>
          <w:lang w:val="en-US"/>
        </w:rPr>
        <w:t xml:space="preserve">the </w:t>
      </w:r>
      <w:r w:rsidR="1690973B" w:rsidRPr="00F305B6">
        <w:rPr>
          <w:rFonts w:ascii="Times New Roman" w:hAnsi="Times New Roman"/>
          <w:lang w:val="en-US"/>
        </w:rPr>
        <w:t xml:space="preserve">Council </w:t>
      </w:r>
      <w:r w:rsidR="693C4726" w:rsidRPr="00F305B6">
        <w:rPr>
          <w:rFonts w:ascii="Times New Roman" w:hAnsi="Times New Roman"/>
          <w:lang w:val="en-US"/>
        </w:rPr>
        <w:t xml:space="preserve">of the EU </w:t>
      </w:r>
      <w:r w:rsidR="42016E94" w:rsidRPr="00F305B6">
        <w:rPr>
          <w:rFonts w:ascii="Times New Roman" w:hAnsi="Times New Roman"/>
          <w:lang w:val="en-US"/>
        </w:rPr>
        <w:t>are</w:t>
      </w:r>
      <w:r w:rsidR="1690973B" w:rsidRPr="00F305B6">
        <w:rPr>
          <w:rFonts w:ascii="Times New Roman" w:hAnsi="Times New Roman"/>
          <w:lang w:val="en-US"/>
        </w:rPr>
        <w:t xml:space="preserve"> </w:t>
      </w:r>
      <w:r w:rsidR="42016E94" w:rsidRPr="00F305B6">
        <w:rPr>
          <w:rFonts w:ascii="Times New Roman" w:hAnsi="Times New Roman"/>
          <w:lang w:val="en-US"/>
        </w:rPr>
        <w:t xml:space="preserve">to </w:t>
      </w:r>
      <w:r w:rsidR="1690973B" w:rsidRPr="00F305B6">
        <w:rPr>
          <w:rFonts w:ascii="Times New Roman" w:hAnsi="Times New Roman"/>
          <w:lang w:val="en-US"/>
        </w:rPr>
        <w:t>set Global Gateway policy priorities and ensure their consistency and effectiveness.</w:t>
      </w:r>
      <w:r w:rsidR="65759FF3" w:rsidRPr="00F305B6">
        <w:rPr>
          <w:rFonts w:ascii="Times New Roman" w:hAnsi="Times New Roman"/>
          <w:lang w:val="en-US"/>
        </w:rPr>
        <w:t xml:space="preserve"> </w:t>
      </w:r>
      <w:r w:rsidR="1690973B" w:rsidRPr="00F305B6">
        <w:rPr>
          <w:rFonts w:ascii="Times New Roman" w:hAnsi="Times New Roman"/>
          <w:lang w:val="en-US"/>
        </w:rPr>
        <w:t>The Commission and Member States implement the strategy together with European financial institutions and the private sector</w:t>
      </w:r>
      <w:r w:rsidR="18CE9E51" w:rsidRPr="00F305B6">
        <w:rPr>
          <w:rFonts w:ascii="Times New Roman" w:hAnsi="Times New Roman"/>
          <w:lang w:val="en-US"/>
        </w:rPr>
        <w:t>.</w:t>
      </w:r>
      <w:r w:rsidR="66A743B4" w:rsidRPr="00F305B6">
        <w:rPr>
          <w:rFonts w:ascii="Times New Roman" w:hAnsi="Times New Roman"/>
          <w:lang w:val="en-US"/>
        </w:rPr>
        <w:t xml:space="preserve"> Strategic steer and coordination are </w:t>
      </w:r>
      <w:r w:rsidR="715F347C" w:rsidRPr="00F305B6">
        <w:rPr>
          <w:rFonts w:ascii="Times New Roman" w:hAnsi="Times New Roman"/>
          <w:lang w:val="en-US"/>
        </w:rPr>
        <w:t xml:space="preserve">ensured by </w:t>
      </w:r>
      <w:r w:rsidR="3EDEB88C" w:rsidRPr="00F305B6">
        <w:rPr>
          <w:rFonts w:ascii="Times New Roman" w:hAnsi="Times New Roman"/>
          <w:lang w:val="en-US"/>
        </w:rPr>
        <w:t xml:space="preserve">the Committee of Permanent </w:t>
      </w:r>
      <w:r w:rsidR="7BE1E6D2" w:rsidRPr="00F305B6">
        <w:rPr>
          <w:rFonts w:ascii="Times New Roman" w:hAnsi="Times New Roman"/>
          <w:lang w:val="en-US"/>
        </w:rPr>
        <w:t>Representatives of the Governments of the Member States (COREPER)</w:t>
      </w:r>
      <w:r w:rsidR="67411A64" w:rsidRPr="00F305B6">
        <w:rPr>
          <w:rFonts w:ascii="Times New Roman" w:hAnsi="Times New Roman"/>
          <w:lang w:val="en-US"/>
        </w:rPr>
        <w:t xml:space="preserve"> </w:t>
      </w:r>
      <w:r w:rsidR="009B418E" w:rsidRPr="00F305B6">
        <w:rPr>
          <w:rFonts w:ascii="Times New Roman" w:hAnsi="Times New Roman"/>
          <w:lang w:val="en-US"/>
        </w:rPr>
        <w:t>and its preparatory bodies, w</w:t>
      </w:r>
      <w:r w:rsidR="5CCF5CA1" w:rsidRPr="00F305B6">
        <w:rPr>
          <w:rFonts w:ascii="Times New Roman" w:hAnsi="Times New Roman"/>
          <w:lang w:val="en-US"/>
        </w:rPr>
        <w:t xml:space="preserve">hile </w:t>
      </w:r>
      <w:r w:rsidR="3AEF812D" w:rsidRPr="00F305B6">
        <w:rPr>
          <w:rFonts w:ascii="Times New Roman" w:hAnsi="Times New Roman"/>
          <w:lang w:val="en-US"/>
        </w:rPr>
        <w:t xml:space="preserve">the strategy’s implementation falls under the remit </w:t>
      </w:r>
      <w:r w:rsidR="1C59B391" w:rsidRPr="00F305B6">
        <w:rPr>
          <w:rFonts w:ascii="Times New Roman" w:hAnsi="Times New Roman"/>
          <w:lang w:val="en-US"/>
        </w:rPr>
        <w:t>of the</w:t>
      </w:r>
      <w:r w:rsidR="09FE1680" w:rsidRPr="00F305B6">
        <w:rPr>
          <w:rFonts w:ascii="Times New Roman" w:hAnsi="Times New Roman"/>
          <w:lang w:val="en-US"/>
        </w:rPr>
        <w:t xml:space="preserve"> Global Gateway Board</w:t>
      </w:r>
      <w:r w:rsidR="1C59B391" w:rsidRPr="00F305B6">
        <w:rPr>
          <w:rFonts w:ascii="Times New Roman" w:hAnsi="Times New Roman"/>
          <w:lang w:val="en-US"/>
        </w:rPr>
        <w:t xml:space="preserve">, Steering Group and Business Advisory Group. </w:t>
      </w:r>
      <w:r w:rsidR="203B616A" w:rsidRPr="00F305B6">
        <w:rPr>
          <w:rFonts w:ascii="Times New Roman" w:hAnsi="Times New Roman"/>
          <w:lang w:val="en-US"/>
        </w:rPr>
        <w:t xml:space="preserve">Besides its role as an observer in the Global Gateway Board, the European Parliament </w:t>
      </w:r>
      <w:r w:rsidR="203B616A" w:rsidRPr="00F305B6">
        <w:rPr>
          <w:rFonts w:ascii="Times New Roman" w:hAnsi="Times New Roman"/>
        </w:rPr>
        <w:t>retains all the scrutiny rights for any EU budget-financed projects under NDICI-GE and can provide its feedback in the high-level geopolitical dialogues, or through its participation in the EFSD+ strategic board</w:t>
      </w:r>
      <w:r w:rsidR="1CD60349" w:rsidRPr="00F305B6">
        <w:rPr>
          <w:rFonts w:ascii="Times New Roman" w:hAnsi="Times New Roman"/>
        </w:rPr>
        <w:t xml:space="preserve"> </w:t>
      </w:r>
      <w:r w:rsidR="1CD60349" w:rsidRPr="00F305B6">
        <w:rPr>
          <w:rFonts w:ascii="Times New Roman" w:hAnsi="Times New Roman"/>
          <w:b/>
          <w:bCs/>
        </w:rPr>
        <w:t>(paragraph 21</w:t>
      </w:r>
      <w:r w:rsidR="1CD60349" w:rsidRPr="00F305B6">
        <w:rPr>
          <w:rFonts w:ascii="Times New Roman" w:hAnsi="Times New Roman"/>
        </w:rPr>
        <w:t>)</w:t>
      </w:r>
      <w:r w:rsidR="203B616A" w:rsidRPr="00F305B6">
        <w:rPr>
          <w:rFonts w:ascii="Times New Roman" w:hAnsi="Times New Roman"/>
        </w:rPr>
        <w:t>.</w:t>
      </w:r>
    </w:p>
    <w:p w14:paraId="5FB57547" w14:textId="12D0D1AE" w:rsidR="000618DF" w:rsidRPr="00F305B6" w:rsidRDefault="5C3C5352" w:rsidP="00EB74B9">
      <w:pPr>
        <w:spacing w:after="120"/>
        <w:rPr>
          <w:rFonts w:ascii="Times New Roman" w:hAnsi="Times New Roman"/>
          <w:szCs w:val="24"/>
        </w:rPr>
      </w:pPr>
      <w:r w:rsidRPr="00F305B6">
        <w:rPr>
          <w:rFonts w:ascii="Times New Roman" w:hAnsi="Times New Roman"/>
          <w:szCs w:val="24"/>
          <w:lang w:val="en-US"/>
        </w:rPr>
        <w:t xml:space="preserve">Global Gateway investment projects </w:t>
      </w:r>
      <w:r w:rsidRPr="00F305B6">
        <w:rPr>
          <w:rFonts w:ascii="Times New Roman" w:hAnsi="Times New Roman"/>
          <w:szCs w:val="24"/>
          <w:lang w:val="en-IE"/>
        </w:rPr>
        <w:t xml:space="preserve">combine investments in hard infrastructure </w:t>
      </w:r>
      <w:r w:rsidR="00BA42E9" w:rsidRPr="00F305B6">
        <w:rPr>
          <w:rFonts w:ascii="Times New Roman" w:hAnsi="Times New Roman"/>
          <w:szCs w:val="24"/>
          <w:lang w:val="en-IE"/>
        </w:rPr>
        <w:t>and</w:t>
      </w:r>
      <w:r w:rsidRPr="00F305B6">
        <w:rPr>
          <w:rFonts w:ascii="Times New Roman" w:hAnsi="Times New Roman"/>
          <w:szCs w:val="24"/>
          <w:lang w:val="en-IE"/>
        </w:rPr>
        <w:t xml:space="preserve"> enabling environment, regulatory frameworks, norms and standards, technology transfer, and know-how.</w:t>
      </w:r>
      <w:r w:rsidR="00045E3C" w:rsidRPr="00F305B6">
        <w:rPr>
          <w:rFonts w:ascii="Times New Roman" w:hAnsi="Times New Roman"/>
          <w:szCs w:val="24"/>
          <w:lang w:val="en-IE"/>
        </w:rPr>
        <w:t xml:space="preserve"> </w:t>
      </w:r>
      <w:r w:rsidRPr="00F305B6">
        <w:rPr>
          <w:rFonts w:ascii="Times New Roman" w:hAnsi="Times New Roman"/>
          <w:szCs w:val="24"/>
          <w:lang w:val="en-US"/>
        </w:rPr>
        <w:t>When providing support from the EU budget, the Commission includes a number of safeguards/obligations in the agreements with implementing partners, reflecting the applicable requirements of the NDICI-GE Regulation and the EU Financial Regulation including in the field of procurement. This also applies to Global Gateway projects financed from the EU budget.</w:t>
      </w:r>
    </w:p>
    <w:p w14:paraId="4FFAF24E" w14:textId="6B944FEE" w:rsidR="2EDD5FEA" w:rsidRPr="00E259BF" w:rsidRDefault="2EDD5FEA" w:rsidP="00EB74B9">
      <w:pPr>
        <w:spacing w:after="120"/>
        <w:rPr>
          <w:rFonts w:ascii="Times New Roman" w:hAnsi="Times New Roman"/>
          <w:szCs w:val="24"/>
        </w:rPr>
      </w:pPr>
      <w:r w:rsidRPr="00E259BF">
        <w:rPr>
          <w:rFonts w:ascii="Times New Roman" w:hAnsi="Times New Roman"/>
          <w:szCs w:val="24"/>
        </w:rPr>
        <w:t xml:space="preserve">EU Delegations </w:t>
      </w:r>
      <w:r w:rsidR="00045E3C" w:rsidRPr="00E259BF">
        <w:rPr>
          <w:rFonts w:ascii="Times New Roman" w:hAnsi="Times New Roman"/>
          <w:szCs w:val="24"/>
        </w:rPr>
        <w:t>consult</w:t>
      </w:r>
      <w:r w:rsidRPr="00E259BF">
        <w:rPr>
          <w:rFonts w:ascii="Times New Roman" w:hAnsi="Times New Roman"/>
          <w:szCs w:val="24"/>
        </w:rPr>
        <w:t xml:space="preserve"> local civil society in a systematic manner during the preparation </w:t>
      </w:r>
      <w:r w:rsidR="00BA42E9" w:rsidRPr="00E259BF">
        <w:rPr>
          <w:rFonts w:ascii="Times New Roman" w:hAnsi="Times New Roman"/>
          <w:szCs w:val="24"/>
        </w:rPr>
        <w:t xml:space="preserve">and the implementation </w:t>
      </w:r>
      <w:r w:rsidRPr="00E259BF">
        <w:rPr>
          <w:rFonts w:ascii="Times New Roman" w:hAnsi="Times New Roman"/>
          <w:szCs w:val="24"/>
        </w:rPr>
        <w:t>of Multiannual Indicative Programmes under the NDICI-</w:t>
      </w:r>
      <w:r w:rsidR="00BA42E9" w:rsidRPr="00E259BF">
        <w:rPr>
          <w:rFonts w:ascii="Times New Roman" w:hAnsi="Times New Roman"/>
          <w:szCs w:val="24"/>
        </w:rPr>
        <w:t>GE</w:t>
      </w:r>
      <w:r w:rsidRPr="00E259BF">
        <w:rPr>
          <w:rFonts w:ascii="Times New Roman" w:hAnsi="Times New Roman"/>
          <w:szCs w:val="24"/>
        </w:rPr>
        <w:t xml:space="preserve">. Engagement and consultations with civil society </w:t>
      </w:r>
      <w:r w:rsidR="00BA42E9" w:rsidRPr="00E259BF">
        <w:rPr>
          <w:rFonts w:ascii="Times New Roman" w:hAnsi="Times New Roman"/>
          <w:szCs w:val="24"/>
        </w:rPr>
        <w:t>take place</w:t>
      </w:r>
      <w:r w:rsidRPr="00E259BF">
        <w:rPr>
          <w:rFonts w:ascii="Times New Roman" w:hAnsi="Times New Roman"/>
          <w:szCs w:val="24"/>
        </w:rPr>
        <w:t xml:space="preserve"> throughout the entire cycle encompassing core steps of formulation, implementation, follow-up and steering. The “Global Gateway Civil Society and Local Authorities Dialogue Platform” </w:t>
      </w:r>
      <w:r w:rsidR="00743D19" w:rsidRPr="00E259BF">
        <w:rPr>
          <w:rFonts w:ascii="Times New Roman" w:hAnsi="Times New Roman"/>
          <w:szCs w:val="24"/>
        </w:rPr>
        <w:t>was</w:t>
      </w:r>
      <w:r w:rsidRPr="00E259BF">
        <w:rPr>
          <w:rFonts w:ascii="Times New Roman" w:hAnsi="Times New Roman"/>
          <w:szCs w:val="24"/>
        </w:rPr>
        <w:t xml:space="preserve"> launched on 24 October 2023 to facilitate the involvement of civil society and local authorities in Global Gateway at strategic level</w:t>
      </w:r>
      <w:r w:rsidR="00743D19" w:rsidRPr="00E259BF">
        <w:rPr>
          <w:rFonts w:ascii="Times New Roman" w:hAnsi="Times New Roman"/>
          <w:szCs w:val="24"/>
        </w:rPr>
        <w:t xml:space="preserve"> (</w:t>
      </w:r>
      <w:r w:rsidR="00743D19" w:rsidRPr="00E259BF">
        <w:rPr>
          <w:rFonts w:ascii="Times New Roman" w:hAnsi="Times New Roman"/>
          <w:b/>
          <w:bCs/>
          <w:szCs w:val="24"/>
        </w:rPr>
        <w:t>paragraph 22</w:t>
      </w:r>
      <w:r w:rsidR="00743D19" w:rsidRPr="00E259BF">
        <w:rPr>
          <w:rFonts w:ascii="Times New Roman" w:hAnsi="Times New Roman"/>
          <w:szCs w:val="24"/>
        </w:rPr>
        <w:t>)</w:t>
      </w:r>
      <w:r w:rsidRPr="00E259BF">
        <w:rPr>
          <w:rFonts w:ascii="Times New Roman" w:hAnsi="Times New Roman"/>
          <w:szCs w:val="24"/>
        </w:rPr>
        <w:t>.</w:t>
      </w:r>
    </w:p>
    <w:p w14:paraId="34B5D9CA" w14:textId="5190664A" w:rsidR="009F409A" w:rsidRPr="00F305B6" w:rsidRDefault="004F420F" w:rsidP="00EB74B9">
      <w:pPr>
        <w:spacing w:after="120"/>
        <w:rPr>
          <w:rFonts w:ascii="Times New Roman" w:hAnsi="Times New Roman"/>
          <w:szCs w:val="24"/>
        </w:rPr>
      </w:pPr>
      <w:r w:rsidRPr="00F305B6">
        <w:rPr>
          <w:rFonts w:ascii="Times New Roman" w:eastAsiaTheme="minorEastAsia" w:hAnsi="Times New Roman"/>
          <w:szCs w:val="24"/>
        </w:rPr>
        <w:t>The Commission</w:t>
      </w:r>
      <w:r w:rsidR="00D20C3C" w:rsidRPr="00F305B6">
        <w:rPr>
          <w:rFonts w:ascii="Times New Roman" w:eastAsiaTheme="minorEastAsia" w:hAnsi="Times New Roman"/>
          <w:szCs w:val="24"/>
        </w:rPr>
        <w:t xml:space="preserve"> ensures </w:t>
      </w:r>
      <w:r w:rsidR="005B2755" w:rsidRPr="00F305B6">
        <w:rPr>
          <w:rFonts w:ascii="Times New Roman" w:eastAsiaTheme="minorEastAsia" w:hAnsi="Times New Roman"/>
          <w:szCs w:val="24"/>
        </w:rPr>
        <w:t xml:space="preserve">consistent </w:t>
      </w:r>
      <w:r w:rsidR="00BA42E9" w:rsidRPr="00F305B6">
        <w:rPr>
          <w:rFonts w:ascii="Times New Roman" w:eastAsiaTheme="minorEastAsia" w:hAnsi="Times New Roman"/>
          <w:szCs w:val="24"/>
        </w:rPr>
        <w:t>flow of</w:t>
      </w:r>
      <w:r w:rsidR="005B2755" w:rsidRPr="00F305B6">
        <w:rPr>
          <w:rFonts w:ascii="Times New Roman" w:eastAsiaTheme="minorEastAsia" w:hAnsi="Times New Roman"/>
          <w:szCs w:val="24"/>
        </w:rPr>
        <w:t xml:space="preserve"> information </w:t>
      </w:r>
      <w:r w:rsidR="001A6D00" w:rsidRPr="00F305B6">
        <w:rPr>
          <w:rFonts w:ascii="Times New Roman" w:eastAsiaTheme="minorEastAsia" w:hAnsi="Times New Roman"/>
          <w:szCs w:val="24"/>
        </w:rPr>
        <w:t>with all EU institutions</w:t>
      </w:r>
      <w:r w:rsidR="009F4526" w:rsidRPr="00F305B6">
        <w:rPr>
          <w:rFonts w:ascii="Times New Roman" w:eastAsiaTheme="minorEastAsia" w:hAnsi="Times New Roman"/>
          <w:szCs w:val="24"/>
        </w:rPr>
        <w:t xml:space="preserve"> </w:t>
      </w:r>
      <w:r w:rsidR="00AC1027" w:rsidRPr="00F305B6">
        <w:rPr>
          <w:rFonts w:ascii="Times New Roman" w:eastAsiaTheme="minorEastAsia" w:hAnsi="Times New Roman"/>
          <w:szCs w:val="24"/>
        </w:rPr>
        <w:t xml:space="preserve">through </w:t>
      </w:r>
      <w:r w:rsidR="00BA42E9" w:rsidRPr="00F305B6">
        <w:rPr>
          <w:rFonts w:ascii="Times New Roman" w:eastAsiaTheme="minorEastAsia" w:hAnsi="Times New Roman"/>
          <w:szCs w:val="24"/>
        </w:rPr>
        <w:t>the established inter-institutional</w:t>
      </w:r>
      <w:r w:rsidR="00AC1027" w:rsidRPr="00F305B6">
        <w:rPr>
          <w:rFonts w:ascii="Times New Roman" w:eastAsiaTheme="minorEastAsia" w:hAnsi="Times New Roman"/>
          <w:szCs w:val="24"/>
        </w:rPr>
        <w:t xml:space="preserve"> channels</w:t>
      </w:r>
      <w:r w:rsidR="00BA42E9" w:rsidRPr="00F305B6">
        <w:rPr>
          <w:rFonts w:ascii="Times New Roman" w:eastAsiaTheme="minorEastAsia" w:hAnsi="Times New Roman"/>
          <w:szCs w:val="24"/>
        </w:rPr>
        <w:t>. Regarding the implementation of the NDICI-GE,</w:t>
      </w:r>
      <w:r w:rsidR="00AC1027" w:rsidRPr="00F305B6">
        <w:rPr>
          <w:rFonts w:ascii="Times New Roman" w:eastAsiaTheme="minorEastAsia" w:hAnsi="Times New Roman"/>
          <w:szCs w:val="24"/>
        </w:rPr>
        <w:t xml:space="preserve"> </w:t>
      </w:r>
      <w:r w:rsidR="0055710A" w:rsidRPr="00F305B6">
        <w:rPr>
          <w:rFonts w:ascii="Times New Roman" w:eastAsiaTheme="minorEastAsia" w:hAnsi="Times New Roman"/>
          <w:szCs w:val="24"/>
        </w:rPr>
        <w:t xml:space="preserve">the </w:t>
      </w:r>
      <w:r w:rsidR="0055710A" w:rsidRPr="00F305B6">
        <w:rPr>
          <w:rFonts w:ascii="Times New Roman" w:eastAsia="Calibri" w:hAnsi="Times New Roman"/>
          <w:szCs w:val="24"/>
        </w:rPr>
        <w:t>High-Level Geopolitical Dialogue</w:t>
      </w:r>
      <w:r w:rsidR="0001395F" w:rsidRPr="00F305B6">
        <w:rPr>
          <w:rFonts w:ascii="Times New Roman" w:eastAsia="Calibri" w:hAnsi="Times New Roman"/>
          <w:szCs w:val="24"/>
        </w:rPr>
        <w:t xml:space="preserve"> and the Parliament’s</w:t>
      </w:r>
      <w:r w:rsidR="750A6C5F" w:rsidRPr="00F305B6">
        <w:rPr>
          <w:rFonts w:ascii="Times New Roman" w:hAnsi="Times New Roman"/>
          <w:szCs w:val="24"/>
          <w:lang w:val="en-US"/>
        </w:rPr>
        <w:t xml:space="preserve"> participation in the EFSD+ </w:t>
      </w:r>
      <w:r w:rsidR="0001395F" w:rsidRPr="00F305B6">
        <w:rPr>
          <w:rFonts w:ascii="Times New Roman" w:hAnsi="Times New Roman"/>
          <w:szCs w:val="24"/>
          <w:lang w:val="en-US"/>
        </w:rPr>
        <w:t>Strategic Board present additional platforms for exchanges and information/document sharing</w:t>
      </w:r>
      <w:r w:rsidR="750A6C5F" w:rsidRPr="00F305B6">
        <w:rPr>
          <w:rFonts w:ascii="Times New Roman" w:hAnsi="Times New Roman"/>
          <w:szCs w:val="24"/>
          <w:lang w:val="en-US"/>
        </w:rPr>
        <w:t>. The Commission has also ensured dedicated exchanges with the Parliament on Global Gateway and will continue to do so in the future</w:t>
      </w:r>
      <w:r w:rsidR="00743D19" w:rsidRPr="00F305B6">
        <w:rPr>
          <w:rFonts w:ascii="Times New Roman" w:hAnsi="Times New Roman"/>
          <w:szCs w:val="24"/>
          <w:lang w:val="en-US"/>
        </w:rPr>
        <w:t xml:space="preserve"> (</w:t>
      </w:r>
      <w:r w:rsidR="00743D19" w:rsidRPr="00F305B6">
        <w:rPr>
          <w:rFonts w:ascii="Times New Roman" w:hAnsi="Times New Roman"/>
          <w:b/>
          <w:bCs/>
          <w:szCs w:val="24"/>
          <w:lang w:val="en-US"/>
        </w:rPr>
        <w:t>paragraph 24</w:t>
      </w:r>
      <w:r w:rsidR="00743D19" w:rsidRPr="00F305B6">
        <w:rPr>
          <w:rFonts w:ascii="Times New Roman" w:hAnsi="Times New Roman"/>
          <w:szCs w:val="24"/>
          <w:lang w:val="en-US"/>
        </w:rPr>
        <w:t>)</w:t>
      </w:r>
      <w:r w:rsidR="750A6C5F" w:rsidRPr="00F305B6">
        <w:rPr>
          <w:rFonts w:ascii="Times New Roman" w:hAnsi="Times New Roman"/>
          <w:szCs w:val="24"/>
          <w:lang w:val="en-US"/>
        </w:rPr>
        <w:t>.</w:t>
      </w:r>
    </w:p>
    <w:p w14:paraId="00623DD0" w14:textId="0EE99041" w:rsidR="74237B81" w:rsidRPr="00F305B6" w:rsidRDefault="61403F04" w:rsidP="00EB74B9">
      <w:pPr>
        <w:spacing w:after="120"/>
        <w:rPr>
          <w:rFonts w:ascii="Times New Roman" w:eastAsia="Calibri" w:hAnsi="Times New Roman"/>
        </w:rPr>
      </w:pPr>
      <w:r w:rsidRPr="00F305B6">
        <w:rPr>
          <w:rFonts w:ascii="Times New Roman" w:hAnsi="Times New Roman"/>
        </w:rPr>
        <w:t>T</w:t>
      </w:r>
      <w:r w:rsidR="186BA56C" w:rsidRPr="00F305B6">
        <w:rPr>
          <w:rFonts w:ascii="Times New Roman" w:hAnsi="Times New Roman"/>
        </w:rPr>
        <w:t xml:space="preserve">he Commission considers that </w:t>
      </w:r>
      <w:r w:rsidR="41521093" w:rsidRPr="00F305B6">
        <w:rPr>
          <w:rFonts w:ascii="Times New Roman" w:hAnsi="Times New Roman"/>
        </w:rPr>
        <w:t>the creation of additional budget lines could undermine one of the most important improvements of the NDICI-GE</w:t>
      </w:r>
      <w:r w:rsidR="46A5A9EF" w:rsidRPr="00F305B6">
        <w:rPr>
          <w:rFonts w:ascii="Times New Roman" w:hAnsi="Times New Roman"/>
        </w:rPr>
        <w:t>,</w:t>
      </w:r>
      <w:r w:rsidR="41521093" w:rsidRPr="00F305B6">
        <w:rPr>
          <w:rFonts w:ascii="Times New Roman" w:hAnsi="Times New Roman"/>
        </w:rPr>
        <w:t xml:space="preserve"> which is to overcome the fragmentation of the previous external action instruments and to provide the flexibility </w:t>
      </w:r>
      <w:r w:rsidR="6C62A5A8" w:rsidRPr="00F305B6">
        <w:rPr>
          <w:rFonts w:ascii="Times New Roman" w:hAnsi="Times New Roman"/>
        </w:rPr>
        <w:t>needed for implementation</w:t>
      </w:r>
      <w:r w:rsidR="46A5A9EF" w:rsidRPr="00F305B6">
        <w:rPr>
          <w:rFonts w:ascii="Times New Roman" w:hAnsi="Times New Roman"/>
        </w:rPr>
        <w:t xml:space="preserve"> of the EU external action</w:t>
      </w:r>
      <w:r w:rsidR="41521093" w:rsidRPr="00F305B6">
        <w:rPr>
          <w:rFonts w:ascii="Times New Roman" w:hAnsi="Times New Roman"/>
        </w:rPr>
        <w:t>.</w:t>
      </w:r>
      <w:r w:rsidR="1DFE3A45" w:rsidRPr="00F305B6">
        <w:rPr>
          <w:rFonts w:ascii="Times New Roman" w:hAnsi="Times New Roman"/>
        </w:rPr>
        <w:t xml:space="preserve"> Further breaking down the budget lines would present significant challenges for </w:t>
      </w:r>
      <w:r w:rsidR="5CA9E6D1" w:rsidRPr="00F305B6">
        <w:rPr>
          <w:rFonts w:ascii="Times New Roman" w:hAnsi="Times New Roman"/>
        </w:rPr>
        <w:t xml:space="preserve">sound </w:t>
      </w:r>
      <w:r w:rsidR="1DFE3A45" w:rsidRPr="00F305B6">
        <w:rPr>
          <w:rFonts w:ascii="Times New Roman" w:hAnsi="Times New Roman"/>
        </w:rPr>
        <w:t>financial management</w:t>
      </w:r>
      <w:r w:rsidR="46A5A9EF" w:rsidRPr="00F305B6">
        <w:rPr>
          <w:rFonts w:ascii="Times New Roman" w:hAnsi="Times New Roman"/>
        </w:rPr>
        <w:t>,</w:t>
      </w:r>
      <w:r w:rsidR="1DFE3A45" w:rsidRPr="00F305B6">
        <w:rPr>
          <w:rFonts w:ascii="Times New Roman" w:hAnsi="Times New Roman"/>
        </w:rPr>
        <w:t xml:space="preserve"> given the reduction of t</w:t>
      </w:r>
      <w:r w:rsidR="1374BB8F" w:rsidRPr="00F305B6">
        <w:rPr>
          <w:rFonts w:ascii="Times New Roman" w:hAnsi="Times New Roman"/>
        </w:rPr>
        <w:t xml:space="preserve">he </w:t>
      </w:r>
      <w:r w:rsidR="1DFE3A45" w:rsidRPr="00F305B6">
        <w:rPr>
          <w:rFonts w:ascii="Times New Roman" w:hAnsi="Times New Roman"/>
        </w:rPr>
        <w:t xml:space="preserve">amounts </w:t>
      </w:r>
      <w:r w:rsidR="0840F596" w:rsidRPr="00F305B6">
        <w:rPr>
          <w:rFonts w:ascii="Times New Roman" w:hAnsi="Times New Roman"/>
        </w:rPr>
        <w:t>covered by each budget line</w:t>
      </w:r>
      <w:r w:rsidR="1DFE3A45" w:rsidRPr="00F305B6">
        <w:rPr>
          <w:rFonts w:ascii="Times New Roman" w:hAnsi="Times New Roman"/>
        </w:rPr>
        <w:t xml:space="preserve">. </w:t>
      </w:r>
      <w:r w:rsidR="1DFE3A45" w:rsidRPr="00F305B6">
        <w:rPr>
          <w:rFonts w:ascii="Times New Roman" w:eastAsiaTheme="minorEastAsia" w:hAnsi="Times New Roman"/>
        </w:rPr>
        <w:t xml:space="preserve">Creating numerous sub-regions </w:t>
      </w:r>
      <w:r w:rsidR="2F51F5E0" w:rsidRPr="00F305B6">
        <w:rPr>
          <w:rFonts w:ascii="Times New Roman" w:eastAsiaTheme="minorEastAsia" w:hAnsi="Times New Roman"/>
        </w:rPr>
        <w:t>could</w:t>
      </w:r>
      <w:r w:rsidR="1DFE3A45" w:rsidRPr="00F305B6">
        <w:rPr>
          <w:rFonts w:ascii="Times New Roman" w:eastAsiaTheme="minorEastAsia" w:hAnsi="Times New Roman"/>
        </w:rPr>
        <w:t xml:space="preserve"> also result in </w:t>
      </w:r>
      <w:r w:rsidR="1DFE3A45" w:rsidRPr="00F305B6">
        <w:rPr>
          <w:rFonts w:ascii="Times New Roman" w:eastAsiaTheme="minorEastAsia" w:hAnsi="Times New Roman"/>
        </w:rPr>
        <w:lastRenderedPageBreak/>
        <w:t>difficulties to fund actions of continental/regional character, which might concern different configurations of countries, depending on the specific needs/context.</w:t>
      </w:r>
      <w:r w:rsidR="229E99B9" w:rsidRPr="00F305B6">
        <w:rPr>
          <w:rFonts w:ascii="Times New Roman" w:eastAsiaTheme="minorEastAsia" w:hAnsi="Times New Roman"/>
        </w:rPr>
        <w:t xml:space="preserve"> </w:t>
      </w:r>
      <w:r w:rsidR="229E99B9" w:rsidRPr="00F305B6">
        <w:rPr>
          <w:rFonts w:ascii="Times New Roman" w:eastAsia="Calibri" w:hAnsi="Times New Roman"/>
        </w:rPr>
        <w:t xml:space="preserve">The Commission will continue to report in accordance with the </w:t>
      </w:r>
      <w:r w:rsidR="6C62A5A8" w:rsidRPr="00F305B6">
        <w:rPr>
          <w:rFonts w:ascii="Times New Roman" w:eastAsia="Calibri" w:hAnsi="Times New Roman"/>
        </w:rPr>
        <w:t>NDICI-GE</w:t>
      </w:r>
      <w:r w:rsidR="229E99B9" w:rsidRPr="00F305B6">
        <w:rPr>
          <w:rFonts w:ascii="Times New Roman" w:eastAsia="Calibri" w:hAnsi="Times New Roman"/>
        </w:rPr>
        <w:t xml:space="preserve"> Regulation, the Financial Regulation and the </w:t>
      </w:r>
      <w:r w:rsidR="46A5A9EF" w:rsidRPr="00F305B6">
        <w:rPr>
          <w:rFonts w:ascii="Times New Roman" w:eastAsia="Calibri" w:hAnsi="Times New Roman"/>
        </w:rPr>
        <w:t>annual budget exercise</w:t>
      </w:r>
      <w:r w:rsidR="229E99B9" w:rsidRPr="00F305B6">
        <w:rPr>
          <w:rFonts w:ascii="Times New Roman" w:eastAsia="Calibri" w:hAnsi="Times New Roman"/>
        </w:rPr>
        <w:t xml:space="preserve">, in addition to regularly providing updates through the </w:t>
      </w:r>
      <w:r w:rsidR="46A5A9EF" w:rsidRPr="00F305B6">
        <w:rPr>
          <w:rFonts w:ascii="Times New Roman" w:eastAsia="Calibri" w:hAnsi="Times New Roman"/>
        </w:rPr>
        <w:t xml:space="preserve">governance structures </w:t>
      </w:r>
      <w:r w:rsidR="229E99B9" w:rsidRPr="00F305B6">
        <w:rPr>
          <w:rFonts w:ascii="Times New Roman" w:eastAsia="Calibri" w:hAnsi="Times New Roman"/>
        </w:rPr>
        <w:t>of the EFSD+</w:t>
      </w:r>
      <w:r w:rsidR="6C62A5A8" w:rsidRPr="00F305B6">
        <w:rPr>
          <w:rFonts w:ascii="Times New Roman" w:eastAsia="Calibri" w:hAnsi="Times New Roman"/>
        </w:rPr>
        <w:t xml:space="preserve"> (</w:t>
      </w:r>
      <w:r w:rsidR="6C62A5A8" w:rsidRPr="00F305B6">
        <w:rPr>
          <w:rFonts w:ascii="Times New Roman" w:eastAsia="Calibri" w:hAnsi="Times New Roman"/>
          <w:b/>
          <w:bCs/>
        </w:rPr>
        <w:t>paragraph 25</w:t>
      </w:r>
      <w:r w:rsidR="6C62A5A8" w:rsidRPr="00F305B6">
        <w:rPr>
          <w:rFonts w:ascii="Times New Roman" w:eastAsia="Calibri" w:hAnsi="Times New Roman"/>
        </w:rPr>
        <w:t>).</w:t>
      </w:r>
    </w:p>
    <w:p w14:paraId="3441AAF1" w14:textId="34A43017" w:rsidR="001431F9" w:rsidRPr="00F305B6" w:rsidRDefault="001431F9" w:rsidP="00EB74B9">
      <w:pPr>
        <w:spacing w:after="120"/>
        <w:rPr>
          <w:rFonts w:ascii="Times New Roman" w:hAnsi="Times New Roman"/>
          <w:b/>
          <w:bCs/>
          <w:szCs w:val="24"/>
        </w:rPr>
      </w:pPr>
      <w:r w:rsidRPr="00F305B6">
        <w:rPr>
          <w:rFonts w:ascii="Times New Roman" w:hAnsi="Times New Roman"/>
          <w:szCs w:val="24"/>
        </w:rPr>
        <w:t xml:space="preserve">The Commission agrees that maximising EU’s impact in fragile and conflict-affected countries and regions through effective, coordinated, and coherent implementation of the humanitarian-development-peace nexus is a key element of a </w:t>
      </w:r>
      <w:r w:rsidR="0001395F" w:rsidRPr="00F305B6">
        <w:rPr>
          <w:rFonts w:ascii="Times New Roman" w:hAnsi="Times New Roman"/>
          <w:szCs w:val="24"/>
        </w:rPr>
        <w:t xml:space="preserve">stronger </w:t>
      </w:r>
      <w:r w:rsidRPr="00F305B6">
        <w:rPr>
          <w:rFonts w:ascii="Times New Roman" w:hAnsi="Times New Roman"/>
          <w:szCs w:val="24"/>
        </w:rPr>
        <w:t xml:space="preserve">Europe in the </w:t>
      </w:r>
      <w:r w:rsidR="0001395F" w:rsidRPr="00F305B6">
        <w:rPr>
          <w:rFonts w:ascii="Times New Roman" w:hAnsi="Times New Roman"/>
          <w:szCs w:val="24"/>
        </w:rPr>
        <w:t xml:space="preserve">world </w:t>
      </w:r>
      <w:r w:rsidRPr="00F305B6">
        <w:rPr>
          <w:rFonts w:ascii="Times New Roman" w:hAnsi="Times New Roman"/>
          <w:b/>
          <w:bCs/>
          <w:szCs w:val="24"/>
        </w:rPr>
        <w:t>(paragraph 34)</w:t>
      </w:r>
      <w:r w:rsidRPr="00E259BF">
        <w:rPr>
          <w:rFonts w:ascii="Times New Roman" w:hAnsi="Times New Roman"/>
          <w:szCs w:val="24"/>
        </w:rPr>
        <w:t>.</w:t>
      </w:r>
    </w:p>
    <w:sectPr w:rsidR="001431F9" w:rsidRPr="00F30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0B16" w14:textId="77777777" w:rsidR="00894578" w:rsidRDefault="00894578" w:rsidP="00F42613">
      <w:pPr>
        <w:spacing w:after="0"/>
      </w:pPr>
      <w:r>
        <w:separator/>
      </w:r>
    </w:p>
  </w:endnote>
  <w:endnote w:type="continuationSeparator" w:id="0">
    <w:p w14:paraId="67F31258" w14:textId="77777777" w:rsidR="00894578" w:rsidRDefault="00894578" w:rsidP="00F42613">
      <w:pPr>
        <w:spacing w:after="0"/>
      </w:pPr>
      <w:r>
        <w:continuationSeparator/>
      </w:r>
    </w:p>
  </w:endnote>
  <w:endnote w:type="continuationNotice" w:id="1">
    <w:p w14:paraId="517639BB" w14:textId="77777777" w:rsidR="00894578" w:rsidRDefault="00894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0179" w14:textId="77777777" w:rsidR="00894578" w:rsidRDefault="00894578" w:rsidP="00F42613">
      <w:pPr>
        <w:spacing w:after="0"/>
      </w:pPr>
      <w:r>
        <w:separator/>
      </w:r>
    </w:p>
  </w:footnote>
  <w:footnote w:type="continuationSeparator" w:id="0">
    <w:p w14:paraId="7E7876BC" w14:textId="77777777" w:rsidR="00894578" w:rsidRDefault="00894578" w:rsidP="00F42613">
      <w:pPr>
        <w:spacing w:after="0"/>
      </w:pPr>
      <w:r>
        <w:continuationSeparator/>
      </w:r>
    </w:p>
  </w:footnote>
  <w:footnote w:type="continuationNotice" w:id="1">
    <w:p w14:paraId="5A278F7E" w14:textId="77777777" w:rsidR="00894578" w:rsidRDefault="00894578">
      <w:pPr>
        <w:spacing w:after="0"/>
      </w:pPr>
    </w:p>
  </w:footnote>
  <w:footnote w:id="2">
    <w:p w14:paraId="048B5E70" w14:textId="6A060EA9" w:rsidR="00045E3C" w:rsidRPr="00EB74B9" w:rsidRDefault="00045E3C" w:rsidP="00C64F24">
      <w:pPr>
        <w:pStyle w:val="FootnoteText"/>
        <w:spacing w:after="0"/>
      </w:pPr>
      <w:r w:rsidRPr="00C64F24">
        <w:rPr>
          <w:rFonts w:ascii="Times New Roman" w:hAnsi="Times New Roman"/>
          <w:sz w:val="18"/>
          <w:szCs w:val="18"/>
        </w:rPr>
        <w:footnoteRef/>
      </w:r>
      <w:r w:rsidRPr="00C64F24">
        <w:rPr>
          <w:rFonts w:ascii="Times New Roman" w:hAnsi="Times New Roman"/>
          <w:sz w:val="18"/>
          <w:szCs w:val="18"/>
        </w:rPr>
        <w:t xml:space="preserve"> </w:t>
      </w:r>
      <w:r w:rsidR="00EB74B9">
        <w:rPr>
          <w:rFonts w:ascii="Times New Roman" w:hAnsi="Times New Roman"/>
          <w:sz w:val="18"/>
          <w:szCs w:val="18"/>
        </w:rPr>
        <w:tab/>
      </w:r>
      <w:r w:rsidRPr="00EB74B9">
        <w:rPr>
          <w:rFonts w:ascii="Times New Roman" w:hAnsi="Times New Roman"/>
        </w:rPr>
        <w:t>SWD</w:t>
      </w:r>
      <w:r w:rsidR="00FA3B9B" w:rsidRPr="00EB74B9">
        <w:rPr>
          <w:rFonts w:ascii="Times New Roman" w:hAnsi="Times New Roman"/>
        </w:rPr>
        <w:t xml:space="preserve"> </w:t>
      </w:r>
      <w:r w:rsidRPr="00EB74B9">
        <w:rPr>
          <w:rFonts w:ascii="Times New Roman" w:hAnsi="Times New Roman"/>
        </w:rPr>
        <w:t>(2022) 22 final</w:t>
      </w:r>
    </w:p>
  </w:footnote>
  <w:footnote w:id="3">
    <w:p w14:paraId="185BFC21" w14:textId="260B68AF" w:rsidR="00743D19" w:rsidRPr="00EB74B9" w:rsidRDefault="00743D19" w:rsidP="00FE05C9">
      <w:pPr>
        <w:pStyle w:val="FootnoteText"/>
        <w:spacing w:after="0"/>
      </w:pPr>
      <w:r w:rsidRPr="00FE05C9">
        <w:rPr>
          <w:rFonts w:ascii="Times New Roman" w:hAnsi="Times New Roman"/>
          <w:sz w:val="18"/>
          <w:szCs w:val="18"/>
        </w:rPr>
        <w:footnoteRef/>
      </w:r>
      <w:r w:rsidRPr="00FE05C9">
        <w:rPr>
          <w:rFonts w:ascii="Times New Roman" w:hAnsi="Times New Roman"/>
          <w:sz w:val="18"/>
          <w:szCs w:val="18"/>
        </w:rPr>
        <w:t xml:space="preserve"> </w:t>
      </w:r>
      <w:r w:rsidR="00EB74B9">
        <w:rPr>
          <w:rFonts w:ascii="Times New Roman" w:hAnsi="Times New Roman"/>
          <w:sz w:val="18"/>
          <w:szCs w:val="18"/>
        </w:rPr>
        <w:tab/>
      </w:r>
      <w:r w:rsidRPr="00EB74B9">
        <w:rPr>
          <w:rFonts w:ascii="Times New Roman" w:hAnsi="Times New Roman"/>
        </w:rPr>
        <w:t>SWD(2021) 179 final</w:t>
      </w:r>
    </w:p>
  </w:footnote>
  <w:footnote w:id="4">
    <w:p w14:paraId="7CDF3B7E" w14:textId="05443E01" w:rsidR="008C6974" w:rsidRPr="00EB74B9" w:rsidRDefault="008C6974" w:rsidP="00C41EC5">
      <w:pPr>
        <w:pStyle w:val="FootnoteText"/>
        <w:spacing w:after="0"/>
        <w:rPr>
          <w:rFonts w:ascii="Times New Roman" w:hAnsi="Times New Roman"/>
          <w:lang w:val="pt-PT"/>
        </w:rPr>
      </w:pPr>
      <w:r w:rsidRPr="00C41EC5">
        <w:rPr>
          <w:rFonts w:ascii="Times New Roman" w:hAnsi="Times New Roman"/>
          <w:sz w:val="18"/>
          <w:szCs w:val="18"/>
        </w:rPr>
        <w:footnoteRef/>
      </w:r>
      <w:r w:rsidRPr="00C41EC5">
        <w:rPr>
          <w:rFonts w:ascii="Times New Roman" w:hAnsi="Times New Roman"/>
          <w:sz w:val="18"/>
          <w:szCs w:val="18"/>
        </w:rPr>
        <w:t xml:space="preserve"> </w:t>
      </w:r>
      <w:r w:rsidR="00EB74B9">
        <w:rPr>
          <w:rFonts w:ascii="Times New Roman" w:hAnsi="Times New Roman"/>
          <w:sz w:val="18"/>
          <w:szCs w:val="18"/>
        </w:rPr>
        <w:tab/>
      </w:r>
      <w:r w:rsidR="00045E3C" w:rsidRPr="00EB74B9">
        <w:rPr>
          <w:rFonts w:ascii="Times New Roman" w:hAnsi="Times New Roman"/>
        </w:rPr>
        <w:t xml:space="preserve">Leading the call for LGBTIQ equality around the world. </w:t>
      </w:r>
      <w:r w:rsidRPr="00EB74B9">
        <w:rPr>
          <w:rFonts w:ascii="Times New Roman" w:hAnsi="Times New Roman"/>
          <w:lang w:val="pt-PT"/>
        </w:rPr>
        <w:t>2020-2025 COM</w:t>
      </w:r>
      <w:r w:rsidR="00FA3B9B" w:rsidRPr="00EB74B9">
        <w:rPr>
          <w:rFonts w:ascii="Times New Roman" w:hAnsi="Times New Roman"/>
          <w:lang w:val="pt-PT"/>
        </w:rPr>
        <w:t xml:space="preserve"> </w:t>
      </w:r>
      <w:r w:rsidRPr="00EB74B9">
        <w:rPr>
          <w:rFonts w:ascii="Times New Roman" w:hAnsi="Times New Roman"/>
          <w:lang w:val="pt-PT"/>
        </w:rPr>
        <w:t>(2020) 698 final</w:t>
      </w:r>
    </w:p>
  </w:footnote>
  <w:footnote w:id="5">
    <w:p w14:paraId="50C0DACC" w14:textId="1D8AD2FF" w:rsidR="00C41EC5" w:rsidRPr="00EB74B9" w:rsidRDefault="00C41EC5" w:rsidP="00C41EC5">
      <w:pPr>
        <w:pStyle w:val="FootnoteText"/>
        <w:spacing w:after="0"/>
        <w:rPr>
          <w:rFonts w:ascii="Times New Roman" w:hAnsi="Times New Roman"/>
          <w:lang w:val="pt-PT"/>
        </w:rPr>
      </w:pPr>
      <w:r w:rsidRPr="00EB74B9">
        <w:rPr>
          <w:rFonts w:ascii="Times New Roman" w:hAnsi="Times New Roman"/>
        </w:rPr>
        <w:footnoteRef/>
      </w:r>
      <w:r w:rsidRPr="00EB74B9">
        <w:rPr>
          <w:rFonts w:ascii="Times New Roman" w:hAnsi="Times New Roman"/>
          <w:lang w:val="pt-PT"/>
        </w:rPr>
        <w:t xml:space="preserve"> </w:t>
      </w:r>
      <w:r w:rsidR="00EB74B9" w:rsidRPr="00EB74B9">
        <w:rPr>
          <w:rFonts w:ascii="Times New Roman" w:hAnsi="Times New Roman"/>
          <w:lang w:val="pt-PT"/>
        </w:rPr>
        <w:tab/>
      </w:r>
      <w:r w:rsidRPr="00EB74B9">
        <w:rPr>
          <w:rFonts w:ascii="Times New Roman" w:hAnsi="Times New Roman"/>
          <w:lang w:val="pt-PT"/>
        </w:rPr>
        <w:t>JOIN</w:t>
      </w:r>
      <w:r w:rsidR="00FA3B9B" w:rsidRPr="00EB74B9">
        <w:rPr>
          <w:rFonts w:ascii="Times New Roman" w:hAnsi="Times New Roman"/>
          <w:lang w:val="pt-PT"/>
        </w:rPr>
        <w:t xml:space="preserve"> </w:t>
      </w:r>
      <w:r w:rsidRPr="00EB74B9">
        <w:rPr>
          <w:rFonts w:ascii="Times New Roman" w:hAnsi="Times New Roman"/>
          <w:lang w:val="pt-PT"/>
        </w:rPr>
        <w:t>(2023) 36 final</w:t>
      </w:r>
    </w:p>
  </w:footnote>
  <w:footnote w:id="6">
    <w:p w14:paraId="56925EF6" w14:textId="2F15D479" w:rsidR="008C6974" w:rsidRPr="00EB74B9" w:rsidRDefault="008C6974" w:rsidP="00FA3B9B">
      <w:pPr>
        <w:pStyle w:val="FootnoteText"/>
        <w:spacing w:after="0"/>
        <w:rPr>
          <w:rFonts w:ascii="Times New Roman" w:hAnsi="Times New Roman"/>
          <w:lang w:val="pt-PT"/>
        </w:rPr>
      </w:pPr>
      <w:r w:rsidRPr="00FA3B9B">
        <w:rPr>
          <w:rFonts w:ascii="Times New Roman" w:hAnsi="Times New Roman"/>
          <w:sz w:val="18"/>
          <w:szCs w:val="18"/>
        </w:rPr>
        <w:footnoteRef/>
      </w:r>
      <w:r w:rsidRPr="005C2953">
        <w:rPr>
          <w:rFonts w:ascii="Times New Roman" w:hAnsi="Times New Roman"/>
          <w:sz w:val="18"/>
          <w:szCs w:val="18"/>
          <w:lang w:val="pt-PT"/>
        </w:rPr>
        <w:t xml:space="preserve"> </w:t>
      </w:r>
      <w:r w:rsidR="00EB74B9">
        <w:rPr>
          <w:rFonts w:ascii="Times New Roman" w:hAnsi="Times New Roman"/>
          <w:sz w:val="18"/>
          <w:szCs w:val="18"/>
          <w:lang w:val="pt-PT"/>
        </w:rPr>
        <w:tab/>
      </w:r>
      <w:hyperlink r:id="rId1" w:history="1">
        <w:r w:rsidR="00EB74B9" w:rsidRPr="00EB74B9">
          <w:rPr>
            <w:rStyle w:val="Hyperlink"/>
            <w:rFonts w:ascii="Times New Roman" w:hAnsi="Times New Roman"/>
            <w:lang w:val="pt-PT"/>
          </w:rPr>
          <w:t>https://capacity4dev.europa.eu/resources/team-europe-tracker_en</w:t>
        </w:r>
      </w:hyperlink>
      <w:r w:rsidRPr="00EB74B9">
        <w:rPr>
          <w:rFonts w:ascii="Times New Roman" w:hAnsi="Times New Roman"/>
          <w:lang w:val="pt-PT"/>
        </w:rPr>
        <w:t xml:space="preserve"> </w:t>
      </w:r>
    </w:p>
  </w:footnote>
  <w:footnote w:id="7">
    <w:p w14:paraId="24B85BC6" w14:textId="0C90FE2B" w:rsidR="00045E3C" w:rsidRPr="00EB74B9" w:rsidRDefault="00045E3C" w:rsidP="00FA3B9B">
      <w:pPr>
        <w:pStyle w:val="FootnoteText"/>
        <w:spacing w:after="0"/>
        <w:rPr>
          <w:lang w:val="pt-PT"/>
        </w:rPr>
      </w:pPr>
      <w:r w:rsidRPr="00EB74B9">
        <w:rPr>
          <w:rFonts w:ascii="Times New Roman" w:hAnsi="Times New Roman"/>
        </w:rPr>
        <w:footnoteRef/>
      </w:r>
      <w:r w:rsidRPr="00EB74B9">
        <w:rPr>
          <w:rFonts w:ascii="Times New Roman" w:hAnsi="Times New Roman"/>
          <w:lang w:val="pt-PT"/>
        </w:rPr>
        <w:t xml:space="preserve"> </w:t>
      </w:r>
      <w:r w:rsidR="00EB74B9" w:rsidRPr="00EB74B9">
        <w:rPr>
          <w:rFonts w:ascii="Times New Roman" w:hAnsi="Times New Roman"/>
          <w:lang w:val="pt-PT"/>
        </w:rPr>
        <w:tab/>
      </w:r>
      <w:hyperlink r:id="rId2" w:history="1">
        <w:r w:rsidR="00EB74B9" w:rsidRPr="00EB74B9">
          <w:rPr>
            <w:rStyle w:val="Hyperlink"/>
            <w:rFonts w:ascii="Times New Roman" w:hAnsi="Times New Roman"/>
            <w:lang w:val="pt-PT"/>
          </w:rPr>
          <w:t>https://euaidexplorer.ec.europa.eu/index_en</w:t>
        </w:r>
      </w:hyperlink>
      <w:r w:rsidRPr="00EB74B9">
        <w:rPr>
          <w:lang w:val="pt-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409"/>
    <w:multiLevelType w:val="hybridMultilevel"/>
    <w:tmpl w:val="35E4B7C4"/>
    <w:lvl w:ilvl="0" w:tplc="7E946180">
      <w:start w:val="1"/>
      <w:numFmt w:val="bullet"/>
      <w:lvlText w:val="·"/>
      <w:lvlJc w:val="left"/>
      <w:pPr>
        <w:ind w:left="720" w:hanging="360"/>
      </w:pPr>
      <w:rPr>
        <w:rFonts w:ascii="Symbol" w:hAnsi="Symbol" w:hint="default"/>
      </w:rPr>
    </w:lvl>
    <w:lvl w:ilvl="1" w:tplc="064A7DAE">
      <w:start w:val="1"/>
      <w:numFmt w:val="bullet"/>
      <w:lvlText w:val="o"/>
      <w:lvlJc w:val="left"/>
      <w:pPr>
        <w:ind w:left="1440" w:hanging="360"/>
      </w:pPr>
      <w:rPr>
        <w:rFonts w:ascii="Courier New" w:hAnsi="Courier New" w:hint="default"/>
      </w:rPr>
    </w:lvl>
    <w:lvl w:ilvl="2" w:tplc="02D4E1DA">
      <w:start w:val="1"/>
      <w:numFmt w:val="bullet"/>
      <w:lvlText w:val=""/>
      <w:lvlJc w:val="left"/>
      <w:pPr>
        <w:ind w:left="2160" w:hanging="360"/>
      </w:pPr>
      <w:rPr>
        <w:rFonts w:ascii="Wingdings" w:hAnsi="Wingdings" w:hint="default"/>
      </w:rPr>
    </w:lvl>
    <w:lvl w:ilvl="3" w:tplc="0E94ACB6">
      <w:start w:val="1"/>
      <w:numFmt w:val="bullet"/>
      <w:lvlText w:val=""/>
      <w:lvlJc w:val="left"/>
      <w:pPr>
        <w:ind w:left="2880" w:hanging="360"/>
      </w:pPr>
      <w:rPr>
        <w:rFonts w:ascii="Symbol" w:hAnsi="Symbol" w:hint="default"/>
      </w:rPr>
    </w:lvl>
    <w:lvl w:ilvl="4" w:tplc="58DC58C2">
      <w:start w:val="1"/>
      <w:numFmt w:val="bullet"/>
      <w:lvlText w:val="o"/>
      <w:lvlJc w:val="left"/>
      <w:pPr>
        <w:ind w:left="3600" w:hanging="360"/>
      </w:pPr>
      <w:rPr>
        <w:rFonts w:ascii="Courier New" w:hAnsi="Courier New" w:hint="default"/>
      </w:rPr>
    </w:lvl>
    <w:lvl w:ilvl="5" w:tplc="6994C84C">
      <w:start w:val="1"/>
      <w:numFmt w:val="bullet"/>
      <w:lvlText w:val=""/>
      <w:lvlJc w:val="left"/>
      <w:pPr>
        <w:ind w:left="4320" w:hanging="360"/>
      </w:pPr>
      <w:rPr>
        <w:rFonts w:ascii="Wingdings" w:hAnsi="Wingdings" w:hint="default"/>
      </w:rPr>
    </w:lvl>
    <w:lvl w:ilvl="6" w:tplc="B7A832CC">
      <w:start w:val="1"/>
      <w:numFmt w:val="bullet"/>
      <w:lvlText w:val=""/>
      <w:lvlJc w:val="left"/>
      <w:pPr>
        <w:ind w:left="5040" w:hanging="360"/>
      </w:pPr>
      <w:rPr>
        <w:rFonts w:ascii="Symbol" w:hAnsi="Symbol" w:hint="default"/>
      </w:rPr>
    </w:lvl>
    <w:lvl w:ilvl="7" w:tplc="1730E2BC">
      <w:start w:val="1"/>
      <w:numFmt w:val="bullet"/>
      <w:lvlText w:val="o"/>
      <w:lvlJc w:val="left"/>
      <w:pPr>
        <w:ind w:left="5760" w:hanging="360"/>
      </w:pPr>
      <w:rPr>
        <w:rFonts w:ascii="Courier New" w:hAnsi="Courier New" w:hint="default"/>
      </w:rPr>
    </w:lvl>
    <w:lvl w:ilvl="8" w:tplc="F94426C4">
      <w:start w:val="1"/>
      <w:numFmt w:val="bullet"/>
      <w:lvlText w:val=""/>
      <w:lvlJc w:val="left"/>
      <w:pPr>
        <w:ind w:left="6480" w:hanging="360"/>
      </w:pPr>
      <w:rPr>
        <w:rFonts w:ascii="Wingdings" w:hAnsi="Wingdings" w:hint="default"/>
      </w:rPr>
    </w:lvl>
  </w:abstractNum>
  <w:abstractNum w:abstractNumId="1" w15:restartNumberingAfterBreak="0">
    <w:nsid w:val="0C654D06"/>
    <w:multiLevelType w:val="hybridMultilevel"/>
    <w:tmpl w:val="72A6AB30"/>
    <w:lvl w:ilvl="0" w:tplc="BA748BA4">
      <w:start w:val="1"/>
      <w:numFmt w:val="bullet"/>
      <w:lvlText w:val="·"/>
      <w:lvlJc w:val="left"/>
      <w:pPr>
        <w:ind w:left="720" w:hanging="360"/>
      </w:pPr>
      <w:rPr>
        <w:rFonts w:ascii="Symbol" w:hAnsi="Symbol" w:hint="default"/>
      </w:rPr>
    </w:lvl>
    <w:lvl w:ilvl="1" w:tplc="7D127DCC">
      <w:start w:val="1"/>
      <w:numFmt w:val="bullet"/>
      <w:lvlText w:val="o"/>
      <w:lvlJc w:val="left"/>
      <w:pPr>
        <w:ind w:left="1440" w:hanging="360"/>
      </w:pPr>
      <w:rPr>
        <w:rFonts w:ascii="Courier New" w:hAnsi="Courier New" w:hint="default"/>
      </w:rPr>
    </w:lvl>
    <w:lvl w:ilvl="2" w:tplc="98625E40">
      <w:start w:val="1"/>
      <w:numFmt w:val="bullet"/>
      <w:lvlText w:val=""/>
      <w:lvlJc w:val="left"/>
      <w:pPr>
        <w:ind w:left="2160" w:hanging="360"/>
      </w:pPr>
      <w:rPr>
        <w:rFonts w:ascii="Wingdings" w:hAnsi="Wingdings" w:hint="default"/>
      </w:rPr>
    </w:lvl>
    <w:lvl w:ilvl="3" w:tplc="267E2C00">
      <w:start w:val="1"/>
      <w:numFmt w:val="bullet"/>
      <w:lvlText w:val=""/>
      <w:lvlJc w:val="left"/>
      <w:pPr>
        <w:ind w:left="2880" w:hanging="360"/>
      </w:pPr>
      <w:rPr>
        <w:rFonts w:ascii="Symbol" w:hAnsi="Symbol" w:hint="default"/>
      </w:rPr>
    </w:lvl>
    <w:lvl w:ilvl="4" w:tplc="525281D2">
      <w:start w:val="1"/>
      <w:numFmt w:val="bullet"/>
      <w:lvlText w:val="o"/>
      <w:lvlJc w:val="left"/>
      <w:pPr>
        <w:ind w:left="3600" w:hanging="360"/>
      </w:pPr>
      <w:rPr>
        <w:rFonts w:ascii="Courier New" w:hAnsi="Courier New" w:hint="default"/>
      </w:rPr>
    </w:lvl>
    <w:lvl w:ilvl="5" w:tplc="CC985C1A">
      <w:start w:val="1"/>
      <w:numFmt w:val="bullet"/>
      <w:lvlText w:val=""/>
      <w:lvlJc w:val="left"/>
      <w:pPr>
        <w:ind w:left="4320" w:hanging="360"/>
      </w:pPr>
      <w:rPr>
        <w:rFonts w:ascii="Wingdings" w:hAnsi="Wingdings" w:hint="default"/>
      </w:rPr>
    </w:lvl>
    <w:lvl w:ilvl="6" w:tplc="E3E0B970">
      <w:start w:val="1"/>
      <w:numFmt w:val="bullet"/>
      <w:lvlText w:val=""/>
      <w:lvlJc w:val="left"/>
      <w:pPr>
        <w:ind w:left="5040" w:hanging="360"/>
      </w:pPr>
      <w:rPr>
        <w:rFonts w:ascii="Symbol" w:hAnsi="Symbol" w:hint="default"/>
      </w:rPr>
    </w:lvl>
    <w:lvl w:ilvl="7" w:tplc="831E99C2">
      <w:start w:val="1"/>
      <w:numFmt w:val="bullet"/>
      <w:lvlText w:val="o"/>
      <w:lvlJc w:val="left"/>
      <w:pPr>
        <w:ind w:left="5760" w:hanging="360"/>
      </w:pPr>
      <w:rPr>
        <w:rFonts w:ascii="Courier New" w:hAnsi="Courier New" w:hint="default"/>
      </w:rPr>
    </w:lvl>
    <w:lvl w:ilvl="8" w:tplc="0C28D280">
      <w:start w:val="1"/>
      <w:numFmt w:val="bullet"/>
      <w:lvlText w:val=""/>
      <w:lvlJc w:val="left"/>
      <w:pPr>
        <w:ind w:left="6480" w:hanging="360"/>
      </w:pPr>
      <w:rPr>
        <w:rFonts w:ascii="Wingdings" w:hAnsi="Wingdings" w:hint="default"/>
      </w:rPr>
    </w:lvl>
  </w:abstractNum>
  <w:abstractNum w:abstractNumId="2"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9F025A5"/>
    <w:multiLevelType w:val="hybridMultilevel"/>
    <w:tmpl w:val="FFFFFFFF"/>
    <w:lvl w:ilvl="0" w:tplc="2410F220">
      <w:start w:val="1"/>
      <w:numFmt w:val="bullet"/>
      <w:lvlText w:val=""/>
      <w:lvlJc w:val="left"/>
      <w:pPr>
        <w:ind w:left="720" w:hanging="360"/>
      </w:pPr>
      <w:rPr>
        <w:rFonts w:ascii="Symbol" w:hAnsi="Symbol" w:hint="default"/>
      </w:rPr>
    </w:lvl>
    <w:lvl w:ilvl="1" w:tplc="6D445724">
      <w:start w:val="1"/>
      <w:numFmt w:val="bullet"/>
      <w:lvlText w:val="o"/>
      <w:lvlJc w:val="left"/>
      <w:pPr>
        <w:ind w:left="1440" w:hanging="360"/>
      </w:pPr>
      <w:rPr>
        <w:rFonts w:ascii="Courier New" w:hAnsi="Courier New" w:hint="default"/>
      </w:rPr>
    </w:lvl>
    <w:lvl w:ilvl="2" w:tplc="732615AE">
      <w:start w:val="1"/>
      <w:numFmt w:val="bullet"/>
      <w:lvlText w:val=""/>
      <w:lvlJc w:val="left"/>
      <w:pPr>
        <w:ind w:left="2160" w:hanging="360"/>
      </w:pPr>
      <w:rPr>
        <w:rFonts w:ascii="Wingdings" w:hAnsi="Wingdings" w:hint="default"/>
      </w:rPr>
    </w:lvl>
    <w:lvl w:ilvl="3" w:tplc="FE220394">
      <w:start w:val="1"/>
      <w:numFmt w:val="bullet"/>
      <w:lvlText w:val=""/>
      <w:lvlJc w:val="left"/>
      <w:pPr>
        <w:ind w:left="2880" w:hanging="360"/>
      </w:pPr>
      <w:rPr>
        <w:rFonts w:ascii="Symbol" w:hAnsi="Symbol" w:hint="default"/>
      </w:rPr>
    </w:lvl>
    <w:lvl w:ilvl="4" w:tplc="ABCC56D4">
      <w:start w:val="1"/>
      <w:numFmt w:val="bullet"/>
      <w:lvlText w:val="o"/>
      <w:lvlJc w:val="left"/>
      <w:pPr>
        <w:ind w:left="3600" w:hanging="360"/>
      </w:pPr>
      <w:rPr>
        <w:rFonts w:ascii="Courier New" w:hAnsi="Courier New" w:hint="default"/>
      </w:rPr>
    </w:lvl>
    <w:lvl w:ilvl="5" w:tplc="94A871CE">
      <w:start w:val="1"/>
      <w:numFmt w:val="bullet"/>
      <w:lvlText w:val=""/>
      <w:lvlJc w:val="left"/>
      <w:pPr>
        <w:ind w:left="4320" w:hanging="360"/>
      </w:pPr>
      <w:rPr>
        <w:rFonts w:ascii="Wingdings" w:hAnsi="Wingdings" w:hint="default"/>
      </w:rPr>
    </w:lvl>
    <w:lvl w:ilvl="6" w:tplc="60EA57AA">
      <w:start w:val="1"/>
      <w:numFmt w:val="bullet"/>
      <w:lvlText w:val=""/>
      <w:lvlJc w:val="left"/>
      <w:pPr>
        <w:ind w:left="5040" w:hanging="360"/>
      </w:pPr>
      <w:rPr>
        <w:rFonts w:ascii="Symbol" w:hAnsi="Symbol" w:hint="default"/>
      </w:rPr>
    </w:lvl>
    <w:lvl w:ilvl="7" w:tplc="695693FA">
      <w:start w:val="1"/>
      <w:numFmt w:val="bullet"/>
      <w:lvlText w:val="o"/>
      <w:lvlJc w:val="left"/>
      <w:pPr>
        <w:ind w:left="5760" w:hanging="360"/>
      </w:pPr>
      <w:rPr>
        <w:rFonts w:ascii="Courier New" w:hAnsi="Courier New" w:hint="default"/>
      </w:rPr>
    </w:lvl>
    <w:lvl w:ilvl="8" w:tplc="83700686">
      <w:start w:val="1"/>
      <w:numFmt w:val="bullet"/>
      <w:lvlText w:val=""/>
      <w:lvlJc w:val="left"/>
      <w:pPr>
        <w:ind w:left="6480" w:hanging="360"/>
      </w:pPr>
      <w:rPr>
        <w:rFonts w:ascii="Wingdings" w:hAnsi="Wingdings" w:hint="default"/>
      </w:rPr>
    </w:lvl>
  </w:abstractNum>
  <w:abstractNum w:abstractNumId="4" w15:restartNumberingAfterBreak="0">
    <w:nsid w:val="26B2AB4A"/>
    <w:multiLevelType w:val="hybridMultilevel"/>
    <w:tmpl w:val="27E4B33C"/>
    <w:lvl w:ilvl="0" w:tplc="75606BAC">
      <w:start w:val="1"/>
      <w:numFmt w:val="bullet"/>
      <w:lvlText w:val="·"/>
      <w:lvlJc w:val="left"/>
      <w:pPr>
        <w:ind w:left="720" w:hanging="360"/>
      </w:pPr>
      <w:rPr>
        <w:rFonts w:ascii="Symbol" w:hAnsi="Symbol" w:hint="default"/>
      </w:rPr>
    </w:lvl>
    <w:lvl w:ilvl="1" w:tplc="07B4FE90">
      <w:start w:val="1"/>
      <w:numFmt w:val="bullet"/>
      <w:lvlText w:val="o"/>
      <w:lvlJc w:val="left"/>
      <w:pPr>
        <w:ind w:left="1440" w:hanging="360"/>
      </w:pPr>
      <w:rPr>
        <w:rFonts w:ascii="Courier New" w:hAnsi="Courier New" w:hint="default"/>
      </w:rPr>
    </w:lvl>
    <w:lvl w:ilvl="2" w:tplc="5DF87784">
      <w:start w:val="1"/>
      <w:numFmt w:val="bullet"/>
      <w:lvlText w:val=""/>
      <w:lvlJc w:val="left"/>
      <w:pPr>
        <w:ind w:left="2160" w:hanging="360"/>
      </w:pPr>
      <w:rPr>
        <w:rFonts w:ascii="Wingdings" w:hAnsi="Wingdings" w:hint="default"/>
      </w:rPr>
    </w:lvl>
    <w:lvl w:ilvl="3" w:tplc="9A842EC2">
      <w:start w:val="1"/>
      <w:numFmt w:val="bullet"/>
      <w:lvlText w:val=""/>
      <w:lvlJc w:val="left"/>
      <w:pPr>
        <w:ind w:left="2880" w:hanging="360"/>
      </w:pPr>
      <w:rPr>
        <w:rFonts w:ascii="Symbol" w:hAnsi="Symbol" w:hint="default"/>
      </w:rPr>
    </w:lvl>
    <w:lvl w:ilvl="4" w:tplc="27AC7BF8">
      <w:start w:val="1"/>
      <w:numFmt w:val="bullet"/>
      <w:lvlText w:val="o"/>
      <w:lvlJc w:val="left"/>
      <w:pPr>
        <w:ind w:left="3600" w:hanging="360"/>
      </w:pPr>
      <w:rPr>
        <w:rFonts w:ascii="Courier New" w:hAnsi="Courier New" w:hint="default"/>
      </w:rPr>
    </w:lvl>
    <w:lvl w:ilvl="5" w:tplc="50BA588E">
      <w:start w:val="1"/>
      <w:numFmt w:val="bullet"/>
      <w:lvlText w:val=""/>
      <w:lvlJc w:val="left"/>
      <w:pPr>
        <w:ind w:left="4320" w:hanging="360"/>
      </w:pPr>
      <w:rPr>
        <w:rFonts w:ascii="Wingdings" w:hAnsi="Wingdings" w:hint="default"/>
      </w:rPr>
    </w:lvl>
    <w:lvl w:ilvl="6" w:tplc="97C864EC">
      <w:start w:val="1"/>
      <w:numFmt w:val="bullet"/>
      <w:lvlText w:val=""/>
      <w:lvlJc w:val="left"/>
      <w:pPr>
        <w:ind w:left="5040" w:hanging="360"/>
      </w:pPr>
      <w:rPr>
        <w:rFonts w:ascii="Symbol" w:hAnsi="Symbol" w:hint="default"/>
      </w:rPr>
    </w:lvl>
    <w:lvl w:ilvl="7" w:tplc="1D0A53F4">
      <w:start w:val="1"/>
      <w:numFmt w:val="bullet"/>
      <w:lvlText w:val="o"/>
      <w:lvlJc w:val="left"/>
      <w:pPr>
        <w:ind w:left="5760" w:hanging="360"/>
      </w:pPr>
      <w:rPr>
        <w:rFonts w:ascii="Courier New" w:hAnsi="Courier New" w:hint="default"/>
      </w:rPr>
    </w:lvl>
    <w:lvl w:ilvl="8" w:tplc="4C48E3D0">
      <w:start w:val="1"/>
      <w:numFmt w:val="bullet"/>
      <w:lvlText w:val=""/>
      <w:lvlJc w:val="left"/>
      <w:pPr>
        <w:ind w:left="6480" w:hanging="360"/>
      </w:pPr>
      <w:rPr>
        <w:rFonts w:ascii="Wingdings" w:hAnsi="Wingdings" w:hint="default"/>
      </w:rPr>
    </w:lvl>
  </w:abstractNum>
  <w:abstractNum w:abstractNumId="5" w15:restartNumberingAfterBreak="0">
    <w:nsid w:val="2EAD3AB4"/>
    <w:multiLevelType w:val="hybridMultilevel"/>
    <w:tmpl w:val="B11AB50E"/>
    <w:lvl w:ilvl="0" w:tplc="575CC7C0">
      <w:start w:val="1"/>
      <w:numFmt w:val="bullet"/>
      <w:lvlText w:val="·"/>
      <w:lvlJc w:val="left"/>
      <w:pPr>
        <w:ind w:left="720" w:hanging="360"/>
      </w:pPr>
      <w:rPr>
        <w:rFonts w:ascii="Symbol" w:hAnsi="Symbol" w:hint="default"/>
      </w:rPr>
    </w:lvl>
    <w:lvl w:ilvl="1" w:tplc="C5AA8B84">
      <w:start w:val="1"/>
      <w:numFmt w:val="bullet"/>
      <w:lvlText w:val="o"/>
      <w:lvlJc w:val="left"/>
      <w:pPr>
        <w:ind w:left="1440" w:hanging="360"/>
      </w:pPr>
      <w:rPr>
        <w:rFonts w:ascii="Courier New" w:hAnsi="Courier New" w:hint="default"/>
      </w:rPr>
    </w:lvl>
    <w:lvl w:ilvl="2" w:tplc="D94AA29C">
      <w:start w:val="1"/>
      <w:numFmt w:val="bullet"/>
      <w:lvlText w:val=""/>
      <w:lvlJc w:val="left"/>
      <w:pPr>
        <w:ind w:left="2160" w:hanging="360"/>
      </w:pPr>
      <w:rPr>
        <w:rFonts w:ascii="Wingdings" w:hAnsi="Wingdings" w:hint="default"/>
      </w:rPr>
    </w:lvl>
    <w:lvl w:ilvl="3" w:tplc="BCFE0E02">
      <w:start w:val="1"/>
      <w:numFmt w:val="bullet"/>
      <w:lvlText w:val=""/>
      <w:lvlJc w:val="left"/>
      <w:pPr>
        <w:ind w:left="2880" w:hanging="360"/>
      </w:pPr>
      <w:rPr>
        <w:rFonts w:ascii="Symbol" w:hAnsi="Symbol" w:hint="default"/>
      </w:rPr>
    </w:lvl>
    <w:lvl w:ilvl="4" w:tplc="E72C33CC">
      <w:start w:val="1"/>
      <w:numFmt w:val="bullet"/>
      <w:lvlText w:val="o"/>
      <w:lvlJc w:val="left"/>
      <w:pPr>
        <w:ind w:left="3600" w:hanging="360"/>
      </w:pPr>
      <w:rPr>
        <w:rFonts w:ascii="Courier New" w:hAnsi="Courier New" w:hint="default"/>
      </w:rPr>
    </w:lvl>
    <w:lvl w:ilvl="5" w:tplc="67DCF6FC">
      <w:start w:val="1"/>
      <w:numFmt w:val="bullet"/>
      <w:lvlText w:val=""/>
      <w:lvlJc w:val="left"/>
      <w:pPr>
        <w:ind w:left="4320" w:hanging="360"/>
      </w:pPr>
      <w:rPr>
        <w:rFonts w:ascii="Wingdings" w:hAnsi="Wingdings" w:hint="default"/>
      </w:rPr>
    </w:lvl>
    <w:lvl w:ilvl="6" w:tplc="C97A0096">
      <w:start w:val="1"/>
      <w:numFmt w:val="bullet"/>
      <w:lvlText w:val=""/>
      <w:lvlJc w:val="left"/>
      <w:pPr>
        <w:ind w:left="5040" w:hanging="360"/>
      </w:pPr>
      <w:rPr>
        <w:rFonts w:ascii="Symbol" w:hAnsi="Symbol" w:hint="default"/>
      </w:rPr>
    </w:lvl>
    <w:lvl w:ilvl="7" w:tplc="C7467F8A">
      <w:start w:val="1"/>
      <w:numFmt w:val="bullet"/>
      <w:lvlText w:val="o"/>
      <w:lvlJc w:val="left"/>
      <w:pPr>
        <w:ind w:left="5760" w:hanging="360"/>
      </w:pPr>
      <w:rPr>
        <w:rFonts w:ascii="Courier New" w:hAnsi="Courier New" w:hint="default"/>
      </w:rPr>
    </w:lvl>
    <w:lvl w:ilvl="8" w:tplc="2F3A3FE2">
      <w:start w:val="1"/>
      <w:numFmt w:val="bullet"/>
      <w:lvlText w:val=""/>
      <w:lvlJc w:val="left"/>
      <w:pPr>
        <w:ind w:left="6480" w:hanging="360"/>
      </w:pPr>
      <w:rPr>
        <w:rFonts w:ascii="Wingdings" w:hAnsi="Wingdings" w:hint="default"/>
      </w:rPr>
    </w:lvl>
  </w:abstractNum>
  <w:abstractNum w:abstractNumId="6" w15:restartNumberingAfterBreak="0">
    <w:nsid w:val="36335D97"/>
    <w:multiLevelType w:val="hybridMultilevel"/>
    <w:tmpl w:val="3D8C9A1C"/>
    <w:lvl w:ilvl="0" w:tplc="8C983F9A">
      <w:start w:val="1"/>
      <w:numFmt w:val="bullet"/>
      <w:lvlText w:val="·"/>
      <w:lvlJc w:val="left"/>
      <w:pPr>
        <w:ind w:left="720" w:hanging="360"/>
      </w:pPr>
      <w:rPr>
        <w:rFonts w:ascii="Symbol" w:hAnsi="Symbol" w:hint="default"/>
      </w:rPr>
    </w:lvl>
    <w:lvl w:ilvl="1" w:tplc="6A804678">
      <w:start w:val="1"/>
      <w:numFmt w:val="bullet"/>
      <w:lvlText w:val="o"/>
      <w:lvlJc w:val="left"/>
      <w:pPr>
        <w:ind w:left="1440" w:hanging="360"/>
      </w:pPr>
      <w:rPr>
        <w:rFonts w:ascii="Courier New" w:hAnsi="Courier New" w:hint="default"/>
      </w:rPr>
    </w:lvl>
    <w:lvl w:ilvl="2" w:tplc="F8126ED2">
      <w:start w:val="1"/>
      <w:numFmt w:val="bullet"/>
      <w:lvlText w:val=""/>
      <w:lvlJc w:val="left"/>
      <w:pPr>
        <w:ind w:left="2160" w:hanging="360"/>
      </w:pPr>
      <w:rPr>
        <w:rFonts w:ascii="Wingdings" w:hAnsi="Wingdings" w:hint="default"/>
      </w:rPr>
    </w:lvl>
    <w:lvl w:ilvl="3" w:tplc="E1C626D8">
      <w:start w:val="1"/>
      <w:numFmt w:val="bullet"/>
      <w:lvlText w:val=""/>
      <w:lvlJc w:val="left"/>
      <w:pPr>
        <w:ind w:left="2880" w:hanging="360"/>
      </w:pPr>
      <w:rPr>
        <w:rFonts w:ascii="Symbol" w:hAnsi="Symbol" w:hint="default"/>
      </w:rPr>
    </w:lvl>
    <w:lvl w:ilvl="4" w:tplc="6F08091A">
      <w:start w:val="1"/>
      <w:numFmt w:val="bullet"/>
      <w:lvlText w:val="o"/>
      <w:lvlJc w:val="left"/>
      <w:pPr>
        <w:ind w:left="3600" w:hanging="360"/>
      </w:pPr>
      <w:rPr>
        <w:rFonts w:ascii="Courier New" w:hAnsi="Courier New" w:hint="default"/>
      </w:rPr>
    </w:lvl>
    <w:lvl w:ilvl="5" w:tplc="8076A9DC">
      <w:start w:val="1"/>
      <w:numFmt w:val="bullet"/>
      <w:lvlText w:val=""/>
      <w:lvlJc w:val="left"/>
      <w:pPr>
        <w:ind w:left="4320" w:hanging="360"/>
      </w:pPr>
      <w:rPr>
        <w:rFonts w:ascii="Wingdings" w:hAnsi="Wingdings" w:hint="default"/>
      </w:rPr>
    </w:lvl>
    <w:lvl w:ilvl="6" w:tplc="0F78E6CA">
      <w:start w:val="1"/>
      <w:numFmt w:val="bullet"/>
      <w:lvlText w:val=""/>
      <w:lvlJc w:val="left"/>
      <w:pPr>
        <w:ind w:left="5040" w:hanging="360"/>
      </w:pPr>
      <w:rPr>
        <w:rFonts w:ascii="Symbol" w:hAnsi="Symbol" w:hint="default"/>
      </w:rPr>
    </w:lvl>
    <w:lvl w:ilvl="7" w:tplc="8F7888AE">
      <w:start w:val="1"/>
      <w:numFmt w:val="bullet"/>
      <w:lvlText w:val="o"/>
      <w:lvlJc w:val="left"/>
      <w:pPr>
        <w:ind w:left="5760" w:hanging="360"/>
      </w:pPr>
      <w:rPr>
        <w:rFonts w:ascii="Courier New" w:hAnsi="Courier New" w:hint="default"/>
      </w:rPr>
    </w:lvl>
    <w:lvl w:ilvl="8" w:tplc="149AA838">
      <w:start w:val="1"/>
      <w:numFmt w:val="bullet"/>
      <w:lvlText w:val=""/>
      <w:lvlJc w:val="left"/>
      <w:pPr>
        <w:ind w:left="6480" w:hanging="360"/>
      </w:pPr>
      <w:rPr>
        <w:rFonts w:ascii="Wingdings" w:hAnsi="Wingdings" w:hint="default"/>
      </w:rPr>
    </w:lvl>
  </w:abstractNum>
  <w:abstractNum w:abstractNumId="7" w15:restartNumberingAfterBreak="0">
    <w:nsid w:val="3AE073E4"/>
    <w:multiLevelType w:val="hybridMultilevel"/>
    <w:tmpl w:val="8CE22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454115"/>
    <w:multiLevelType w:val="hybridMultilevel"/>
    <w:tmpl w:val="FFFFFFFF"/>
    <w:lvl w:ilvl="0" w:tplc="51D6DF68">
      <w:start w:val="1"/>
      <w:numFmt w:val="bullet"/>
      <w:lvlText w:val="·"/>
      <w:lvlJc w:val="left"/>
      <w:pPr>
        <w:ind w:left="720" w:hanging="360"/>
      </w:pPr>
      <w:rPr>
        <w:rFonts w:ascii="Symbol" w:hAnsi="Symbol" w:hint="default"/>
      </w:rPr>
    </w:lvl>
    <w:lvl w:ilvl="1" w:tplc="2442654C">
      <w:start w:val="1"/>
      <w:numFmt w:val="bullet"/>
      <w:lvlText w:val="o"/>
      <w:lvlJc w:val="left"/>
      <w:pPr>
        <w:ind w:left="1440" w:hanging="360"/>
      </w:pPr>
      <w:rPr>
        <w:rFonts w:ascii="Courier New" w:hAnsi="Courier New" w:hint="default"/>
      </w:rPr>
    </w:lvl>
    <w:lvl w:ilvl="2" w:tplc="7658A784">
      <w:start w:val="1"/>
      <w:numFmt w:val="bullet"/>
      <w:lvlText w:val=""/>
      <w:lvlJc w:val="left"/>
      <w:pPr>
        <w:ind w:left="2160" w:hanging="360"/>
      </w:pPr>
      <w:rPr>
        <w:rFonts w:ascii="Wingdings" w:hAnsi="Wingdings" w:hint="default"/>
      </w:rPr>
    </w:lvl>
    <w:lvl w:ilvl="3" w:tplc="0E149018">
      <w:start w:val="1"/>
      <w:numFmt w:val="bullet"/>
      <w:lvlText w:val=""/>
      <w:lvlJc w:val="left"/>
      <w:pPr>
        <w:ind w:left="2880" w:hanging="360"/>
      </w:pPr>
      <w:rPr>
        <w:rFonts w:ascii="Symbol" w:hAnsi="Symbol" w:hint="default"/>
      </w:rPr>
    </w:lvl>
    <w:lvl w:ilvl="4" w:tplc="4C92D9B6">
      <w:start w:val="1"/>
      <w:numFmt w:val="bullet"/>
      <w:lvlText w:val="o"/>
      <w:lvlJc w:val="left"/>
      <w:pPr>
        <w:ind w:left="3600" w:hanging="360"/>
      </w:pPr>
      <w:rPr>
        <w:rFonts w:ascii="Courier New" w:hAnsi="Courier New" w:hint="default"/>
      </w:rPr>
    </w:lvl>
    <w:lvl w:ilvl="5" w:tplc="BFCECF1A">
      <w:start w:val="1"/>
      <w:numFmt w:val="bullet"/>
      <w:lvlText w:val=""/>
      <w:lvlJc w:val="left"/>
      <w:pPr>
        <w:ind w:left="4320" w:hanging="360"/>
      </w:pPr>
      <w:rPr>
        <w:rFonts w:ascii="Wingdings" w:hAnsi="Wingdings" w:hint="default"/>
      </w:rPr>
    </w:lvl>
    <w:lvl w:ilvl="6" w:tplc="A01E1610">
      <w:start w:val="1"/>
      <w:numFmt w:val="bullet"/>
      <w:lvlText w:val=""/>
      <w:lvlJc w:val="left"/>
      <w:pPr>
        <w:ind w:left="5040" w:hanging="360"/>
      </w:pPr>
      <w:rPr>
        <w:rFonts w:ascii="Symbol" w:hAnsi="Symbol" w:hint="default"/>
      </w:rPr>
    </w:lvl>
    <w:lvl w:ilvl="7" w:tplc="CC52F354">
      <w:start w:val="1"/>
      <w:numFmt w:val="bullet"/>
      <w:lvlText w:val="o"/>
      <w:lvlJc w:val="left"/>
      <w:pPr>
        <w:ind w:left="5760" w:hanging="360"/>
      </w:pPr>
      <w:rPr>
        <w:rFonts w:ascii="Courier New" w:hAnsi="Courier New" w:hint="default"/>
      </w:rPr>
    </w:lvl>
    <w:lvl w:ilvl="8" w:tplc="A54CFD7A">
      <w:start w:val="1"/>
      <w:numFmt w:val="bullet"/>
      <w:lvlText w:val=""/>
      <w:lvlJc w:val="left"/>
      <w:pPr>
        <w:ind w:left="6480" w:hanging="360"/>
      </w:pPr>
      <w:rPr>
        <w:rFonts w:ascii="Wingdings" w:hAnsi="Wingdings" w:hint="default"/>
      </w:rPr>
    </w:lvl>
  </w:abstractNum>
  <w:abstractNum w:abstractNumId="9" w15:restartNumberingAfterBreak="0">
    <w:nsid w:val="5EEA39A8"/>
    <w:multiLevelType w:val="hybridMultilevel"/>
    <w:tmpl w:val="FFFFFFFF"/>
    <w:lvl w:ilvl="0" w:tplc="077EEC70">
      <w:start w:val="1"/>
      <w:numFmt w:val="bullet"/>
      <w:lvlText w:val=""/>
      <w:lvlJc w:val="left"/>
      <w:pPr>
        <w:ind w:left="720" w:hanging="360"/>
      </w:pPr>
      <w:rPr>
        <w:rFonts w:ascii="Symbol" w:hAnsi="Symbol" w:hint="default"/>
      </w:rPr>
    </w:lvl>
    <w:lvl w:ilvl="1" w:tplc="41F83E66">
      <w:start w:val="1"/>
      <w:numFmt w:val="bullet"/>
      <w:lvlText w:val="o"/>
      <w:lvlJc w:val="left"/>
      <w:pPr>
        <w:ind w:left="1440" w:hanging="360"/>
      </w:pPr>
      <w:rPr>
        <w:rFonts w:ascii="Courier New" w:hAnsi="Courier New" w:hint="default"/>
      </w:rPr>
    </w:lvl>
    <w:lvl w:ilvl="2" w:tplc="5B646904">
      <w:start w:val="1"/>
      <w:numFmt w:val="bullet"/>
      <w:lvlText w:val=""/>
      <w:lvlJc w:val="left"/>
      <w:pPr>
        <w:ind w:left="2160" w:hanging="360"/>
      </w:pPr>
      <w:rPr>
        <w:rFonts w:ascii="Wingdings" w:hAnsi="Wingdings" w:hint="default"/>
      </w:rPr>
    </w:lvl>
    <w:lvl w:ilvl="3" w:tplc="32C6267E">
      <w:start w:val="1"/>
      <w:numFmt w:val="bullet"/>
      <w:lvlText w:val=""/>
      <w:lvlJc w:val="left"/>
      <w:pPr>
        <w:ind w:left="2880" w:hanging="360"/>
      </w:pPr>
      <w:rPr>
        <w:rFonts w:ascii="Symbol" w:hAnsi="Symbol" w:hint="default"/>
      </w:rPr>
    </w:lvl>
    <w:lvl w:ilvl="4" w:tplc="114A8890">
      <w:start w:val="1"/>
      <w:numFmt w:val="bullet"/>
      <w:lvlText w:val="o"/>
      <w:lvlJc w:val="left"/>
      <w:pPr>
        <w:ind w:left="3600" w:hanging="360"/>
      </w:pPr>
      <w:rPr>
        <w:rFonts w:ascii="Courier New" w:hAnsi="Courier New" w:hint="default"/>
      </w:rPr>
    </w:lvl>
    <w:lvl w:ilvl="5" w:tplc="834217A4">
      <w:start w:val="1"/>
      <w:numFmt w:val="bullet"/>
      <w:lvlText w:val=""/>
      <w:lvlJc w:val="left"/>
      <w:pPr>
        <w:ind w:left="4320" w:hanging="360"/>
      </w:pPr>
      <w:rPr>
        <w:rFonts w:ascii="Wingdings" w:hAnsi="Wingdings" w:hint="default"/>
      </w:rPr>
    </w:lvl>
    <w:lvl w:ilvl="6" w:tplc="5142C01C">
      <w:start w:val="1"/>
      <w:numFmt w:val="bullet"/>
      <w:lvlText w:val=""/>
      <w:lvlJc w:val="left"/>
      <w:pPr>
        <w:ind w:left="5040" w:hanging="360"/>
      </w:pPr>
      <w:rPr>
        <w:rFonts w:ascii="Symbol" w:hAnsi="Symbol" w:hint="default"/>
      </w:rPr>
    </w:lvl>
    <w:lvl w:ilvl="7" w:tplc="95A2F52A">
      <w:start w:val="1"/>
      <w:numFmt w:val="bullet"/>
      <w:lvlText w:val="o"/>
      <w:lvlJc w:val="left"/>
      <w:pPr>
        <w:ind w:left="5760" w:hanging="360"/>
      </w:pPr>
      <w:rPr>
        <w:rFonts w:ascii="Courier New" w:hAnsi="Courier New" w:hint="default"/>
      </w:rPr>
    </w:lvl>
    <w:lvl w:ilvl="8" w:tplc="F8C40690">
      <w:start w:val="1"/>
      <w:numFmt w:val="bullet"/>
      <w:lvlText w:val=""/>
      <w:lvlJc w:val="left"/>
      <w:pPr>
        <w:ind w:left="6480" w:hanging="360"/>
      </w:pPr>
      <w:rPr>
        <w:rFonts w:ascii="Wingdings" w:hAnsi="Wingdings" w:hint="default"/>
      </w:rPr>
    </w:lvl>
  </w:abstractNum>
  <w:abstractNum w:abstractNumId="10" w15:restartNumberingAfterBreak="0">
    <w:nsid w:val="5F1A09B0"/>
    <w:multiLevelType w:val="hybridMultilevel"/>
    <w:tmpl w:val="192282B8"/>
    <w:lvl w:ilvl="0" w:tplc="67C0A338">
      <w:start w:val="1"/>
      <w:numFmt w:val="bullet"/>
      <w:lvlText w:val="·"/>
      <w:lvlJc w:val="left"/>
      <w:pPr>
        <w:ind w:left="720" w:hanging="360"/>
      </w:pPr>
      <w:rPr>
        <w:rFonts w:ascii="Symbol" w:hAnsi="Symbol" w:hint="default"/>
      </w:rPr>
    </w:lvl>
    <w:lvl w:ilvl="1" w:tplc="0A023424">
      <w:start w:val="1"/>
      <w:numFmt w:val="bullet"/>
      <w:lvlText w:val="o"/>
      <w:lvlJc w:val="left"/>
      <w:pPr>
        <w:ind w:left="1440" w:hanging="360"/>
      </w:pPr>
      <w:rPr>
        <w:rFonts w:ascii="Courier New" w:hAnsi="Courier New" w:hint="default"/>
      </w:rPr>
    </w:lvl>
    <w:lvl w:ilvl="2" w:tplc="BD7CF19A">
      <w:start w:val="1"/>
      <w:numFmt w:val="bullet"/>
      <w:lvlText w:val=""/>
      <w:lvlJc w:val="left"/>
      <w:pPr>
        <w:ind w:left="2160" w:hanging="360"/>
      </w:pPr>
      <w:rPr>
        <w:rFonts w:ascii="Wingdings" w:hAnsi="Wingdings" w:hint="default"/>
      </w:rPr>
    </w:lvl>
    <w:lvl w:ilvl="3" w:tplc="486E32A0">
      <w:start w:val="1"/>
      <w:numFmt w:val="bullet"/>
      <w:lvlText w:val=""/>
      <w:lvlJc w:val="left"/>
      <w:pPr>
        <w:ind w:left="2880" w:hanging="360"/>
      </w:pPr>
      <w:rPr>
        <w:rFonts w:ascii="Symbol" w:hAnsi="Symbol" w:hint="default"/>
      </w:rPr>
    </w:lvl>
    <w:lvl w:ilvl="4" w:tplc="80A6C5A0">
      <w:start w:val="1"/>
      <w:numFmt w:val="bullet"/>
      <w:lvlText w:val="o"/>
      <w:lvlJc w:val="left"/>
      <w:pPr>
        <w:ind w:left="3600" w:hanging="360"/>
      </w:pPr>
      <w:rPr>
        <w:rFonts w:ascii="Courier New" w:hAnsi="Courier New" w:hint="default"/>
      </w:rPr>
    </w:lvl>
    <w:lvl w:ilvl="5" w:tplc="32D0BCE8">
      <w:start w:val="1"/>
      <w:numFmt w:val="bullet"/>
      <w:lvlText w:val=""/>
      <w:lvlJc w:val="left"/>
      <w:pPr>
        <w:ind w:left="4320" w:hanging="360"/>
      </w:pPr>
      <w:rPr>
        <w:rFonts w:ascii="Wingdings" w:hAnsi="Wingdings" w:hint="default"/>
      </w:rPr>
    </w:lvl>
    <w:lvl w:ilvl="6" w:tplc="B0902F76">
      <w:start w:val="1"/>
      <w:numFmt w:val="bullet"/>
      <w:lvlText w:val=""/>
      <w:lvlJc w:val="left"/>
      <w:pPr>
        <w:ind w:left="5040" w:hanging="360"/>
      </w:pPr>
      <w:rPr>
        <w:rFonts w:ascii="Symbol" w:hAnsi="Symbol" w:hint="default"/>
      </w:rPr>
    </w:lvl>
    <w:lvl w:ilvl="7" w:tplc="395E16B8">
      <w:start w:val="1"/>
      <w:numFmt w:val="bullet"/>
      <w:lvlText w:val="o"/>
      <w:lvlJc w:val="left"/>
      <w:pPr>
        <w:ind w:left="5760" w:hanging="360"/>
      </w:pPr>
      <w:rPr>
        <w:rFonts w:ascii="Courier New" w:hAnsi="Courier New" w:hint="default"/>
      </w:rPr>
    </w:lvl>
    <w:lvl w:ilvl="8" w:tplc="E9504F6C">
      <w:start w:val="1"/>
      <w:numFmt w:val="bullet"/>
      <w:lvlText w:val=""/>
      <w:lvlJc w:val="left"/>
      <w:pPr>
        <w:ind w:left="6480" w:hanging="360"/>
      </w:pPr>
      <w:rPr>
        <w:rFonts w:ascii="Wingdings" w:hAnsi="Wingdings" w:hint="default"/>
      </w:rPr>
    </w:lvl>
  </w:abstractNum>
  <w:abstractNum w:abstractNumId="11" w15:restartNumberingAfterBreak="0">
    <w:nsid w:val="7E43F17F"/>
    <w:multiLevelType w:val="hybridMultilevel"/>
    <w:tmpl w:val="FFFFFFFF"/>
    <w:lvl w:ilvl="0" w:tplc="88C44916">
      <w:start w:val="1"/>
      <w:numFmt w:val="bullet"/>
      <w:lvlText w:val="·"/>
      <w:lvlJc w:val="left"/>
      <w:pPr>
        <w:ind w:left="720" w:hanging="360"/>
      </w:pPr>
      <w:rPr>
        <w:rFonts w:ascii="Symbol" w:hAnsi="Symbol" w:hint="default"/>
      </w:rPr>
    </w:lvl>
    <w:lvl w:ilvl="1" w:tplc="21925652">
      <w:start w:val="1"/>
      <w:numFmt w:val="bullet"/>
      <w:lvlText w:val="o"/>
      <w:lvlJc w:val="left"/>
      <w:pPr>
        <w:ind w:left="1440" w:hanging="360"/>
      </w:pPr>
      <w:rPr>
        <w:rFonts w:ascii="Courier New" w:hAnsi="Courier New" w:hint="default"/>
      </w:rPr>
    </w:lvl>
    <w:lvl w:ilvl="2" w:tplc="D8D01AF0">
      <w:start w:val="1"/>
      <w:numFmt w:val="bullet"/>
      <w:lvlText w:val=""/>
      <w:lvlJc w:val="left"/>
      <w:pPr>
        <w:ind w:left="2160" w:hanging="360"/>
      </w:pPr>
      <w:rPr>
        <w:rFonts w:ascii="Wingdings" w:hAnsi="Wingdings" w:hint="default"/>
      </w:rPr>
    </w:lvl>
    <w:lvl w:ilvl="3" w:tplc="D806EC30">
      <w:start w:val="1"/>
      <w:numFmt w:val="bullet"/>
      <w:lvlText w:val=""/>
      <w:lvlJc w:val="left"/>
      <w:pPr>
        <w:ind w:left="2880" w:hanging="360"/>
      </w:pPr>
      <w:rPr>
        <w:rFonts w:ascii="Symbol" w:hAnsi="Symbol" w:hint="default"/>
      </w:rPr>
    </w:lvl>
    <w:lvl w:ilvl="4" w:tplc="9356BF90">
      <w:start w:val="1"/>
      <w:numFmt w:val="bullet"/>
      <w:lvlText w:val="o"/>
      <w:lvlJc w:val="left"/>
      <w:pPr>
        <w:ind w:left="3600" w:hanging="360"/>
      </w:pPr>
      <w:rPr>
        <w:rFonts w:ascii="Courier New" w:hAnsi="Courier New" w:hint="default"/>
      </w:rPr>
    </w:lvl>
    <w:lvl w:ilvl="5" w:tplc="AFACD6D0">
      <w:start w:val="1"/>
      <w:numFmt w:val="bullet"/>
      <w:lvlText w:val=""/>
      <w:lvlJc w:val="left"/>
      <w:pPr>
        <w:ind w:left="4320" w:hanging="360"/>
      </w:pPr>
      <w:rPr>
        <w:rFonts w:ascii="Wingdings" w:hAnsi="Wingdings" w:hint="default"/>
      </w:rPr>
    </w:lvl>
    <w:lvl w:ilvl="6" w:tplc="754077A4">
      <w:start w:val="1"/>
      <w:numFmt w:val="bullet"/>
      <w:lvlText w:val=""/>
      <w:lvlJc w:val="left"/>
      <w:pPr>
        <w:ind w:left="5040" w:hanging="360"/>
      </w:pPr>
      <w:rPr>
        <w:rFonts w:ascii="Symbol" w:hAnsi="Symbol" w:hint="default"/>
      </w:rPr>
    </w:lvl>
    <w:lvl w:ilvl="7" w:tplc="408A67D2">
      <w:start w:val="1"/>
      <w:numFmt w:val="bullet"/>
      <w:lvlText w:val="o"/>
      <w:lvlJc w:val="left"/>
      <w:pPr>
        <w:ind w:left="5760" w:hanging="360"/>
      </w:pPr>
      <w:rPr>
        <w:rFonts w:ascii="Courier New" w:hAnsi="Courier New" w:hint="default"/>
      </w:rPr>
    </w:lvl>
    <w:lvl w:ilvl="8" w:tplc="4A96EC64">
      <w:start w:val="1"/>
      <w:numFmt w:val="bullet"/>
      <w:lvlText w:val=""/>
      <w:lvlJc w:val="left"/>
      <w:pPr>
        <w:ind w:left="6480" w:hanging="360"/>
      </w:pPr>
      <w:rPr>
        <w:rFonts w:ascii="Wingdings" w:hAnsi="Wingdings" w:hint="default"/>
      </w:rPr>
    </w:lvl>
  </w:abstractNum>
  <w:num w:numId="1" w16cid:durableId="1089355056">
    <w:abstractNumId w:val="3"/>
  </w:num>
  <w:num w:numId="2" w16cid:durableId="510796144">
    <w:abstractNumId w:val="9"/>
  </w:num>
  <w:num w:numId="3" w16cid:durableId="83694119">
    <w:abstractNumId w:val="11"/>
  </w:num>
  <w:num w:numId="4" w16cid:durableId="1408334223">
    <w:abstractNumId w:val="8"/>
  </w:num>
  <w:num w:numId="5" w16cid:durableId="2117554794">
    <w:abstractNumId w:val="2"/>
  </w:num>
  <w:num w:numId="6" w16cid:durableId="2058047177">
    <w:abstractNumId w:val="7"/>
  </w:num>
  <w:num w:numId="7" w16cid:durableId="1209144567">
    <w:abstractNumId w:val="10"/>
  </w:num>
  <w:num w:numId="8" w16cid:durableId="1959679680">
    <w:abstractNumId w:val="4"/>
  </w:num>
  <w:num w:numId="9" w16cid:durableId="1361122142">
    <w:abstractNumId w:val="5"/>
  </w:num>
  <w:num w:numId="10" w16cid:durableId="566651020">
    <w:abstractNumId w:val="0"/>
  </w:num>
  <w:num w:numId="11" w16cid:durableId="588462019">
    <w:abstractNumId w:val="1"/>
  </w:num>
  <w:num w:numId="12" w16cid:durableId="1686134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42613"/>
    <w:rsid w:val="00012322"/>
    <w:rsid w:val="00012557"/>
    <w:rsid w:val="0001395F"/>
    <w:rsid w:val="00026435"/>
    <w:rsid w:val="00031BFE"/>
    <w:rsid w:val="00033D5A"/>
    <w:rsid w:val="00042AE7"/>
    <w:rsid w:val="00045E3C"/>
    <w:rsid w:val="000556B5"/>
    <w:rsid w:val="000609DA"/>
    <w:rsid w:val="000618DF"/>
    <w:rsid w:val="000630C0"/>
    <w:rsid w:val="000670EF"/>
    <w:rsid w:val="00067448"/>
    <w:rsid w:val="00082090"/>
    <w:rsid w:val="0009D414"/>
    <w:rsid w:val="000A2543"/>
    <w:rsid w:val="000A2ABC"/>
    <w:rsid w:val="000A57EE"/>
    <w:rsid w:val="000A6C87"/>
    <w:rsid w:val="000B2857"/>
    <w:rsid w:val="000B3885"/>
    <w:rsid w:val="000D6B87"/>
    <w:rsid w:val="000E6784"/>
    <w:rsid w:val="001138D4"/>
    <w:rsid w:val="00113DDE"/>
    <w:rsid w:val="00130A01"/>
    <w:rsid w:val="0013111D"/>
    <w:rsid w:val="0014194B"/>
    <w:rsid w:val="001431F9"/>
    <w:rsid w:val="0014E11F"/>
    <w:rsid w:val="00150CB9"/>
    <w:rsid w:val="001939C8"/>
    <w:rsid w:val="0019573A"/>
    <w:rsid w:val="001A01D6"/>
    <w:rsid w:val="001A14E5"/>
    <w:rsid w:val="001A6D00"/>
    <w:rsid w:val="001B5043"/>
    <w:rsid w:val="001C0EE3"/>
    <w:rsid w:val="001C0F94"/>
    <w:rsid w:val="001C3F09"/>
    <w:rsid w:val="001C601E"/>
    <w:rsid w:val="001D0DF2"/>
    <w:rsid w:val="001E4B2C"/>
    <w:rsid w:val="001E5A07"/>
    <w:rsid w:val="00206A6C"/>
    <w:rsid w:val="00224AE2"/>
    <w:rsid w:val="00231742"/>
    <w:rsid w:val="0023336C"/>
    <w:rsid w:val="00261AD0"/>
    <w:rsid w:val="00263C16"/>
    <w:rsid w:val="0028699D"/>
    <w:rsid w:val="0028704B"/>
    <w:rsid w:val="002A1A84"/>
    <w:rsid w:val="002A62DC"/>
    <w:rsid w:val="002B0837"/>
    <w:rsid w:val="002C68CF"/>
    <w:rsid w:val="002D22D9"/>
    <w:rsid w:val="002E1497"/>
    <w:rsid w:val="002F7E4F"/>
    <w:rsid w:val="0030783F"/>
    <w:rsid w:val="00333283"/>
    <w:rsid w:val="00337C7D"/>
    <w:rsid w:val="00357936"/>
    <w:rsid w:val="00396324"/>
    <w:rsid w:val="003A4857"/>
    <w:rsid w:val="003B1ED9"/>
    <w:rsid w:val="003B23A9"/>
    <w:rsid w:val="003C5AA8"/>
    <w:rsid w:val="003D0324"/>
    <w:rsid w:val="003E31AB"/>
    <w:rsid w:val="003F63EF"/>
    <w:rsid w:val="00401C40"/>
    <w:rsid w:val="00404D3E"/>
    <w:rsid w:val="00405B0E"/>
    <w:rsid w:val="0042399B"/>
    <w:rsid w:val="0043149D"/>
    <w:rsid w:val="0044475E"/>
    <w:rsid w:val="004672A7"/>
    <w:rsid w:val="0046F04B"/>
    <w:rsid w:val="00474696"/>
    <w:rsid w:val="004851D2"/>
    <w:rsid w:val="00486320"/>
    <w:rsid w:val="00497648"/>
    <w:rsid w:val="004A0665"/>
    <w:rsid w:val="004A68AE"/>
    <w:rsid w:val="004B3C29"/>
    <w:rsid w:val="004C04BE"/>
    <w:rsid w:val="004C3CF6"/>
    <w:rsid w:val="004E2F22"/>
    <w:rsid w:val="004E5C48"/>
    <w:rsid w:val="004F420F"/>
    <w:rsid w:val="0050252D"/>
    <w:rsid w:val="00502F3F"/>
    <w:rsid w:val="005111D6"/>
    <w:rsid w:val="00511CFB"/>
    <w:rsid w:val="00520885"/>
    <w:rsid w:val="005305C0"/>
    <w:rsid w:val="005533D4"/>
    <w:rsid w:val="00554BD2"/>
    <w:rsid w:val="0055710A"/>
    <w:rsid w:val="00560007"/>
    <w:rsid w:val="00563D1F"/>
    <w:rsid w:val="00565476"/>
    <w:rsid w:val="00590513"/>
    <w:rsid w:val="00591B93"/>
    <w:rsid w:val="00591FD4"/>
    <w:rsid w:val="005927CB"/>
    <w:rsid w:val="005A1EC5"/>
    <w:rsid w:val="005B2755"/>
    <w:rsid w:val="005B3928"/>
    <w:rsid w:val="005C02B4"/>
    <w:rsid w:val="005C2953"/>
    <w:rsid w:val="005D2EFF"/>
    <w:rsid w:val="005F10A9"/>
    <w:rsid w:val="00603436"/>
    <w:rsid w:val="00607D77"/>
    <w:rsid w:val="00611F4C"/>
    <w:rsid w:val="006150CC"/>
    <w:rsid w:val="006202FE"/>
    <w:rsid w:val="00621E1F"/>
    <w:rsid w:val="006349E9"/>
    <w:rsid w:val="00656C0F"/>
    <w:rsid w:val="0066552F"/>
    <w:rsid w:val="00677281"/>
    <w:rsid w:val="0067767F"/>
    <w:rsid w:val="00696958"/>
    <w:rsid w:val="006A40DB"/>
    <w:rsid w:val="006B30F4"/>
    <w:rsid w:val="006D3B47"/>
    <w:rsid w:val="006D3DBE"/>
    <w:rsid w:val="006E0540"/>
    <w:rsid w:val="006E4253"/>
    <w:rsid w:val="006F3E49"/>
    <w:rsid w:val="0070423B"/>
    <w:rsid w:val="007439B7"/>
    <w:rsid w:val="00743D19"/>
    <w:rsid w:val="00745F2A"/>
    <w:rsid w:val="00750C28"/>
    <w:rsid w:val="00765F3D"/>
    <w:rsid w:val="00772071"/>
    <w:rsid w:val="00772420"/>
    <w:rsid w:val="0079368B"/>
    <w:rsid w:val="007A6741"/>
    <w:rsid w:val="007A713F"/>
    <w:rsid w:val="007A7A2B"/>
    <w:rsid w:val="007D658B"/>
    <w:rsid w:val="007E367B"/>
    <w:rsid w:val="007F04D7"/>
    <w:rsid w:val="007F1EA3"/>
    <w:rsid w:val="007F57CD"/>
    <w:rsid w:val="008065D2"/>
    <w:rsid w:val="00820FA3"/>
    <w:rsid w:val="00826BF1"/>
    <w:rsid w:val="00846778"/>
    <w:rsid w:val="00855852"/>
    <w:rsid w:val="00861043"/>
    <w:rsid w:val="00863E10"/>
    <w:rsid w:val="00872C78"/>
    <w:rsid w:val="0087513C"/>
    <w:rsid w:val="00877576"/>
    <w:rsid w:val="00881D00"/>
    <w:rsid w:val="00882638"/>
    <w:rsid w:val="00894578"/>
    <w:rsid w:val="00895844"/>
    <w:rsid w:val="008A6ED8"/>
    <w:rsid w:val="008B129D"/>
    <w:rsid w:val="008B5591"/>
    <w:rsid w:val="008C6974"/>
    <w:rsid w:val="008E58AE"/>
    <w:rsid w:val="008F4BB0"/>
    <w:rsid w:val="008F5DC2"/>
    <w:rsid w:val="00905469"/>
    <w:rsid w:val="009112A5"/>
    <w:rsid w:val="009179C0"/>
    <w:rsid w:val="00927E95"/>
    <w:rsid w:val="00936A37"/>
    <w:rsid w:val="00943EAC"/>
    <w:rsid w:val="00947BB0"/>
    <w:rsid w:val="009626DB"/>
    <w:rsid w:val="009913B5"/>
    <w:rsid w:val="0099616B"/>
    <w:rsid w:val="00996574"/>
    <w:rsid w:val="009A3446"/>
    <w:rsid w:val="009A6AE7"/>
    <w:rsid w:val="009B1056"/>
    <w:rsid w:val="009B418E"/>
    <w:rsid w:val="009B55B0"/>
    <w:rsid w:val="009C59C9"/>
    <w:rsid w:val="009D2E9F"/>
    <w:rsid w:val="009D4DB5"/>
    <w:rsid w:val="009F409A"/>
    <w:rsid w:val="009F4526"/>
    <w:rsid w:val="009F541A"/>
    <w:rsid w:val="00A02E11"/>
    <w:rsid w:val="00A20D1D"/>
    <w:rsid w:val="00A20E26"/>
    <w:rsid w:val="00A2319E"/>
    <w:rsid w:val="00A37D96"/>
    <w:rsid w:val="00A41B21"/>
    <w:rsid w:val="00A45298"/>
    <w:rsid w:val="00A453A9"/>
    <w:rsid w:val="00A5531A"/>
    <w:rsid w:val="00A554E1"/>
    <w:rsid w:val="00A63C5B"/>
    <w:rsid w:val="00A86D24"/>
    <w:rsid w:val="00AC1027"/>
    <w:rsid w:val="00AD3324"/>
    <w:rsid w:val="00AD3C89"/>
    <w:rsid w:val="00AD540B"/>
    <w:rsid w:val="00AF4C03"/>
    <w:rsid w:val="00AF58D0"/>
    <w:rsid w:val="00B074FE"/>
    <w:rsid w:val="00B22DF9"/>
    <w:rsid w:val="00B24E7D"/>
    <w:rsid w:val="00B35EA8"/>
    <w:rsid w:val="00B60C84"/>
    <w:rsid w:val="00B844D2"/>
    <w:rsid w:val="00B85062"/>
    <w:rsid w:val="00B9400E"/>
    <w:rsid w:val="00B9487E"/>
    <w:rsid w:val="00BA42E9"/>
    <w:rsid w:val="00BE378A"/>
    <w:rsid w:val="00BEB00C"/>
    <w:rsid w:val="00C0580E"/>
    <w:rsid w:val="00C06A88"/>
    <w:rsid w:val="00C122E8"/>
    <w:rsid w:val="00C165D4"/>
    <w:rsid w:val="00C170AE"/>
    <w:rsid w:val="00C17AEE"/>
    <w:rsid w:val="00C25A9F"/>
    <w:rsid w:val="00C41EC5"/>
    <w:rsid w:val="00C42F22"/>
    <w:rsid w:val="00C431D1"/>
    <w:rsid w:val="00C43D25"/>
    <w:rsid w:val="00C45B15"/>
    <w:rsid w:val="00C47A32"/>
    <w:rsid w:val="00C4989C"/>
    <w:rsid w:val="00C633EA"/>
    <w:rsid w:val="00C64F24"/>
    <w:rsid w:val="00C65D87"/>
    <w:rsid w:val="00C7268E"/>
    <w:rsid w:val="00C74E13"/>
    <w:rsid w:val="00C75B17"/>
    <w:rsid w:val="00C844E7"/>
    <w:rsid w:val="00C91AF0"/>
    <w:rsid w:val="00C92E9A"/>
    <w:rsid w:val="00C97A55"/>
    <w:rsid w:val="00CB053E"/>
    <w:rsid w:val="00CB05DC"/>
    <w:rsid w:val="00CB0F96"/>
    <w:rsid w:val="00CC3A60"/>
    <w:rsid w:val="00CC7F89"/>
    <w:rsid w:val="00CD1FAC"/>
    <w:rsid w:val="00CD685A"/>
    <w:rsid w:val="00CE55CC"/>
    <w:rsid w:val="00CE6D99"/>
    <w:rsid w:val="00D02312"/>
    <w:rsid w:val="00D033EB"/>
    <w:rsid w:val="00D05AE9"/>
    <w:rsid w:val="00D16783"/>
    <w:rsid w:val="00D17904"/>
    <w:rsid w:val="00D20C3C"/>
    <w:rsid w:val="00D4006D"/>
    <w:rsid w:val="00D5078E"/>
    <w:rsid w:val="00D91C62"/>
    <w:rsid w:val="00DA101E"/>
    <w:rsid w:val="00DC504B"/>
    <w:rsid w:val="00DD0775"/>
    <w:rsid w:val="00DD11CB"/>
    <w:rsid w:val="00DE0A43"/>
    <w:rsid w:val="00DE2B4F"/>
    <w:rsid w:val="00DE424B"/>
    <w:rsid w:val="00DF5C6A"/>
    <w:rsid w:val="00E020C8"/>
    <w:rsid w:val="00E237BA"/>
    <w:rsid w:val="00E259BF"/>
    <w:rsid w:val="00E34630"/>
    <w:rsid w:val="00E43D2E"/>
    <w:rsid w:val="00E47CB8"/>
    <w:rsid w:val="00E904F1"/>
    <w:rsid w:val="00E946C2"/>
    <w:rsid w:val="00E94BCF"/>
    <w:rsid w:val="00EB2712"/>
    <w:rsid w:val="00EB74B9"/>
    <w:rsid w:val="00EE0F76"/>
    <w:rsid w:val="00EE16B4"/>
    <w:rsid w:val="00EE3C30"/>
    <w:rsid w:val="00EF1D56"/>
    <w:rsid w:val="00EF490C"/>
    <w:rsid w:val="00F14874"/>
    <w:rsid w:val="00F21F6B"/>
    <w:rsid w:val="00F23119"/>
    <w:rsid w:val="00F243D5"/>
    <w:rsid w:val="00F305B6"/>
    <w:rsid w:val="00F322E7"/>
    <w:rsid w:val="00F34A5F"/>
    <w:rsid w:val="00F36C98"/>
    <w:rsid w:val="00F42613"/>
    <w:rsid w:val="00F50F69"/>
    <w:rsid w:val="00F51ECA"/>
    <w:rsid w:val="00F51F77"/>
    <w:rsid w:val="00F82B2D"/>
    <w:rsid w:val="00F87D68"/>
    <w:rsid w:val="00F92D52"/>
    <w:rsid w:val="00FA1692"/>
    <w:rsid w:val="00FA2C12"/>
    <w:rsid w:val="00FA3B9B"/>
    <w:rsid w:val="00FA3E11"/>
    <w:rsid w:val="00FB2F6F"/>
    <w:rsid w:val="00FC1807"/>
    <w:rsid w:val="00FC182F"/>
    <w:rsid w:val="00FC5047"/>
    <w:rsid w:val="00FD3A46"/>
    <w:rsid w:val="00FE05C9"/>
    <w:rsid w:val="00FE7A38"/>
    <w:rsid w:val="00FF1CCF"/>
    <w:rsid w:val="0188325D"/>
    <w:rsid w:val="018F1CB3"/>
    <w:rsid w:val="01A30B43"/>
    <w:rsid w:val="01C74A1F"/>
    <w:rsid w:val="01E434C3"/>
    <w:rsid w:val="024A10A9"/>
    <w:rsid w:val="025F10DA"/>
    <w:rsid w:val="028BD3BC"/>
    <w:rsid w:val="02AD65E2"/>
    <w:rsid w:val="02BBBEEB"/>
    <w:rsid w:val="030EBB47"/>
    <w:rsid w:val="0351BC16"/>
    <w:rsid w:val="0366A750"/>
    <w:rsid w:val="03861D0E"/>
    <w:rsid w:val="0398741D"/>
    <w:rsid w:val="03A4D236"/>
    <w:rsid w:val="03D15C53"/>
    <w:rsid w:val="046D5F1F"/>
    <w:rsid w:val="04918C9A"/>
    <w:rsid w:val="051A616E"/>
    <w:rsid w:val="06D0CE87"/>
    <w:rsid w:val="06D5B5BE"/>
    <w:rsid w:val="06E57048"/>
    <w:rsid w:val="0772B0F2"/>
    <w:rsid w:val="07841283"/>
    <w:rsid w:val="07BC6921"/>
    <w:rsid w:val="07F05094"/>
    <w:rsid w:val="082E0F41"/>
    <w:rsid w:val="08388FF6"/>
    <w:rsid w:val="0840F596"/>
    <w:rsid w:val="085375C7"/>
    <w:rsid w:val="08640271"/>
    <w:rsid w:val="08701BAE"/>
    <w:rsid w:val="08B36C0D"/>
    <w:rsid w:val="08DFCFD3"/>
    <w:rsid w:val="090279C2"/>
    <w:rsid w:val="0919A5A8"/>
    <w:rsid w:val="0974A420"/>
    <w:rsid w:val="09EDD291"/>
    <w:rsid w:val="09FE1680"/>
    <w:rsid w:val="0A07F8E5"/>
    <w:rsid w:val="0A5C9CE5"/>
    <w:rsid w:val="0ABF3998"/>
    <w:rsid w:val="0B0FEA52"/>
    <w:rsid w:val="0BBA7FE1"/>
    <w:rsid w:val="0BD12DB4"/>
    <w:rsid w:val="0C0F056F"/>
    <w:rsid w:val="0C300EEE"/>
    <w:rsid w:val="0C557220"/>
    <w:rsid w:val="0C958F3F"/>
    <w:rsid w:val="0CB79552"/>
    <w:rsid w:val="0D0B00B7"/>
    <w:rsid w:val="0D257353"/>
    <w:rsid w:val="0D28E828"/>
    <w:rsid w:val="0D2A3F9C"/>
    <w:rsid w:val="0DC5924D"/>
    <w:rsid w:val="0DF5A270"/>
    <w:rsid w:val="0E30AB18"/>
    <w:rsid w:val="0ECBE44E"/>
    <w:rsid w:val="0EFE29FC"/>
    <w:rsid w:val="0F0D1529"/>
    <w:rsid w:val="0F4401D0"/>
    <w:rsid w:val="0FAE52A9"/>
    <w:rsid w:val="0FB6766C"/>
    <w:rsid w:val="101D32D8"/>
    <w:rsid w:val="1042A5AF"/>
    <w:rsid w:val="11413FA4"/>
    <w:rsid w:val="116796DC"/>
    <w:rsid w:val="11853B19"/>
    <w:rsid w:val="11A3E45D"/>
    <w:rsid w:val="11B0DAEF"/>
    <w:rsid w:val="11ED008B"/>
    <w:rsid w:val="12472DCE"/>
    <w:rsid w:val="126FEC97"/>
    <w:rsid w:val="12ABB419"/>
    <w:rsid w:val="12C29D7A"/>
    <w:rsid w:val="1374BB8F"/>
    <w:rsid w:val="14B4833D"/>
    <w:rsid w:val="14B5AB3F"/>
    <w:rsid w:val="14CF37BF"/>
    <w:rsid w:val="14F7F810"/>
    <w:rsid w:val="15609CAC"/>
    <w:rsid w:val="156CA90E"/>
    <w:rsid w:val="160F4BD5"/>
    <w:rsid w:val="16620452"/>
    <w:rsid w:val="168783FF"/>
    <w:rsid w:val="1690973B"/>
    <w:rsid w:val="16B32D3C"/>
    <w:rsid w:val="170246A1"/>
    <w:rsid w:val="1708EC0A"/>
    <w:rsid w:val="1745C472"/>
    <w:rsid w:val="179F3178"/>
    <w:rsid w:val="17A4C568"/>
    <w:rsid w:val="17F1EA98"/>
    <w:rsid w:val="186BA56C"/>
    <w:rsid w:val="18CE9E51"/>
    <w:rsid w:val="198E2D73"/>
    <w:rsid w:val="19F51991"/>
    <w:rsid w:val="1A0030BB"/>
    <w:rsid w:val="1A0FBAE6"/>
    <w:rsid w:val="1A210D4B"/>
    <w:rsid w:val="1A744031"/>
    <w:rsid w:val="1AD93517"/>
    <w:rsid w:val="1AE61CF2"/>
    <w:rsid w:val="1B075652"/>
    <w:rsid w:val="1B45F084"/>
    <w:rsid w:val="1BE38CD2"/>
    <w:rsid w:val="1C59B391"/>
    <w:rsid w:val="1CD60349"/>
    <w:rsid w:val="1D3CD0A5"/>
    <w:rsid w:val="1DFE3A45"/>
    <w:rsid w:val="1E012BDE"/>
    <w:rsid w:val="1E13859D"/>
    <w:rsid w:val="1E2934CA"/>
    <w:rsid w:val="1E5F2D4C"/>
    <w:rsid w:val="1F659339"/>
    <w:rsid w:val="1F7C0787"/>
    <w:rsid w:val="1FBE9CA0"/>
    <w:rsid w:val="2016DBC0"/>
    <w:rsid w:val="203B616A"/>
    <w:rsid w:val="20698909"/>
    <w:rsid w:val="209649B4"/>
    <w:rsid w:val="20B1976C"/>
    <w:rsid w:val="20E97F8A"/>
    <w:rsid w:val="214DD275"/>
    <w:rsid w:val="217727D8"/>
    <w:rsid w:val="218505B8"/>
    <w:rsid w:val="218FC153"/>
    <w:rsid w:val="21942E47"/>
    <w:rsid w:val="21B2A2DB"/>
    <w:rsid w:val="21B2AC21"/>
    <w:rsid w:val="2248B0AB"/>
    <w:rsid w:val="224C0EEA"/>
    <w:rsid w:val="2282FDB1"/>
    <w:rsid w:val="229E99B9"/>
    <w:rsid w:val="22AB1C5D"/>
    <w:rsid w:val="22E5039C"/>
    <w:rsid w:val="22F79E10"/>
    <w:rsid w:val="234E7C82"/>
    <w:rsid w:val="235B098C"/>
    <w:rsid w:val="236DB8B2"/>
    <w:rsid w:val="238C94F5"/>
    <w:rsid w:val="243A2A3B"/>
    <w:rsid w:val="24721024"/>
    <w:rsid w:val="24C1CF42"/>
    <w:rsid w:val="24F5DDE5"/>
    <w:rsid w:val="257537F8"/>
    <w:rsid w:val="25ED4492"/>
    <w:rsid w:val="2619E109"/>
    <w:rsid w:val="2630BD1F"/>
    <w:rsid w:val="2647FB8F"/>
    <w:rsid w:val="267F660D"/>
    <w:rsid w:val="2692D362"/>
    <w:rsid w:val="26D51E51"/>
    <w:rsid w:val="26F46B74"/>
    <w:rsid w:val="27B27B6E"/>
    <w:rsid w:val="2806CE5C"/>
    <w:rsid w:val="282A024D"/>
    <w:rsid w:val="283FE628"/>
    <w:rsid w:val="288D633A"/>
    <w:rsid w:val="28D308B6"/>
    <w:rsid w:val="2A45F34F"/>
    <w:rsid w:val="2A506A10"/>
    <w:rsid w:val="2AAB98DA"/>
    <w:rsid w:val="2AE379E4"/>
    <w:rsid w:val="2B2A5536"/>
    <w:rsid w:val="2C0AA978"/>
    <w:rsid w:val="2C0E1624"/>
    <w:rsid w:val="2C1AE36A"/>
    <w:rsid w:val="2C2C3231"/>
    <w:rsid w:val="2C38E9D0"/>
    <w:rsid w:val="2C65E6AF"/>
    <w:rsid w:val="2C7F4A45"/>
    <w:rsid w:val="2C8E85B0"/>
    <w:rsid w:val="2CAAE701"/>
    <w:rsid w:val="2CB1234F"/>
    <w:rsid w:val="2CDD9C55"/>
    <w:rsid w:val="2D290835"/>
    <w:rsid w:val="2D550DA3"/>
    <w:rsid w:val="2DC3F771"/>
    <w:rsid w:val="2DD31746"/>
    <w:rsid w:val="2DE783E3"/>
    <w:rsid w:val="2E726B2E"/>
    <w:rsid w:val="2E9417F5"/>
    <w:rsid w:val="2EA40A72"/>
    <w:rsid w:val="2EDD5FEA"/>
    <w:rsid w:val="2F1F304A"/>
    <w:rsid w:val="2F51F5E0"/>
    <w:rsid w:val="2F5CFEB8"/>
    <w:rsid w:val="2FB4751C"/>
    <w:rsid w:val="2FF8D90D"/>
    <w:rsid w:val="300695CD"/>
    <w:rsid w:val="30092007"/>
    <w:rsid w:val="3032570A"/>
    <w:rsid w:val="305D97AF"/>
    <w:rsid w:val="30AA8852"/>
    <w:rsid w:val="30F8CF19"/>
    <w:rsid w:val="31F6CE53"/>
    <w:rsid w:val="32106AA5"/>
    <w:rsid w:val="328B9580"/>
    <w:rsid w:val="32C747FE"/>
    <w:rsid w:val="330A322A"/>
    <w:rsid w:val="33482619"/>
    <w:rsid w:val="33A54C27"/>
    <w:rsid w:val="352B0709"/>
    <w:rsid w:val="353CBA90"/>
    <w:rsid w:val="363BBCA5"/>
    <w:rsid w:val="36ADA9D0"/>
    <w:rsid w:val="37311254"/>
    <w:rsid w:val="373B31F2"/>
    <w:rsid w:val="37C1FCEC"/>
    <w:rsid w:val="37FCD624"/>
    <w:rsid w:val="381559E8"/>
    <w:rsid w:val="382106A5"/>
    <w:rsid w:val="385D5C8F"/>
    <w:rsid w:val="386AD7A0"/>
    <w:rsid w:val="394BFA2D"/>
    <w:rsid w:val="3976B89D"/>
    <w:rsid w:val="39B3DBF2"/>
    <w:rsid w:val="39C6F14F"/>
    <w:rsid w:val="39EB5198"/>
    <w:rsid w:val="3A20C225"/>
    <w:rsid w:val="3A62C92E"/>
    <w:rsid w:val="3AADBE22"/>
    <w:rsid w:val="3AB646AA"/>
    <w:rsid w:val="3AC76CA8"/>
    <w:rsid w:val="3AEF812D"/>
    <w:rsid w:val="3BA5F430"/>
    <w:rsid w:val="3C1824C3"/>
    <w:rsid w:val="3C6B5869"/>
    <w:rsid w:val="3C8A8D73"/>
    <w:rsid w:val="3CEAF277"/>
    <w:rsid w:val="3D28AFB0"/>
    <w:rsid w:val="3D59CE72"/>
    <w:rsid w:val="3D5E19B0"/>
    <w:rsid w:val="3D7008A5"/>
    <w:rsid w:val="3D947D8E"/>
    <w:rsid w:val="3D9A2ECC"/>
    <w:rsid w:val="3DD9ECC7"/>
    <w:rsid w:val="3DE613E2"/>
    <w:rsid w:val="3E7A42B3"/>
    <w:rsid w:val="3EDEB88C"/>
    <w:rsid w:val="3F54ECE0"/>
    <w:rsid w:val="406856FA"/>
    <w:rsid w:val="40859C1D"/>
    <w:rsid w:val="40A7A967"/>
    <w:rsid w:val="40D18169"/>
    <w:rsid w:val="4107B0E4"/>
    <w:rsid w:val="41521093"/>
    <w:rsid w:val="417CA19E"/>
    <w:rsid w:val="41BA4268"/>
    <w:rsid w:val="41E4BAD6"/>
    <w:rsid w:val="41FFB1C9"/>
    <w:rsid w:val="42016E94"/>
    <w:rsid w:val="4203DFAE"/>
    <w:rsid w:val="424FE0F9"/>
    <w:rsid w:val="42BE3F13"/>
    <w:rsid w:val="43751A41"/>
    <w:rsid w:val="43E15A7F"/>
    <w:rsid w:val="43FF0F82"/>
    <w:rsid w:val="443BEFAC"/>
    <w:rsid w:val="44882801"/>
    <w:rsid w:val="44CD1D38"/>
    <w:rsid w:val="44E6DBC6"/>
    <w:rsid w:val="4510C2B1"/>
    <w:rsid w:val="452870BA"/>
    <w:rsid w:val="458DEDCE"/>
    <w:rsid w:val="459BCEE8"/>
    <w:rsid w:val="45DA9EB9"/>
    <w:rsid w:val="45DC4F52"/>
    <w:rsid w:val="460120EA"/>
    <w:rsid w:val="4678AC60"/>
    <w:rsid w:val="4684BB04"/>
    <w:rsid w:val="46A5A9EF"/>
    <w:rsid w:val="4710F4B5"/>
    <w:rsid w:val="4716EAEB"/>
    <w:rsid w:val="48B69729"/>
    <w:rsid w:val="48D806FE"/>
    <w:rsid w:val="4921F24E"/>
    <w:rsid w:val="4966E425"/>
    <w:rsid w:val="49B6024C"/>
    <w:rsid w:val="49F8EC8C"/>
    <w:rsid w:val="4A01C4BB"/>
    <w:rsid w:val="4A592219"/>
    <w:rsid w:val="4A81BAE3"/>
    <w:rsid w:val="4AF7B3EB"/>
    <w:rsid w:val="4B521AA3"/>
    <w:rsid w:val="4B775915"/>
    <w:rsid w:val="4B8E7F53"/>
    <w:rsid w:val="4BFE7EC1"/>
    <w:rsid w:val="4CB2EE5C"/>
    <w:rsid w:val="4D1ED01B"/>
    <w:rsid w:val="4D8B1BDD"/>
    <w:rsid w:val="4DD293CD"/>
    <w:rsid w:val="4DE5B09E"/>
    <w:rsid w:val="4E3A5548"/>
    <w:rsid w:val="4E5B5B9D"/>
    <w:rsid w:val="4E960121"/>
    <w:rsid w:val="4EC7B134"/>
    <w:rsid w:val="4F21FCD0"/>
    <w:rsid w:val="4F9AB3F4"/>
    <w:rsid w:val="4F9B61D4"/>
    <w:rsid w:val="4FEB7CAF"/>
    <w:rsid w:val="4FF81B7B"/>
    <w:rsid w:val="502EDCE9"/>
    <w:rsid w:val="50317BF3"/>
    <w:rsid w:val="503F4BB8"/>
    <w:rsid w:val="50B73643"/>
    <w:rsid w:val="50C71994"/>
    <w:rsid w:val="510AE2E4"/>
    <w:rsid w:val="517A9A2E"/>
    <w:rsid w:val="51C6E2C7"/>
    <w:rsid w:val="51D6454D"/>
    <w:rsid w:val="520C100E"/>
    <w:rsid w:val="52BB46CA"/>
    <w:rsid w:val="538BC5D3"/>
    <w:rsid w:val="53BDC15F"/>
    <w:rsid w:val="545BC775"/>
    <w:rsid w:val="546066AC"/>
    <w:rsid w:val="5477B361"/>
    <w:rsid w:val="54C25AA0"/>
    <w:rsid w:val="555AD737"/>
    <w:rsid w:val="558B1621"/>
    <w:rsid w:val="55AA88B6"/>
    <w:rsid w:val="55E514BE"/>
    <w:rsid w:val="5651321B"/>
    <w:rsid w:val="565B3408"/>
    <w:rsid w:val="570F18FA"/>
    <w:rsid w:val="572B4BEC"/>
    <w:rsid w:val="5776D711"/>
    <w:rsid w:val="582A1E0B"/>
    <w:rsid w:val="584607F4"/>
    <w:rsid w:val="584F236F"/>
    <w:rsid w:val="58672D7A"/>
    <w:rsid w:val="59E8B1E7"/>
    <w:rsid w:val="59EF12E7"/>
    <w:rsid w:val="5B6AE6C9"/>
    <w:rsid w:val="5C3C5352"/>
    <w:rsid w:val="5C3E5121"/>
    <w:rsid w:val="5CA6110F"/>
    <w:rsid w:val="5CA9E6D1"/>
    <w:rsid w:val="5CCF5CA1"/>
    <w:rsid w:val="5D47CFFC"/>
    <w:rsid w:val="5D5D5D47"/>
    <w:rsid w:val="5D79A1B1"/>
    <w:rsid w:val="5D91E250"/>
    <w:rsid w:val="5DB576AD"/>
    <w:rsid w:val="5DBE2717"/>
    <w:rsid w:val="5DD63D17"/>
    <w:rsid w:val="5DF56BAA"/>
    <w:rsid w:val="5E76908E"/>
    <w:rsid w:val="5F51470E"/>
    <w:rsid w:val="5F7FAB5C"/>
    <w:rsid w:val="5FF6EE08"/>
    <w:rsid w:val="600B2C80"/>
    <w:rsid w:val="603EA27D"/>
    <w:rsid w:val="60723F5F"/>
    <w:rsid w:val="607B498C"/>
    <w:rsid w:val="60C74330"/>
    <w:rsid w:val="60C7DF9D"/>
    <w:rsid w:val="60DAA4F5"/>
    <w:rsid w:val="6134EB74"/>
    <w:rsid w:val="61403F04"/>
    <w:rsid w:val="61B64F28"/>
    <w:rsid w:val="62127C49"/>
    <w:rsid w:val="623EAF42"/>
    <w:rsid w:val="626FC15C"/>
    <w:rsid w:val="62905F8F"/>
    <w:rsid w:val="62C3BDD7"/>
    <w:rsid w:val="638B659D"/>
    <w:rsid w:val="63EB07CC"/>
    <w:rsid w:val="64F24BDB"/>
    <w:rsid w:val="64F76541"/>
    <w:rsid w:val="6506E0B1"/>
    <w:rsid w:val="653F0817"/>
    <w:rsid w:val="65759FF3"/>
    <w:rsid w:val="65BADC70"/>
    <w:rsid w:val="661265A7"/>
    <w:rsid w:val="66328F3C"/>
    <w:rsid w:val="66A2B112"/>
    <w:rsid w:val="66A743B4"/>
    <w:rsid w:val="66AD782B"/>
    <w:rsid w:val="66D1B86F"/>
    <w:rsid w:val="66DD8AB7"/>
    <w:rsid w:val="67411A64"/>
    <w:rsid w:val="67B6B57A"/>
    <w:rsid w:val="683E8173"/>
    <w:rsid w:val="6859F5A2"/>
    <w:rsid w:val="688D945A"/>
    <w:rsid w:val="6890B074"/>
    <w:rsid w:val="691A5DC8"/>
    <w:rsid w:val="693C4726"/>
    <w:rsid w:val="696E72E8"/>
    <w:rsid w:val="696EB0DF"/>
    <w:rsid w:val="69DBD712"/>
    <w:rsid w:val="6AC91C99"/>
    <w:rsid w:val="6B0A4349"/>
    <w:rsid w:val="6B1DC143"/>
    <w:rsid w:val="6B7D2948"/>
    <w:rsid w:val="6B828186"/>
    <w:rsid w:val="6C076109"/>
    <w:rsid w:val="6C38A4AE"/>
    <w:rsid w:val="6C62A5A8"/>
    <w:rsid w:val="6C836AD4"/>
    <w:rsid w:val="6CDAFE29"/>
    <w:rsid w:val="6CEEF8B5"/>
    <w:rsid w:val="6CF13E38"/>
    <w:rsid w:val="6DE57DE7"/>
    <w:rsid w:val="6E40BA9D"/>
    <w:rsid w:val="6E4C8BAC"/>
    <w:rsid w:val="6E869399"/>
    <w:rsid w:val="6E8BC890"/>
    <w:rsid w:val="6EA77865"/>
    <w:rsid w:val="6EAF4063"/>
    <w:rsid w:val="6EB5B07D"/>
    <w:rsid w:val="701F08A2"/>
    <w:rsid w:val="705180DE"/>
    <w:rsid w:val="70564453"/>
    <w:rsid w:val="709BB384"/>
    <w:rsid w:val="709F811E"/>
    <w:rsid w:val="709FE4DB"/>
    <w:rsid w:val="713A8326"/>
    <w:rsid w:val="715F347C"/>
    <w:rsid w:val="716780A5"/>
    <w:rsid w:val="71ED513F"/>
    <w:rsid w:val="71F93429"/>
    <w:rsid w:val="721A4FE6"/>
    <w:rsid w:val="722FC402"/>
    <w:rsid w:val="72A1AD4D"/>
    <w:rsid w:val="731E385D"/>
    <w:rsid w:val="735F39B3"/>
    <w:rsid w:val="737B4311"/>
    <w:rsid w:val="73842972"/>
    <w:rsid w:val="73BCC43E"/>
    <w:rsid w:val="73F382E1"/>
    <w:rsid w:val="74237B81"/>
    <w:rsid w:val="7453F978"/>
    <w:rsid w:val="74C20D53"/>
    <w:rsid w:val="750A6C5F"/>
    <w:rsid w:val="750B8EDE"/>
    <w:rsid w:val="75165B01"/>
    <w:rsid w:val="751E82C1"/>
    <w:rsid w:val="755E2615"/>
    <w:rsid w:val="7563F18D"/>
    <w:rsid w:val="75B8667C"/>
    <w:rsid w:val="762674AE"/>
    <w:rsid w:val="76465791"/>
    <w:rsid w:val="76AD1477"/>
    <w:rsid w:val="76F1A410"/>
    <w:rsid w:val="76F3DC51"/>
    <w:rsid w:val="772EF315"/>
    <w:rsid w:val="77471B42"/>
    <w:rsid w:val="779E2A17"/>
    <w:rsid w:val="779F2230"/>
    <w:rsid w:val="77A45273"/>
    <w:rsid w:val="784D9ACE"/>
    <w:rsid w:val="78548F12"/>
    <w:rsid w:val="79437A9A"/>
    <w:rsid w:val="798F20F8"/>
    <w:rsid w:val="79C085EB"/>
    <w:rsid w:val="7A1A912D"/>
    <w:rsid w:val="7A88E227"/>
    <w:rsid w:val="7AD9DB9A"/>
    <w:rsid w:val="7B72B4DD"/>
    <w:rsid w:val="7BAADEA9"/>
    <w:rsid w:val="7BAE980C"/>
    <w:rsid w:val="7BD2EA4C"/>
    <w:rsid w:val="7BE1E6D2"/>
    <w:rsid w:val="7BED176C"/>
    <w:rsid w:val="7D3C31DB"/>
    <w:rsid w:val="7D4989FD"/>
    <w:rsid w:val="7E601EC7"/>
    <w:rsid w:val="7E6C1909"/>
    <w:rsid w:val="7EAAAFC4"/>
    <w:rsid w:val="7ED8A30D"/>
    <w:rsid w:val="7EF03698"/>
    <w:rsid w:val="7F0AA418"/>
    <w:rsid w:val="7F274DBD"/>
    <w:rsid w:val="7F40182A"/>
    <w:rsid w:val="7FBFF1A1"/>
    <w:rsid w:val="7FD330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8FB5"/>
  <w15:chartTrackingRefBased/>
  <w15:docId w15:val="{9DF1C6A5-FDFB-4B37-B806-E75EBE6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13"/>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2"/>
    <w:uiPriority w:val="99"/>
    <w:qFormat/>
    <w:rsid w:val="00F42613"/>
    <w:pPr>
      <w:ind w:left="357" w:hanging="357"/>
    </w:pPr>
    <w:rPr>
      <w:sz w:val="20"/>
    </w:rPr>
  </w:style>
  <w:style w:type="character" w:customStyle="1" w:styleId="FootnoteTextChar">
    <w:name w:val="Footnote Text Char"/>
    <w:basedOn w:val="DefaultParagraphFont"/>
    <w:uiPriority w:val="99"/>
    <w:semiHidden/>
    <w:rsid w:val="00F42613"/>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42613"/>
    <w:rPr>
      <w:vertAlign w:val="superscript"/>
    </w:rPr>
  </w:style>
  <w:style w:type="character" w:styleId="Hyperlink">
    <w:name w:val="Hyperlink"/>
    <w:aliases w:val="Char1"/>
    <w:uiPriority w:val="99"/>
    <w:qFormat/>
    <w:rsid w:val="00F42613"/>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qFormat/>
    <w:rsid w:val="00F4261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42613"/>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ListParagraph">
    <w:name w:val="List Paragraph"/>
    <w:basedOn w:val="Normal"/>
    <w:uiPriority w:val="34"/>
    <w:qFormat/>
    <w:rsid w:val="001431F9"/>
    <w:pPr>
      <w:ind w:left="720"/>
      <w:contextualSpacing/>
    </w:pPr>
  </w:style>
  <w:style w:type="paragraph" w:styleId="Header">
    <w:name w:val="header"/>
    <w:basedOn w:val="Normal"/>
    <w:link w:val="HeaderChar"/>
    <w:uiPriority w:val="99"/>
    <w:semiHidden/>
    <w:unhideWhenUsed/>
    <w:rsid w:val="000A57EE"/>
    <w:pPr>
      <w:tabs>
        <w:tab w:val="center" w:pos="4513"/>
        <w:tab w:val="right" w:pos="9026"/>
      </w:tabs>
      <w:spacing w:after="0"/>
    </w:pPr>
  </w:style>
  <w:style w:type="character" w:customStyle="1" w:styleId="HeaderChar">
    <w:name w:val="Header Char"/>
    <w:basedOn w:val="DefaultParagraphFont"/>
    <w:link w:val="Header"/>
    <w:uiPriority w:val="99"/>
    <w:semiHidden/>
    <w:rsid w:val="000A57EE"/>
    <w:rPr>
      <w:rFonts w:ascii="Courier New" w:eastAsia="Times New Roman" w:hAnsi="Courier New" w:cs="Times New Roman"/>
      <w:sz w:val="24"/>
      <w:szCs w:val="20"/>
      <w:lang w:eastAsia="en-GB"/>
    </w:rPr>
  </w:style>
  <w:style w:type="paragraph" w:styleId="Footer">
    <w:name w:val="footer"/>
    <w:basedOn w:val="Normal"/>
    <w:link w:val="FooterChar"/>
    <w:uiPriority w:val="99"/>
    <w:semiHidden/>
    <w:unhideWhenUsed/>
    <w:rsid w:val="000A57EE"/>
    <w:pPr>
      <w:tabs>
        <w:tab w:val="center" w:pos="4513"/>
        <w:tab w:val="right" w:pos="9026"/>
      </w:tabs>
      <w:spacing w:after="0"/>
    </w:pPr>
  </w:style>
  <w:style w:type="character" w:customStyle="1" w:styleId="FooterChar">
    <w:name w:val="Footer Char"/>
    <w:basedOn w:val="DefaultParagraphFont"/>
    <w:link w:val="Footer"/>
    <w:uiPriority w:val="99"/>
    <w:semiHidden/>
    <w:rsid w:val="000A57EE"/>
    <w:rPr>
      <w:rFonts w:ascii="Courier New" w:eastAsia="Times New Roman" w:hAnsi="Courier New" w:cs="Times New Roman"/>
      <w:sz w:val="24"/>
      <w:szCs w:val="20"/>
      <w:lang w:eastAsia="en-GB"/>
    </w:rPr>
  </w:style>
  <w:style w:type="paragraph" w:styleId="Revision">
    <w:name w:val="Revision"/>
    <w:hidden/>
    <w:uiPriority w:val="99"/>
    <w:semiHidden/>
    <w:rsid w:val="00F82B2D"/>
    <w:pPr>
      <w:spacing w:after="0" w:line="240" w:lineRule="auto"/>
    </w:pPr>
    <w:rPr>
      <w:rFonts w:ascii="Courier New" w:eastAsia="Times New Roman" w:hAnsi="Courier New" w:cs="Times New Roman"/>
      <w:sz w:val="24"/>
      <w:szCs w:val="20"/>
      <w:lang w:eastAsia="en-GB"/>
    </w:rPr>
  </w:style>
  <w:style w:type="character" w:customStyle="1" w:styleId="normaltextrun">
    <w:name w:val="normaltextrun"/>
    <w:basedOn w:val="DefaultParagraphFont"/>
    <w:rsid w:val="00820FA3"/>
  </w:style>
  <w:style w:type="character" w:customStyle="1" w:styleId="findhit">
    <w:name w:val="findhit"/>
    <w:basedOn w:val="DefaultParagraphFont"/>
    <w:rsid w:val="00820FA3"/>
  </w:style>
  <w:style w:type="character" w:styleId="CommentReference">
    <w:name w:val="annotation reference"/>
    <w:basedOn w:val="DefaultParagraphFont"/>
    <w:uiPriority w:val="99"/>
    <w:semiHidden/>
    <w:unhideWhenUsed/>
    <w:rsid w:val="003C5AA8"/>
    <w:rPr>
      <w:sz w:val="16"/>
      <w:szCs w:val="16"/>
    </w:rPr>
  </w:style>
  <w:style w:type="paragraph" w:styleId="CommentText">
    <w:name w:val="annotation text"/>
    <w:basedOn w:val="Normal"/>
    <w:link w:val="CommentTextChar"/>
    <w:uiPriority w:val="99"/>
    <w:unhideWhenUsed/>
    <w:rsid w:val="003C5AA8"/>
    <w:rPr>
      <w:sz w:val="20"/>
    </w:rPr>
  </w:style>
  <w:style w:type="character" w:customStyle="1" w:styleId="CommentTextChar">
    <w:name w:val="Comment Text Char"/>
    <w:basedOn w:val="DefaultParagraphFont"/>
    <w:link w:val="CommentText"/>
    <w:uiPriority w:val="99"/>
    <w:rsid w:val="003C5AA8"/>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5AA8"/>
    <w:rPr>
      <w:b/>
      <w:bCs/>
    </w:rPr>
  </w:style>
  <w:style w:type="character" w:customStyle="1" w:styleId="CommentSubjectChar">
    <w:name w:val="Comment Subject Char"/>
    <w:basedOn w:val="CommentTextChar"/>
    <w:link w:val="CommentSubject"/>
    <w:uiPriority w:val="99"/>
    <w:semiHidden/>
    <w:rsid w:val="003C5AA8"/>
    <w:rPr>
      <w:rFonts w:ascii="Courier New" w:eastAsia="Times New Roman" w:hAnsi="Courier New" w:cs="Times New Roman"/>
      <w:b/>
      <w:bCs/>
      <w:sz w:val="20"/>
      <w:szCs w:val="20"/>
      <w:lang w:eastAsia="en-GB"/>
    </w:rPr>
  </w:style>
  <w:style w:type="character" w:styleId="Mention">
    <w:name w:val="Mention"/>
    <w:basedOn w:val="DefaultParagraphFont"/>
    <w:uiPriority w:val="99"/>
    <w:unhideWhenUsed/>
    <w:rsid w:val="003C5AA8"/>
    <w:rPr>
      <w:color w:val="2B579A"/>
      <w:shd w:val="clear" w:color="auto" w:fill="E1DFDD"/>
    </w:rPr>
  </w:style>
  <w:style w:type="character" w:styleId="UnresolvedMention">
    <w:name w:val="Unresolved Mention"/>
    <w:basedOn w:val="DefaultParagraphFont"/>
    <w:uiPriority w:val="99"/>
    <w:semiHidden/>
    <w:unhideWhenUsed/>
    <w:rsid w:val="008C6974"/>
    <w:rPr>
      <w:color w:val="605E5C"/>
      <w:shd w:val="clear" w:color="auto" w:fill="E1DFDD"/>
    </w:rPr>
  </w:style>
  <w:style w:type="character" w:styleId="FollowedHyperlink">
    <w:name w:val="FollowedHyperlink"/>
    <w:basedOn w:val="DefaultParagraphFont"/>
    <w:uiPriority w:val="99"/>
    <w:semiHidden/>
    <w:unhideWhenUsed/>
    <w:rsid w:val="00045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439">
      <w:bodyDiv w:val="1"/>
      <w:marLeft w:val="0"/>
      <w:marRight w:val="0"/>
      <w:marTop w:val="0"/>
      <w:marBottom w:val="0"/>
      <w:divBdr>
        <w:top w:val="none" w:sz="0" w:space="0" w:color="auto"/>
        <w:left w:val="none" w:sz="0" w:space="0" w:color="auto"/>
        <w:bottom w:val="none" w:sz="0" w:space="0" w:color="auto"/>
        <w:right w:val="none" w:sz="0" w:space="0" w:color="auto"/>
      </w:divBdr>
    </w:div>
    <w:div w:id="275454138">
      <w:bodyDiv w:val="1"/>
      <w:marLeft w:val="0"/>
      <w:marRight w:val="0"/>
      <w:marTop w:val="0"/>
      <w:marBottom w:val="0"/>
      <w:divBdr>
        <w:top w:val="none" w:sz="0" w:space="0" w:color="auto"/>
        <w:left w:val="none" w:sz="0" w:space="0" w:color="auto"/>
        <w:bottom w:val="none" w:sz="0" w:space="0" w:color="auto"/>
        <w:right w:val="none" w:sz="0" w:space="0" w:color="auto"/>
      </w:divBdr>
    </w:div>
    <w:div w:id="484779725">
      <w:bodyDiv w:val="1"/>
      <w:marLeft w:val="0"/>
      <w:marRight w:val="0"/>
      <w:marTop w:val="0"/>
      <w:marBottom w:val="0"/>
      <w:divBdr>
        <w:top w:val="none" w:sz="0" w:space="0" w:color="auto"/>
        <w:left w:val="none" w:sz="0" w:space="0" w:color="auto"/>
        <w:bottom w:val="none" w:sz="0" w:space="0" w:color="auto"/>
        <w:right w:val="none" w:sz="0" w:space="0" w:color="auto"/>
      </w:divBdr>
    </w:div>
    <w:div w:id="747384352">
      <w:bodyDiv w:val="1"/>
      <w:marLeft w:val="0"/>
      <w:marRight w:val="0"/>
      <w:marTop w:val="0"/>
      <w:marBottom w:val="0"/>
      <w:divBdr>
        <w:top w:val="none" w:sz="0" w:space="0" w:color="auto"/>
        <w:left w:val="none" w:sz="0" w:space="0" w:color="auto"/>
        <w:bottom w:val="none" w:sz="0" w:space="0" w:color="auto"/>
        <w:right w:val="none" w:sz="0" w:space="0" w:color="auto"/>
      </w:divBdr>
    </w:div>
    <w:div w:id="813764337">
      <w:bodyDiv w:val="1"/>
      <w:marLeft w:val="0"/>
      <w:marRight w:val="0"/>
      <w:marTop w:val="0"/>
      <w:marBottom w:val="0"/>
      <w:divBdr>
        <w:top w:val="none" w:sz="0" w:space="0" w:color="auto"/>
        <w:left w:val="none" w:sz="0" w:space="0" w:color="auto"/>
        <w:bottom w:val="none" w:sz="0" w:space="0" w:color="auto"/>
        <w:right w:val="none" w:sz="0" w:space="0" w:color="auto"/>
      </w:divBdr>
    </w:div>
    <w:div w:id="1585333511">
      <w:bodyDiv w:val="1"/>
      <w:marLeft w:val="0"/>
      <w:marRight w:val="0"/>
      <w:marTop w:val="0"/>
      <w:marBottom w:val="0"/>
      <w:divBdr>
        <w:top w:val="none" w:sz="0" w:space="0" w:color="auto"/>
        <w:left w:val="none" w:sz="0" w:space="0" w:color="auto"/>
        <w:bottom w:val="none" w:sz="0" w:space="0" w:color="auto"/>
        <w:right w:val="none" w:sz="0" w:space="0" w:color="auto"/>
      </w:divBdr>
    </w:div>
    <w:div w:id="1941834362">
      <w:bodyDiv w:val="1"/>
      <w:marLeft w:val="0"/>
      <w:marRight w:val="0"/>
      <w:marTop w:val="0"/>
      <w:marBottom w:val="0"/>
      <w:divBdr>
        <w:top w:val="none" w:sz="0" w:space="0" w:color="auto"/>
        <w:left w:val="none" w:sz="0" w:space="0" w:color="auto"/>
        <w:bottom w:val="none" w:sz="0" w:space="0" w:color="auto"/>
        <w:right w:val="none" w:sz="0" w:space="0" w:color="auto"/>
      </w:divBdr>
    </w:div>
    <w:div w:id="2089424591">
      <w:bodyDiv w:val="1"/>
      <w:marLeft w:val="0"/>
      <w:marRight w:val="0"/>
      <w:marTop w:val="0"/>
      <w:marBottom w:val="0"/>
      <w:divBdr>
        <w:top w:val="none" w:sz="0" w:space="0" w:color="auto"/>
        <w:left w:val="none" w:sz="0" w:space="0" w:color="auto"/>
        <w:bottom w:val="none" w:sz="0" w:space="0" w:color="auto"/>
        <w:right w:val="none" w:sz="0" w:space="0" w:color="auto"/>
      </w:divBdr>
    </w:div>
    <w:div w:id="21014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euaidexplorer.ec.europa.eu/index_en" TargetMode="External"/><Relationship Id="rId1" Type="http://schemas.openxmlformats.org/officeDocument/2006/relationships/hyperlink" Target="https://capacity4dev.europa.eu/resources/team-europe-track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B821FD596CA4199F5E15CA8AF115B" ma:contentTypeVersion="6" ma:contentTypeDescription="Create a new document." ma:contentTypeScope="" ma:versionID="ede8ed15f0d15049e5bf77b65a93b564">
  <xsd:schema xmlns:xsd="http://www.w3.org/2001/XMLSchema" xmlns:xs="http://www.w3.org/2001/XMLSchema" xmlns:p="http://schemas.microsoft.com/office/2006/metadata/properties" xmlns:ns2="6d5ad584-533d-4d9e-8d12-f1eda2044479" targetNamespace="http://schemas.microsoft.com/office/2006/metadata/properties" ma:root="true" ma:fieldsID="3960b9a1fdf3ca65f2b464f31d526a0d" ns2:_="">
    <xsd:import namespace="6d5ad584-533d-4d9e-8d12-f1eda20444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d584-533d-4d9e-8d12-f1eda2044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7FD08-098E-4EAA-AB59-D2483AB6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ad584-533d-4d9e-8d12-f1eda2044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5B27A-7165-4F9A-8A23-92315F802E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75302-26DB-4891-ADF5-1B6F66C08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2805</Words>
  <Characters>16359</Characters>
  <Application>Microsoft Office Word</Application>
  <DocSecurity>0</DocSecurity>
  <Lines>230</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19124</CharactersWithSpaces>
  <SharedDoc>false</SharedDoc>
  <HLinks>
    <vt:vector size="12" baseType="variant">
      <vt:variant>
        <vt:i4>7536666</vt:i4>
      </vt:variant>
      <vt:variant>
        <vt:i4>3</vt:i4>
      </vt:variant>
      <vt:variant>
        <vt:i4>0</vt:i4>
      </vt:variant>
      <vt:variant>
        <vt:i4>5</vt:i4>
      </vt:variant>
      <vt:variant>
        <vt:lpwstr>https://euaidexplorer.ec.europa.eu/index_en</vt:lpwstr>
      </vt:variant>
      <vt:variant>
        <vt:lpwstr/>
      </vt:variant>
      <vt:variant>
        <vt:i4>6619217</vt:i4>
      </vt:variant>
      <vt:variant>
        <vt:i4>0</vt:i4>
      </vt:variant>
      <vt:variant>
        <vt:i4>0</vt:i4>
      </vt:variant>
      <vt:variant>
        <vt:i4>5</vt:i4>
      </vt:variant>
      <vt:variant>
        <vt:lpwstr>https://capacity4dev.europa.eu/resources/team-europe-tracker_en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KALBUROV Ivan (INTPA)</dc:creator>
  <cp:keywords/>
  <dc:description/>
  <cp:lastModifiedBy>ALMEIDA Maria Jose (SG)</cp:lastModifiedBy>
  <cp:revision>6</cp:revision>
  <dcterms:created xsi:type="dcterms:W3CDTF">2024-03-01T13:38:00Z</dcterms:created>
  <dcterms:modified xsi:type="dcterms:W3CDTF">2024-03-07T15:38:00Z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2023-12-14T15:05:47Z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651af0e3-744b-471f-a97a-7eebb295dacb</vt:lpwstr>
  </property>
  <property fmtid="{D5CDD505-2E9C-101B-9397-08002B2CF9AE}" pid="8" name="MSIP_Label_6bd9ddd1-4d20-43f6-abfa-fc3c07406f94_ContentBits">
    <vt:lpwstr>0</vt:lpwstr>
  </property>
  <property fmtid="{D5CDD505-2E9C-101B-9397-08002B2CF9AE}" pid="9" name="ContentTypeId">
    <vt:lpwstr>0x010100852B821FD596CA4199F5E15CA8AF115B</vt:lpwstr>
  </property>
</Properties>
</file>