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F37A" w14:textId="68588083" w:rsidR="00963420" w:rsidRPr="00DD54F7" w:rsidRDefault="00963420" w:rsidP="009B32D9">
      <w:pPr>
        <w:spacing w:after="600"/>
        <w:jc w:val="center"/>
        <w:rPr>
          <w:rFonts w:ascii="Times New Roman" w:hAnsi="Times New Roman"/>
          <w:b/>
          <w:bCs/>
          <w:szCs w:val="24"/>
        </w:rPr>
      </w:pPr>
      <w:r w:rsidRPr="00DD54F7">
        <w:rPr>
          <w:rFonts w:ascii="Times New Roman" w:hAnsi="Times New Roman"/>
          <w:b/>
          <w:szCs w:val="24"/>
        </w:rPr>
        <w:t xml:space="preserve">Follow-up to the European Parliament </w:t>
      </w:r>
      <w:bookmarkStart w:id="0" w:name="_Hlk157430803"/>
      <w:r w:rsidRPr="00DD54F7">
        <w:rPr>
          <w:rFonts w:ascii="Times New Roman" w:hAnsi="Times New Roman"/>
          <w:b/>
          <w:szCs w:val="24"/>
        </w:rPr>
        <w:t xml:space="preserve">non-legislative resolution </w:t>
      </w:r>
      <w:r w:rsidRPr="00DD54F7">
        <w:rPr>
          <w:rFonts w:ascii="Times New Roman" w:hAnsi="Times New Roman"/>
          <w:b/>
          <w:bCs/>
          <w:szCs w:val="24"/>
        </w:rPr>
        <w:t xml:space="preserve">on </w:t>
      </w:r>
      <w:r w:rsidR="00DC0E04" w:rsidRPr="00DD54F7">
        <w:rPr>
          <w:rFonts w:ascii="Times New Roman" w:hAnsi="Times New Roman"/>
          <w:b/>
          <w:bCs/>
          <w:szCs w:val="24"/>
        </w:rPr>
        <w:t>the</w:t>
      </w:r>
      <w:r w:rsidR="009B32D9">
        <w:rPr>
          <w:rFonts w:ascii="Times New Roman" w:hAnsi="Times New Roman"/>
          <w:b/>
          <w:bCs/>
          <w:szCs w:val="24"/>
        </w:rPr>
        <w:t xml:space="preserve"> </w:t>
      </w:r>
      <w:r w:rsidR="00A40F45" w:rsidRPr="00DD54F7">
        <w:rPr>
          <w:rFonts w:ascii="Times New Roman" w:hAnsi="Times New Roman"/>
          <w:b/>
        </w:rPr>
        <w:t>i</w:t>
      </w:r>
      <w:r w:rsidR="00DC0E04" w:rsidRPr="00DD54F7">
        <w:rPr>
          <w:rFonts w:ascii="Times New Roman" w:hAnsi="Times New Roman"/>
          <w:b/>
        </w:rPr>
        <w:t>mplementation of the Treaty provisions on special legislative procedures</w:t>
      </w:r>
      <w:bookmarkEnd w:id="0"/>
    </w:p>
    <w:p w14:paraId="222E65B7" w14:textId="4DD86488" w:rsidR="00963420" w:rsidRPr="009B32D9" w:rsidRDefault="00963420" w:rsidP="0084310E">
      <w:pPr>
        <w:numPr>
          <w:ilvl w:val="0"/>
          <w:numId w:val="34"/>
        </w:numPr>
        <w:ind w:left="567" w:hanging="567"/>
        <w:rPr>
          <w:rFonts w:ascii="Times New Roman" w:hAnsi="Times New Roman"/>
          <w:iCs/>
          <w:szCs w:val="24"/>
        </w:rPr>
      </w:pPr>
      <w:r w:rsidRPr="00DD54F7">
        <w:rPr>
          <w:rFonts w:ascii="Times New Roman" w:hAnsi="Times New Roman"/>
          <w:b/>
          <w:szCs w:val="24"/>
        </w:rPr>
        <w:t>Rapporteur:</w:t>
      </w:r>
      <w:r w:rsidRPr="00DD54F7">
        <w:rPr>
          <w:rFonts w:ascii="Times New Roman" w:hAnsi="Times New Roman"/>
          <w:szCs w:val="24"/>
        </w:rPr>
        <w:t xml:space="preserve"> </w:t>
      </w:r>
      <w:r w:rsidR="000A5964" w:rsidRPr="009B32D9">
        <w:rPr>
          <w:rFonts w:ascii="Times New Roman" w:hAnsi="Times New Roman"/>
          <w:iCs/>
          <w:szCs w:val="24"/>
        </w:rPr>
        <w:t xml:space="preserve">Victor </w:t>
      </w:r>
      <w:r w:rsidR="009B32D9" w:rsidRPr="009B32D9">
        <w:rPr>
          <w:rFonts w:ascii="Times New Roman" w:hAnsi="Times New Roman"/>
          <w:iCs/>
          <w:szCs w:val="24"/>
        </w:rPr>
        <w:t>NEGRESCU</w:t>
      </w:r>
      <w:r w:rsidR="000A5964" w:rsidRPr="009B32D9">
        <w:rPr>
          <w:rFonts w:ascii="Times New Roman" w:hAnsi="Times New Roman"/>
          <w:iCs/>
          <w:szCs w:val="24"/>
        </w:rPr>
        <w:t xml:space="preserve"> </w:t>
      </w:r>
      <w:r w:rsidRPr="009B32D9">
        <w:rPr>
          <w:rFonts w:ascii="Times New Roman" w:hAnsi="Times New Roman"/>
          <w:iCs/>
          <w:szCs w:val="24"/>
        </w:rPr>
        <w:t>(</w:t>
      </w:r>
      <w:r w:rsidR="000A5964" w:rsidRPr="009B32D9">
        <w:rPr>
          <w:rFonts w:ascii="Times New Roman" w:hAnsi="Times New Roman"/>
          <w:iCs/>
          <w:szCs w:val="24"/>
        </w:rPr>
        <w:t>S&amp;D</w:t>
      </w:r>
      <w:r w:rsidR="009B32D9">
        <w:rPr>
          <w:rFonts w:ascii="Times New Roman" w:hAnsi="Times New Roman"/>
          <w:iCs/>
          <w:szCs w:val="24"/>
        </w:rPr>
        <w:t xml:space="preserve"> </w:t>
      </w:r>
      <w:r w:rsidRPr="009B32D9">
        <w:rPr>
          <w:rFonts w:ascii="Times New Roman" w:hAnsi="Times New Roman"/>
          <w:b/>
          <w:iCs/>
          <w:szCs w:val="24"/>
        </w:rPr>
        <w:t>/</w:t>
      </w:r>
      <w:r w:rsidR="009B32D9">
        <w:rPr>
          <w:rFonts w:ascii="Times New Roman" w:hAnsi="Times New Roman"/>
          <w:b/>
          <w:iCs/>
          <w:szCs w:val="24"/>
        </w:rPr>
        <w:t xml:space="preserve"> </w:t>
      </w:r>
      <w:r w:rsidR="000A5964" w:rsidRPr="009B32D9">
        <w:rPr>
          <w:rFonts w:ascii="Times New Roman" w:hAnsi="Times New Roman"/>
          <w:iCs/>
          <w:szCs w:val="24"/>
        </w:rPr>
        <w:t>RO</w:t>
      </w:r>
      <w:r w:rsidRPr="009B32D9">
        <w:rPr>
          <w:rFonts w:ascii="Times New Roman" w:hAnsi="Times New Roman"/>
          <w:iCs/>
          <w:szCs w:val="24"/>
        </w:rPr>
        <w:t>)</w:t>
      </w:r>
    </w:p>
    <w:p w14:paraId="6900E183" w14:textId="408B193A" w:rsidR="00963420" w:rsidRPr="009B32D9" w:rsidRDefault="00063DCE" w:rsidP="0084310E">
      <w:pPr>
        <w:pStyle w:val="Default"/>
        <w:numPr>
          <w:ilvl w:val="0"/>
          <w:numId w:val="34"/>
        </w:numPr>
        <w:spacing w:after="240"/>
        <w:ind w:left="567" w:hanging="567"/>
        <w:jc w:val="both"/>
        <w:rPr>
          <w:color w:val="auto"/>
          <w:lang w:val="en-GB"/>
        </w:rPr>
      </w:pPr>
      <w:r w:rsidRPr="00DD54F7">
        <w:rPr>
          <w:b/>
          <w:color w:val="auto"/>
          <w:lang w:val="en-GB"/>
        </w:rPr>
        <w:t>R</w:t>
      </w:r>
      <w:r w:rsidR="00963420" w:rsidRPr="00DD54F7">
        <w:rPr>
          <w:b/>
          <w:color w:val="auto"/>
          <w:lang w:val="en-GB"/>
        </w:rPr>
        <w:t xml:space="preserve">eference number: </w:t>
      </w:r>
      <w:r w:rsidR="000A5964" w:rsidRPr="009B32D9">
        <w:rPr>
          <w:lang w:val="en-GB"/>
        </w:rPr>
        <w:t>2023/2083</w:t>
      </w:r>
      <w:r w:rsidR="009B32D9">
        <w:rPr>
          <w:lang w:val="en-GB"/>
        </w:rPr>
        <w:t xml:space="preserve"> </w:t>
      </w:r>
      <w:r w:rsidR="000A5964" w:rsidRPr="009B32D9">
        <w:rPr>
          <w:lang w:val="en-GB"/>
        </w:rPr>
        <w:t>(INI)</w:t>
      </w:r>
      <w:r w:rsidRPr="009B32D9">
        <w:rPr>
          <w:rFonts w:eastAsia="Calibri"/>
          <w:bCs/>
          <w:lang w:val="en-GB" w:eastAsia="en-US"/>
        </w:rPr>
        <w:t xml:space="preserve"> /</w:t>
      </w:r>
      <w:r w:rsidR="001F0B89" w:rsidRPr="009B32D9">
        <w:rPr>
          <w:color w:val="auto"/>
          <w:lang w:val="en-GB"/>
        </w:rPr>
        <w:t xml:space="preserve"> </w:t>
      </w:r>
      <w:r w:rsidR="000A5964" w:rsidRPr="009B32D9">
        <w:rPr>
          <w:lang w:val="en-GB"/>
        </w:rPr>
        <w:t>A9-0384/2023</w:t>
      </w:r>
      <w:r w:rsidR="00963420" w:rsidRPr="009B32D9">
        <w:rPr>
          <w:color w:val="auto"/>
          <w:lang w:val="en-GB"/>
        </w:rPr>
        <w:t xml:space="preserve"> /</w:t>
      </w:r>
      <w:r w:rsidR="005B5B3D" w:rsidRPr="009B32D9">
        <w:rPr>
          <w:rFonts w:ascii="Arial" w:hAnsi="Arial" w:cs="Arial"/>
          <w:color w:val="666666"/>
          <w:sz w:val="18"/>
          <w:szCs w:val="18"/>
          <w:shd w:val="clear" w:color="auto" w:fill="FFFFFF"/>
          <w:lang w:val="en-GB" w:eastAsia="en-GB"/>
        </w:rPr>
        <w:t xml:space="preserve"> </w:t>
      </w:r>
      <w:r w:rsidR="005B5B3D" w:rsidRPr="009B32D9">
        <w:rPr>
          <w:color w:val="auto"/>
          <w:lang w:val="en-GB"/>
        </w:rPr>
        <w:t>P9_</w:t>
      </w:r>
      <w:proofErr w:type="gramStart"/>
      <w:r w:rsidR="005B5B3D" w:rsidRPr="009B32D9">
        <w:rPr>
          <w:color w:val="auto"/>
          <w:lang w:val="en-GB"/>
        </w:rPr>
        <w:t>TA(</w:t>
      </w:r>
      <w:proofErr w:type="gramEnd"/>
      <w:r w:rsidR="005B5B3D" w:rsidRPr="009B32D9">
        <w:rPr>
          <w:color w:val="auto"/>
          <w:lang w:val="en-GB"/>
        </w:rPr>
        <w:t xml:space="preserve">2023)0470 </w:t>
      </w:r>
    </w:p>
    <w:p w14:paraId="61D85C18" w14:textId="58D6A4BC" w:rsidR="001F0B89" w:rsidRPr="009B32D9" w:rsidRDefault="00963420" w:rsidP="0084310E">
      <w:pPr>
        <w:numPr>
          <w:ilvl w:val="0"/>
          <w:numId w:val="34"/>
        </w:numPr>
        <w:ind w:left="567" w:hanging="567"/>
        <w:rPr>
          <w:rFonts w:ascii="Times New Roman" w:hAnsi="Times New Roman"/>
          <w:iCs/>
          <w:szCs w:val="24"/>
        </w:rPr>
      </w:pPr>
      <w:r w:rsidRPr="00DD54F7">
        <w:rPr>
          <w:rFonts w:ascii="Times New Roman" w:hAnsi="Times New Roman"/>
          <w:b/>
          <w:szCs w:val="24"/>
        </w:rPr>
        <w:t xml:space="preserve">Date of adoption of the </w:t>
      </w:r>
      <w:r w:rsidR="009B32D9">
        <w:rPr>
          <w:rFonts w:ascii="Times New Roman" w:hAnsi="Times New Roman"/>
          <w:b/>
          <w:szCs w:val="24"/>
        </w:rPr>
        <w:t>r</w:t>
      </w:r>
      <w:r w:rsidRPr="00DD54F7">
        <w:rPr>
          <w:rFonts w:ascii="Times New Roman" w:hAnsi="Times New Roman"/>
          <w:b/>
          <w:szCs w:val="24"/>
        </w:rPr>
        <w:t>esolution:</w:t>
      </w:r>
      <w:r w:rsidRPr="00DD54F7">
        <w:rPr>
          <w:rFonts w:ascii="Times New Roman" w:hAnsi="Times New Roman"/>
          <w:szCs w:val="24"/>
        </w:rPr>
        <w:t xml:space="preserve"> </w:t>
      </w:r>
      <w:r w:rsidR="000A5964" w:rsidRPr="009B32D9">
        <w:rPr>
          <w:rFonts w:ascii="Times New Roman" w:hAnsi="Times New Roman"/>
          <w:iCs/>
          <w:szCs w:val="24"/>
        </w:rPr>
        <w:t>13 December 2023</w:t>
      </w:r>
    </w:p>
    <w:p w14:paraId="4451E813" w14:textId="7565917D" w:rsidR="00963420" w:rsidRPr="009B32D9" w:rsidRDefault="00963420" w:rsidP="0084310E">
      <w:pPr>
        <w:numPr>
          <w:ilvl w:val="0"/>
          <w:numId w:val="34"/>
        </w:numPr>
        <w:ind w:left="567" w:hanging="567"/>
        <w:rPr>
          <w:rFonts w:ascii="Times New Roman" w:hAnsi="Times New Roman"/>
          <w:szCs w:val="24"/>
        </w:rPr>
      </w:pPr>
      <w:r w:rsidRPr="00DD54F7">
        <w:rPr>
          <w:rFonts w:ascii="Times New Roman" w:hAnsi="Times New Roman"/>
          <w:b/>
          <w:szCs w:val="24"/>
        </w:rPr>
        <w:t xml:space="preserve">Competent Parliamentary Committee: </w:t>
      </w:r>
      <w:r w:rsidR="00EA2741" w:rsidRPr="009B32D9">
        <w:rPr>
          <w:rFonts w:ascii="Times New Roman" w:hAnsi="Times New Roman"/>
          <w:szCs w:val="24"/>
        </w:rPr>
        <w:t xml:space="preserve">Committee on </w:t>
      </w:r>
      <w:r w:rsidR="000A5964" w:rsidRPr="009B32D9">
        <w:rPr>
          <w:rFonts w:ascii="Times New Roman" w:hAnsi="Times New Roman"/>
          <w:szCs w:val="24"/>
        </w:rPr>
        <w:t>Constitutional Affairs</w:t>
      </w:r>
      <w:r w:rsidR="009B32D9">
        <w:rPr>
          <w:rFonts w:ascii="Times New Roman" w:hAnsi="Times New Roman"/>
          <w:szCs w:val="24"/>
        </w:rPr>
        <w:t xml:space="preserve"> (AFCO)</w:t>
      </w:r>
    </w:p>
    <w:p w14:paraId="1540F533" w14:textId="26692081" w:rsidR="00963420" w:rsidRPr="00DD54F7" w:rsidRDefault="00963420" w:rsidP="0084310E">
      <w:pPr>
        <w:widowControl w:val="0"/>
        <w:numPr>
          <w:ilvl w:val="0"/>
          <w:numId w:val="34"/>
        </w:numPr>
        <w:ind w:left="567" w:hanging="567"/>
        <w:rPr>
          <w:rFonts w:ascii="Times New Roman" w:hAnsi="Times New Roman"/>
          <w:b/>
          <w:szCs w:val="24"/>
        </w:rPr>
      </w:pPr>
      <w:r w:rsidRPr="00DD54F7">
        <w:rPr>
          <w:rFonts w:ascii="Times New Roman" w:hAnsi="Times New Roman"/>
          <w:b/>
          <w:szCs w:val="24"/>
        </w:rPr>
        <w:t>Brief analysis/</w:t>
      </w:r>
      <w:r w:rsidR="00AB3960" w:rsidRPr="00DD54F7">
        <w:rPr>
          <w:rFonts w:ascii="Times New Roman" w:hAnsi="Times New Roman"/>
          <w:b/>
          <w:szCs w:val="24"/>
        </w:rPr>
        <w:t xml:space="preserve"> </w:t>
      </w:r>
      <w:r w:rsidRPr="00DD54F7">
        <w:rPr>
          <w:rFonts w:ascii="Times New Roman" w:hAnsi="Times New Roman"/>
          <w:b/>
          <w:szCs w:val="24"/>
        </w:rPr>
        <w:t xml:space="preserve">assessment of the </w:t>
      </w:r>
      <w:r w:rsidR="009B32D9">
        <w:rPr>
          <w:rFonts w:ascii="Times New Roman" w:hAnsi="Times New Roman"/>
          <w:b/>
          <w:szCs w:val="24"/>
        </w:rPr>
        <w:t>r</w:t>
      </w:r>
      <w:r w:rsidRPr="00DD54F7">
        <w:rPr>
          <w:rFonts w:ascii="Times New Roman" w:hAnsi="Times New Roman"/>
          <w:b/>
          <w:szCs w:val="24"/>
        </w:rPr>
        <w:t>esolution and requests made in it:</w:t>
      </w:r>
      <w:r w:rsidR="00146971" w:rsidRPr="00DD54F7">
        <w:rPr>
          <w:rFonts w:ascii="Times New Roman" w:hAnsi="Times New Roman"/>
          <w:b/>
          <w:szCs w:val="24"/>
        </w:rPr>
        <w:t xml:space="preserve"> </w:t>
      </w:r>
    </w:p>
    <w:p w14:paraId="3B5421F1" w14:textId="3871EC7C" w:rsidR="00E4758A" w:rsidRPr="00DD54F7" w:rsidRDefault="004C7527" w:rsidP="009B32D9">
      <w:pPr>
        <w:widowControl w:val="0"/>
        <w:spacing w:after="120"/>
        <w:rPr>
          <w:rFonts w:ascii="Times New Roman" w:hAnsi="Times New Roman"/>
          <w:bCs/>
          <w:szCs w:val="24"/>
        </w:rPr>
      </w:pPr>
      <w:r w:rsidRPr="00DD54F7">
        <w:rPr>
          <w:rFonts w:ascii="Times New Roman" w:hAnsi="Times New Roman"/>
          <w:bCs/>
          <w:szCs w:val="24"/>
        </w:rPr>
        <w:t xml:space="preserve">The </w:t>
      </w:r>
      <w:r w:rsidR="009B32D9">
        <w:rPr>
          <w:rFonts w:ascii="Times New Roman" w:hAnsi="Times New Roman"/>
          <w:bCs/>
          <w:szCs w:val="24"/>
        </w:rPr>
        <w:t>r</w:t>
      </w:r>
      <w:r w:rsidR="00DC0E04" w:rsidRPr="00DD54F7">
        <w:rPr>
          <w:rFonts w:ascii="Times New Roman" w:hAnsi="Times New Roman"/>
          <w:bCs/>
          <w:szCs w:val="24"/>
        </w:rPr>
        <w:t>esolution</w:t>
      </w:r>
      <w:r w:rsidRPr="00DD54F7">
        <w:rPr>
          <w:rFonts w:ascii="Times New Roman" w:hAnsi="Times New Roman"/>
          <w:bCs/>
          <w:szCs w:val="24"/>
        </w:rPr>
        <w:t xml:space="preserve"> addresses </w:t>
      </w:r>
      <w:r w:rsidR="008B5F93" w:rsidRPr="00DD54F7">
        <w:rPr>
          <w:rFonts w:ascii="Times New Roman" w:hAnsi="Times New Roman"/>
          <w:bCs/>
          <w:szCs w:val="24"/>
        </w:rPr>
        <w:t xml:space="preserve">certain concerns of the </w:t>
      </w:r>
      <w:r w:rsidRPr="00DD54F7">
        <w:rPr>
          <w:rFonts w:ascii="Times New Roman" w:hAnsi="Times New Roman"/>
          <w:bCs/>
          <w:szCs w:val="24"/>
        </w:rPr>
        <w:t xml:space="preserve">Parliament </w:t>
      </w:r>
      <w:proofErr w:type="gramStart"/>
      <w:r w:rsidRPr="00DD54F7">
        <w:rPr>
          <w:rFonts w:ascii="Times New Roman" w:hAnsi="Times New Roman"/>
          <w:bCs/>
          <w:szCs w:val="24"/>
        </w:rPr>
        <w:t>with regard to</w:t>
      </w:r>
      <w:proofErr w:type="gramEnd"/>
      <w:r w:rsidRPr="00DD54F7">
        <w:rPr>
          <w:rFonts w:ascii="Times New Roman" w:hAnsi="Times New Roman"/>
          <w:bCs/>
          <w:szCs w:val="24"/>
        </w:rPr>
        <w:t xml:space="preserve"> the practical implementation of Treaty provisions on special legislative procedures. </w:t>
      </w:r>
      <w:r w:rsidR="006D6678" w:rsidRPr="00DD54F7">
        <w:rPr>
          <w:rFonts w:ascii="Times New Roman" w:hAnsi="Times New Roman"/>
          <w:bCs/>
          <w:szCs w:val="24"/>
        </w:rPr>
        <w:t>T</w:t>
      </w:r>
      <w:r w:rsidRPr="00DD54F7">
        <w:rPr>
          <w:rFonts w:ascii="Times New Roman" w:hAnsi="Times New Roman"/>
          <w:bCs/>
          <w:szCs w:val="24"/>
        </w:rPr>
        <w:t xml:space="preserve">he </w:t>
      </w:r>
      <w:r w:rsidR="00DC0E04" w:rsidRPr="00DD54F7">
        <w:rPr>
          <w:rFonts w:ascii="Times New Roman" w:hAnsi="Times New Roman"/>
          <w:bCs/>
          <w:szCs w:val="24"/>
        </w:rPr>
        <w:t>Parliament</w:t>
      </w:r>
      <w:r w:rsidR="006777E7" w:rsidRPr="00DD54F7">
        <w:rPr>
          <w:rFonts w:ascii="Times New Roman" w:hAnsi="Times New Roman"/>
          <w:bCs/>
          <w:szCs w:val="24"/>
        </w:rPr>
        <w:t xml:space="preserve"> </w:t>
      </w:r>
      <w:r w:rsidR="00DC0E04" w:rsidRPr="00DD54F7">
        <w:rPr>
          <w:rFonts w:ascii="Times New Roman" w:hAnsi="Times New Roman"/>
          <w:bCs/>
          <w:szCs w:val="24"/>
        </w:rPr>
        <w:t>argues</w:t>
      </w:r>
      <w:r w:rsidR="006777E7" w:rsidRPr="00DD54F7">
        <w:rPr>
          <w:rFonts w:ascii="Times New Roman" w:hAnsi="Times New Roman"/>
          <w:bCs/>
          <w:szCs w:val="24"/>
        </w:rPr>
        <w:t xml:space="preserve"> </w:t>
      </w:r>
      <w:proofErr w:type="gramStart"/>
      <w:r w:rsidR="0089679A" w:rsidRPr="00DD54F7">
        <w:rPr>
          <w:rFonts w:ascii="Times New Roman" w:hAnsi="Times New Roman"/>
          <w:bCs/>
          <w:szCs w:val="24"/>
        </w:rPr>
        <w:t xml:space="preserve">in particular </w:t>
      </w:r>
      <w:r w:rsidR="006777E7" w:rsidRPr="00DD54F7">
        <w:rPr>
          <w:rFonts w:ascii="Times New Roman" w:hAnsi="Times New Roman"/>
          <w:bCs/>
          <w:szCs w:val="24"/>
        </w:rPr>
        <w:t>that</w:t>
      </w:r>
      <w:proofErr w:type="gramEnd"/>
      <w:r w:rsidR="006777E7" w:rsidRPr="00DD54F7">
        <w:rPr>
          <w:rFonts w:ascii="Times New Roman" w:hAnsi="Times New Roman"/>
          <w:bCs/>
          <w:szCs w:val="24"/>
        </w:rPr>
        <w:t xml:space="preserve"> </w:t>
      </w:r>
      <w:r w:rsidRPr="00DD54F7">
        <w:rPr>
          <w:rFonts w:ascii="Times New Roman" w:hAnsi="Times New Roman"/>
          <w:bCs/>
          <w:szCs w:val="24"/>
        </w:rPr>
        <w:t>the Council</w:t>
      </w:r>
      <w:r w:rsidR="006240AD" w:rsidRPr="00DD54F7">
        <w:rPr>
          <w:rFonts w:ascii="Times New Roman" w:hAnsi="Times New Roman"/>
          <w:bCs/>
          <w:szCs w:val="24"/>
        </w:rPr>
        <w:t xml:space="preserve"> </w:t>
      </w:r>
      <w:r w:rsidR="0026531C" w:rsidRPr="00DD54F7">
        <w:rPr>
          <w:rFonts w:ascii="Times New Roman" w:hAnsi="Times New Roman"/>
          <w:bCs/>
          <w:szCs w:val="24"/>
        </w:rPr>
        <w:t>o</w:t>
      </w:r>
      <w:r w:rsidR="00FF0261" w:rsidRPr="00DD54F7">
        <w:rPr>
          <w:rFonts w:ascii="Times New Roman" w:hAnsi="Times New Roman"/>
          <w:bCs/>
          <w:szCs w:val="24"/>
        </w:rPr>
        <w:t xml:space="preserve">n </w:t>
      </w:r>
      <w:r w:rsidR="00A40F45" w:rsidRPr="00DD54F7">
        <w:rPr>
          <w:rFonts w:ascii="Times New Roman" w:hAnsi="Times New Roman"/>
          <w:bCs/>
          <w:szCs w:val="24"/>
        </w:rPr>
        <w:t xml:space="preserve">a number of legislative </w:t>
      </w:r>
      <w:r w:rsidR="00FF0261" w:rsidRPr="00DD54F7">
        <w:rPr>
          <w:rFonts w:ascii="Times New Roman" w:hAnsi="Times New Roman"/>
          <w:bCs/>
          <w:szCs w:val="24"/>
        </w:rPr>
        <w:t xml:space="preserve">files </w:t>
      </w:r>
      <w:r w:rsidR="008B5F93" w:rsidRPr="00DD54F7">
        <w:rPr>
          <w:rFonts w:ascii="Times New Roman" w:hAnsi="Times New Roman"/>
          <w:bCs/>
          <w:szCs w:val="24"/>
        </w:rPr>
        <w:t>act</w:t>
      </w:r>
      <w:r w:rsidR="00FF0261" w:rsidRPr="00DD54F7">
        <w:rPr>
          <w:rFonts w:ascii="Times New Roman" w:hAnsi="Times New Roman"/>
          <w:bCs/>
          <w:szCs w:val="24"/>
        </w:rPr>
        <w:t>ed</w:t>
      </w:r>
      <w:r w:rsidR="008B5F93" w:rsidRPr="00DD54F7">
        <w:rPr>
          <w:rFonts w:ascii="Times New Roman" w:hAnsi="Times New Roman"/>
          <w:bCs/>
          <w:szCs w:val="24"/>
        </w:rPr>
        <w:t xml:space="preserve"> in such a way as to deprive Parliament of its full participatory and decision-making rights and that it </w:t>
      </w:r>
      <w:r w:rsidR="006D6678" w:rsidRPr="00DD54F7">
        <w:rPr>
          <w:rFonts w:ascii="Times New Roman" w:hAnsi="Times New Roman"/>
          <w:bCs/>
          <w:szCs w:val="24"/>
        </w:rPr>
        <w:t xml:space="preserve">does </w:t>
      </w:r>
      <w:r w:rsidR="007576B3" w:rsidRPr="00DD54F7">
        <w:rPr>
          <w:rFonts w:ascii="Times New Roman" w:hAnsi="Times New Roman"/>
          <w:bCs/>
          <w:szCs w:val="24"/>
        </w:rPr>
        <w:t>not respect the principle of mutual sincere cooperatio</w:t>
      </w:r>
      <w:r w:rsidR="00642F27" w:rsidRPr="00DD54F7">
        <w:rPr>
          <w:rFonts w:ascii="Times New Roman" w:hAnsi="Times New Roman"/>
          <w:bCs/>
          <w:szCs w:val="24"/>
        </w:rPr>
        <w:t>n, for instance by not adopting its position in a reasonable timeframe.</w:t>
      </w:r>
      <w:r w:rsidR="00DC0E04" w:rsidRPr="00DD54F7">
        <w:rPr>
          <w:rFonts w:ascii="Times New Roman" w:hAnsi="Times New Roman"/>
          <w:bCs/>
          <w:szCs w:val="24"/>
        </w:rPr>
        <w:t xml:space="preserve"> It</w:t>
      </w:r>
      <w:r w:rsidR="006777E7" w:rsidRPr="00DD54F7">
        <w:rPr>
          <w:rFonts w:ascii="Times New Roman" w:hAnsi="Times New Roman"/>
          <w:bCs/>
          <w:szCs w:val="24"/>
        </w:rPr>
        <w:t xml:space="preserve"> </w:t>
      </w:r>
      <w:r w:rsidR="00642F27" w:rsidRPr="00DD54F7">
        <w:rPr>
          <w:rFonts w:ascii="Times New Roman" w:hAnsi="Times New Roman"/>
          <w:bCs/>
          <w:szCs w:val="24"/>
        </w:rPr>
        <w:t xml:space="preserve">therefore </w:t>
      </w:r>
      <w:r w:rsidR="006777E7" w:rsidRPr="00DD54F7">
        <w:rPr>
          <w:rFonts w:ascii="Times New Roman" w:hAnsi="Times New Roman"/>
          <w:bCs/>
          <w:szCs w:val="24"/>
        </w:rPr>
        <w:t xml:space="preserve">calls </w:t>
      </w:r>
      <w:r w:rsidR="00642F27" w:rsidRPr="00DD54F7">
        <w:rPr>
          <w:rFonts w:ascii="Times New Roman" w:hAnsi="Times New Roman"/>
          <w:bCs/>
          <w:szCs w:val="24"/>
        </w:rPr>
        <w:t xml:space="preserve">for </w:t>
      </w:r>
      <w:r w:rsidR="00DD35B5" w:rsidRPr="00DD54F7">
        <w:rPr>
          <w:rFonts w:ascii="Times New Roman" w:hAnsi="Times New Roman"/>
          <w:bCs/>
          <w:szCs w:val="24"/>
        </w:rPr>
        <w:t>the Parliament</w:t>
      </w:r>
      <w:r w:rsidR="00642F27" w:rsidRPr="00DD54F7">
        <w:rPr>
          <w:rFonts w:ascii="Times New Roman" w:hAnsi="Times New Roman"/>
          <w:bCs/>
          <w:szCs w:val="24"/>
        </w:rPr>
        <w:t xml:space="preserve">’s role to be strengthened </w:t>
      </w:r>
      <w:r w:rsidRPr="00DD54F7">
        <w:rPr>
          <w:rFonts w:ascii="Times New Roman" w:hAnsi="Times New Roman"/>
          <w:bCs/>
          <w:szCs w:val="24"/>
        </w:rPr>
        <w:t xml:space="preserve">to </w:t>
      </w:r>
      <w:r w:rsidR="00642F27" w:rsidRPr="00DD54F7">
        <w:rPr>
          <w:rFonts w:ascii="Times New Roman" w:hAnsi="Times New Roman"/>
          <w:bCs/>
          <w:szCs w:val="24"/>
        </w:rPr>
        <w:t xml:space="preserve">allow it to engage </w:t>
      </w:r>
      <w:r w:rsidR="006D6678" w:rsidRPr="00DD54F7">
        <w:rPr>
          <w:rFonts w:ascii="Times New Roman" w:hAnsi="Times New Roman"/>
          <w:bCs/>
          <w:szCs w:val="24"/>
        </w:rPr>
        <w:t xml:space="preserve">in these procedures </w:t>
      </w:r>
      <w:r w:rsidR="006777E7" w:rsidRPr="00DD54F7">
        <w:rPr>
          <w:rFonts w:ascii="Times New Roman" w:hAnsi="Times New Roman"/>
          <w:bCs/>
          <w:szCs w:val="24"/>
        </w:rPr>
        <w:t xml:space="preserve">on an equal </w:t>
      </w:r>
      <w:r w:rsidR="00DC0E04" w:rsidRPr="00DD54F7">
        <w:rPr>
          <w:rFonts w:ascii="Times New Roman" w:hAnsi="Times New Roman"/>
          <w:bCs/>
          <w:szCs w:val="24"/>
        </w:rPr>
        <w:t>footing</w:t>
      </w:r>
      <w:r w:rsidR="006777E7" w:rsidRPr="00DD54F7">
        <w:rPr>
          <w:rFonts w:ascii="Times New Roman" w:hAnsi="Times New Roman"/>
          <w:bCs/>
          <w:szCs w:val="24"/>
        </w:rPr>
        <w:t xml:space="preserve"> </w:t>
      </w:r>
      <w:r w:rsidR="00642F27" w:rsidRPr="00DD54F7">
        <w:rPr>
          <w:rFonts w:ascii="Times New Roman" w:hAnsi="Times New Roman"/>
          <w:bCs/>
          <w:szCs w:val="24"/>
        </w:rPr>
        <w:t xml:space="preserve">in negotiations </w:t>
      </w:r>
      <w:r w:rsidR="006777E7" w:rsidRPr="00DD54F7">
        <w:rPr>
          <w:rFonts w:ascii="Times New Roman" w:hAnsi="Times New Roman"/>
          <w:bCs/>
          <w:szCs w:val="24"/>
        </w:rPr>
        <w:t>with the Council</w:t>
      </w:r>
      <w:r w:rsidR="00D57622" w:rsidRPr="00DD54F7">
        <w:rPr>
          <w:rFonts w:ascii="Times New Roman" w:hAnsi="Times New Roman"/>
          <w:bCs/>
          <w:szCs w:val="24"/>
        </w:rPr>
        <w:t>.</w:t>
      </w:r>
      <w:r w:rsidR="00FB1D02" w:rsidRPr="00DD54F7">
        <w:rPr>
          <w:rFonts w:ascii="Times New Roman" w:hAnsi="Times New Roman"/>
          <w:bCs/>
          <w:szCs w:val="24"/>
        </w:rPr>
        <w:t xml:space="preserve"> </w:t>
      </w:r>
      <w:r w:rsidR="00DA04B2" w:rsidRPr="00DA04B2">
        <w:rPr>
          <w:rFonts w:ascii="Times New Roman" w:hAnsi="Times New Roman"/>
          <w:bCs/>
          <w:szCs w:val="24"/>
        </w:rPr>
        <w:t xml:space="preserve">The </w:t>
      </w:r>
      <w:r w:rsidR="009B32D9">
        <w:rPr>
          <w:rFonts w:ascii="Times New Roman" w:hAnsi="Times New Roman"/>
          <w:bCs/>
          <w:szCs w:val="24"/>
        </w:rPr>
        <w:t>r</w:t>
      </w:r>
      <w:r w:rsidR="00DA04B2" w:rsidRPr="00DA04B2">
        <w:rPr>
          <w:rFonts w:ascii="Times New Roman" w:hAnsi="Times New Roman"/>
          <w:bCs/>
          <w:szCs w:val="24"/>
        </w:rPr>
        <w:t xml:space="preserve">esolution </w:t>
      </w:r>
      <w:r w:rsidR="00DA04B2">
        <w:rPr>
          <w:rFonts w:ascii="Times New Roman" w:hAnsi="Times New Roman"/>
          <w:bCs/>
          <w:szCs w:val="24"/>
        </w:rPr>
        <w:t xml:space="preserve">lists </w:t>
      </w:r>
      <w:proofErr w:type="gramStart"/>
      <w:r w:rsidR="00DA04B2">
        <w:rPr>
          <w:rFonts w:ascii="Times New Roman" w:hAnsi="Times New Roman"/>
          <w:bCs/>
          <w:szCs w:val="24"/>
        </w:rPr>
        <w:t>a number of</w:t>
      </w:r>
      <w:proofErr w:type="gramEnd"/>
      <w:r w:rsidR="00DA04B2">
        <w:rPr>
          <w:rFonts w:ascii="Times New Roman" w:hAnsi="Times New Roman"/>
          <w:bCs/>
          <w:szCs w:val="24"/>
        </w:rPr>
        <w:t xml:space="preserve"> files under </w:t>
      </w:r>
      <w:r w:rsidR="00DA04B2" w:rsidRPr="00DA04B2">
        <w:rPr>
          <w:rFonts w:ascii="Times New Roman" w:hAnsi="Times New Roman"/>
          <w:bCs/>
          <w:szCs w:val="24"/>
        </w:rPr>
        <w:t>various types of special legislative procedures.</w:t>
      </w:r>
    </w:p>
    <w:p w14:paraId="4FE4476A" w14:textId="46D757C8" w:rsidR="009260AD" w:rsidRDefault="00DA04B2" w:rsidP="009B32D9">
      <w:pPr>
        <w:spacing w:after="120"/>
        <w:rPr>
          <w:rFonts w:ascii="Times New Roman" w:hAnsi="Times New Roman"/>
        </w:rPr>
      </w:pPr>
      <w:r w:rsidRPr="003743B3">
        <w:rPr>
          <w:rFonts w:ascii="Times New Roman" w:hAnsi="Times New Roman"/>
        </w:rPr>
        <w:t xml:space="preserve">For </w:t>
      </w:r>
      <w:r w:rsidRPr="003743B3">
        <w:rPr>
          <w:rFonts w:ascii="Times New Roman" w:hAnsi="Times New Roman"/>
          <w:b/>
          <w:bCs/>
        </w:rPr>
        <w:t xml:space="preserve">acts adopted by the Council or the European Council </w:t>
      </w:r>
      <w:r w:rsidR="005F492A">
        <w:rPr>
          <w:rFonts w:ascii="Times New Roman" w:hAnsi="Times New Roman"/>
          <w:b/>
          <w:bCs/>
        </w:rPr>
        <w:t>at</w:t>
      </w:r>
      <w:r w:rsidRPr="003743B3">
        <w:rPr>
          <w:rFonts w:ascii="Times New Roman" w:hAnsi="Times New Roman"/>
          <w:b/>
          <w:bCs/>
        </w:rPr>
        <w:t xml:space="preserve"> the initiative of Parliament and after receiving its consent</w:t>
      </w:r>
      <w:r w:rsidRPr="003743B3">
        <w:rPr>
          <w:rFonts w:ascii="Times New Roman" w:hAnsi="Times New Roman"/>
          <w:lang w:val="en-US"/>
        </w:rPr>
        <w:t xml:space="preserve">, </w:t>
      </w:r>
      <w:r>
        <w:rPr>
          <w:rFonts w:ascii="Times New Roman" w:hAnsi="Times New Roman"/>
          <w:lang w:val="en-US"/>
        </w:rPr>
        <w:t>t</w:t>
      </w:r>
      <w:r w:rsidR="006777E7" w:rsidRPr="00DD54F7">
        <w:rPr>
          <w:rFonts w:ascii="Times New Roman" w:hAnsi="Times New Roman"/>
        </w:rPr>
        <w:t xml:space="preserve">he </w:t>
      </w:r>
      <w:r w:rsidR="009B32D9">
        <w:rPr>
          <w:rFonts w:ascii="Times New Roman" w:hAnsi="Times New Roman"/>
        </w:rPr>
        <w:t>r</w:t>
      </w:r>
      <w:r w:rsidR="006777E7" w:rsidRPr="00DD54F7">
        <w:rPr>
          <w:rFonts w:ascii="Times New Roman" w:hAnsi="Times New Roman"/>
        </w:rPr>
        <w:t xml:space="preserve">esolution </w:t>
      </w:r>
      <w:r w:rsidR="00034A3C" w:rsidRPr="00DD54F7">
        <w:rPr>
          <w:rFonts w:ascii="Times New Roman" w:hAnsi="Times New Roman"/>
        </w:rPr>
        <w:t>refers to</w:t>
      </w:r>
      <w:r w:rsidR="006777E7" w:rsidRPr="00DD54F7">
        <w:rPr>
          <w:rFonts w:ascii="Times New Roman" w:hAnsi="Times New Roman"/>
        </w:rPr>
        <w:t xml:space="preserve"> </w:t>
      </w:r>
      <w:r w:rsidR="005F492A">
        <w:rPr>
          <w:rFonts w:ascii="Times New Roman" w:hAnsi="Times New Roman"/>
        </w:rPr>
        <w:t xml:space="preserve">two files, respectively the Parliament’s </w:t>
      </w:r>
      <w:r w:rsidR="006777E7" w:rsidRPr="00DD54F7">
        <w:rPr>
          <w:rFonts w:ascii="Times New Roman" w:hAnsi="Times New Roman"/>
        </w:rPr>
        <w:t>right of inquiry</w:t>
      </w:r>
      <w:r w:rsidR="005F492A">
        <w:rPr>
          <w:rFonts w:ascii="Times New Roman" w:hAnsi="Times New Roman"/>
        </w:rPr>
        <w:t xml:space="preserve"> and the European </w:t>
      </w:r>
      <w:r w:rsidR="006777E7" w:rsidRPr="00DD54F7">
        <w:rPr>
          <w:rFonts w:ascii="Times New Roman" w:hAnsi="Times New Roman"/>
        </w:rPr>
        <w:t>electoral law</w:t>
      </w:r>
      <w:r w:rsidR="005F492A">
        <w:rPr>
          <w:rFonts w:ascii="Times New Roman" w:hAnsi="Times New Roman"/>
        </w:rPr>
        <w:t xml:space="preserve">, </w:t>
      </w:r>
      <w:r w:rsidR="006777E7" w:rsidRPr="00DD54F7">
        <w:rPr>
          <w:rFonts w:ascii="Times New Roman" w:hAnsi="Times New Roman"/>
        </w:rPr>
        <w:t>where the Council</w:t>
      </w:r>
      <w:r w:rsidR="0026531C" w:rsidRPr="00DD54F7">
        <w:rPr>
          <w:rFonts w:ascii="Times New Roman" w:hAnsi="Times New Roman"/>
        </w:rPr>
        <w:t>,</w:t>
      </w:r>
      <w:r w:rsidR="006777E7" w:rsidRPr="00DD54F7">
        <w:rPr>
          <w:rFonts w:ascii="Times New Roman" w:hAnsi="Times New Roman"/>
        </w:rPr>
        <w:t xml:space="preserve"> </w:t>
      </w:r>
      <w:r w:rsidR="00C51F36" w:rsidRPr="00DD54F7">
        <w:rPr>
          <w:rFonts w:ascii="Times New Roman" w:hAnsi="Times New Roman"/>
        </w:rPr>
        <w:t>in the Parliament’s view</w:t>
      </w:r>
      <w:r w:rsidR="0026531C" w:rsidRPr="00DD54F7">
        <w:rPr>
          <w:rFonts w:ascii="Times New Roman" w:hAnsi="Times New Roman"/>
        </w:rPr>
        <w:t>,</w:t>
      </w:r>
      <w:r w:rsidR="00C51F36" w:rsidRPr="00DD54F7">
        <w:rPr>
          <w:rFonts w:ascii="Times New Roman" w:hAnsi="Times New Roman"/>
        </w:rPr>
        <w:t xml:space="preserve"> </w:t>
      </w:r>
      <w:r w:rsidR="00FB1D02" w:rsidRPr="00DD54F7">
        <w:rPr>
          <w:rFonts w:ascii="Times New Roman" w:hAnsi="Times New Roman"/>
        </w:rPr>
        <w:t xml:space="preserve">failed to </w:t>
      </w:r>
      <w:r w:rsidR="00C51F36" w:rsidRPr="00DD54F7">
        <w:rPr>
          <w:rFonts w:ascii="Times New Roman" w:hAnsi="Times New Roman"/>
        </w:rPr>
        <w:t xml:space="preserve">comply with the obligation of </w:t>
      </w:r>
      <w:r w:rsidR="006777E7" w:rsidRPr="00DD54F7">
        <w:rPr>
          <w:rFonts w:ascii="Times New Roman" w:hAnsi="Times New Roman"/>
        </w:rPr>
        <w:t xml:space="preserve">mutual sincere cooperation. </w:t>
      </w:r>
      <w:r w:rsidR="00CB4055" w:rsidRPr="00DD54F7">
        <w:rPr>
          <w:rFonts w:ascii="Times New Roman" w:hAnsi="Times New Roman"/>
        </w:rPr>
        <w:t xml:space="preserve">As regards the right of inquiry, the Parliament </w:t>
      </w:r>
      <w:r w:rsidR="004726AE" w:rsidRPr="00DD54F7">
        <w:rPr>
          <w:rFonts w:ascii="Times New Roman" w:hAnsi="Times New Roman"/>
        </w:rPr>
        <w:t>argues</w:t>
      </w:r>
      <w:r w:rsidR="00CB4055" w:rsidRPr="00DD54F7">
        <w:rPr>
          <w:rFonts w:ascii="Times New Roman" w:hAnsi="Times New Roman"/>
        </w:rPr>
        <w:t xml:space="preserve"> that the Council</w:t>
      </w:r>
      <w:r w:rsidR="006240AD" w:rsidRPr="00DD54F7">
        <w:rPr>
          <w:rFonts w:ascii="Times New Roman" w:hAnsi="Times New Roman"/>
        </w:rPr>
        <w:t>’s</w:t>
      </w:r>
      <w:r w:rsidR="00CB4055" w:rsidRPr="00DD54F7">
        <w:rPr>
          <w:rFonts w:ascii="Times New Roman" w:hAnsi="Times New Roman"/>
        </w:rPr>
        <w:t xml:space="preserve"> </w:t>
      </w:r>
      <w:r w:rsidR="006240AD" w:rsidRPr="00DD54F7">
        <w:rPr>
          <w:rFonts w:ascii="Times New Roman" w:hAnsi="Times New Roman"/>
        </w:rPr>
        <w:t xml:space="preserve">unwillingness </w:t>
      </w:r>
      <w:r w:rsidR="00CB4055" w:rsidRPr="00DD54F7">
        <w:rPr>
          <w:rFonts w:ascii="Times New Roman" w:hAnsi="Times New Roman"/>
        </w:rPr>
        <w:t xml:space="preserve">to react to </w:t>
      </w:r>
      <w:r w:rsidR="00A40F45" w:rsidRPr="00DD54F7">
        <w:rPr>
          <w:rFonts w:ascii="Times New Roman" w:hAnsi="Times New Roman"/>
        </w:rPr>
        <w:t xml:space="preserve">the </w:t>
      </w:r>
      <w:r w:rsidR="00CB4055" w:rsidRPr="00DD54F7">
        <w:rPr>
          <w:rFonts w:ascii="Times New Roman" w:hAnsi="Times New Roman"/>
        </w:rPr>
        <w:t xml:space="preserve">Parliament’s proposal </w:t>
      </w:r>
      <w:r w:rsidR="0026531C" w:rsidRPr="00DD54F7">
        <w:rPr>
          <w:rFonts w:ascii="Times New Roman" w:hAnsi="Times New Roman"/>
        </w:rPr>
        <w:t xml:space="preserve">is a clear breach of </w:t>
      </w:r>
      <w:r w:rsidR="00CB4055" w:rsidRPr="00DD54F7">
        <w:rPr>
          <w:rFonts w:ascii="Times New Roman" w:hAnsi="Times New Roman"/>
        </w:rPr>
        <w:t xml:space="preserve">Article 265 </w:t>
      </w:r>
      <w:r w:rsidR="009B32D9">
        <w:rPr>
          <w:rFonts w:ascii="Times New Roman" w:hAnsi="Times New Roman"/>
        </w:rPr>
        <w:t xml:space="preserve">of the </w:t>
      </w:r>
      <w:r w:rsidR="009B32D9" w:rsidRPr="009B32D9">
        <w:rPr>
          <w:rFonts w:ascii="Times New Roman" w:hAnsi="Times New Roman"/>
        </w:rPr>
        <w:t xml:space="preserve">Treaty on the Functioning of the European Union </w:t>
      </w:r>
      <w:r w:rsidR="009B32D9">
        <w:rPr>
          <w:rFonts w:ascii="Times New Roman" w:hAnsi="Times New Roman"/>
        </w:rPr>
        <w:t>(</w:t>
      </w:r>
      <w:r w:rsidR="00CB4055" w:rsidRPr="00DD54F7">
        <w:rPr>
          <w:rFonts w:ascii="Times New Roman" w:hAnsi="Times New Roman"/>
        </w:rPr>
        <w:t>TFEU</w:t>
      </w:r>
      <w:r w:rsidR="009B32D9">
        <w:rPr>
          <w:rFonts w:ascii="Times New Roman" w:hAnsi="Times New Roman"/>
        </w:rPr>
        <w:t>)</w:t>
      </w:r>
      <w:r w:rsidR="0026531C" w:rsidRPr="00DD54F7">
        <w:rPr>
          <w:rFonts w:ascii="Times New Roman" w:hAnsi="Times New Roman"/>
        </w:rPr>
        <w:t xml:space="preserve"> (failure to act)</w:t>
      </w:r>
      <w:r w:rsidR="00CB4055" w:rsidRPr="00DD54F7">
        <w:rPr>
          <w:rFonts w:ascii="Times New Roman" w:hAnsi="Times New Roman"/>
        </w:rPr>
        <w:t xml:space="preserve">. The </w:t>
      </w:r>
      <w:r w:rsidR="009B32D9">
        <w:rPr>
          <w:rFonts w:ascii="Times New Roman" w:hAnsi="Times New Roman"/>
        </w:rPr>
        <w:t>r</w:t>
      </w:r>
      <w:r w:rsidR="00CB4055" w:rsidRPr="00DD54F7">
        <w:rPr>
          <w:rFonts w:ascii="Times New Roman" w:hAnsi="Times New Roman"/>
        </w:rPr>
        <w:t xml:space="preserve">esolution calls on the Council and the Commission to comply with the principle of mutual sincere cooperation and to engage with Parliament </w:t>
      </w:r>
      <w:r w:rsidR="004726AE" w:rsidRPr="00DD54F7">
        <w:rPr>
          <w:rFonts w:ascii="Times New Roman" w:hAnsi="Times New Roman"/>
        </w:rPr>
        <w:t>to</w:t>
      </w:r>
      <w:r w:rsidR="00CB4055" w:rsidRPr="00DD54F7">
        <w:rPr>
          <w:rFonts w:ascii="Times New Roman" w:hAnsi="Times New Roman"/>
        </w:rPr>
        <w:t xml:space="preserve"> overcome the current institutional blockage</w:t>
      </w:r>
      <w:r w:rsidR="006D6678" w:rsidRPr="00DD54F7">
        <w:rPr>
          <w:rFonts w:ascii="Times New Roman" w:hAnsi="Times New Roman"/>
        </w:rPr>
        <w:t>s</w:t>
      </w:r>
      <w:r w:rsidR="00CB4055" w:rsidRPr="00DD54F7">
        <w:rPr>
          <w:rFonts w:ascii="Times New Roman" w:hAnsi="Times New Roman"/>
        </w:rPr>
        <w:t xml:space="preserve"> before the end of </w:t>
      </w:r>
      <w:r w:rsidR="006D6678" w:rsidRPr="00DD54F7">
        <w:rPr>
          <w:rFonts w:ascii="Times New Roman" w:hAnsi="Times New Roman"/>
        </w:rPr>
        <w:t xml:space="preserve">the current </w:t>
      </w:r>
      <w:r w:rsidR="004726AE" w:rsidRPr="00DD54F7">
        <w:rPr>
          <w:rFonts w:ascii="Times New Roman" w:hAnsi="Times New Roman"/>
        </w:rPr>
        <w:t>legislature</w:t>
      </w:r>
      <w:r w:rsidR="005B5B3D" w:rsidRPr="00DD54F7">
        <w:rPr>
          <w:rFonts w:ascii="Times New Roman" w:hAnsi="Times New Roman"/>
        </w:rPr>
        <w:t xml:space="preserve"> (</w:t>
      </w:r>
      <w:r w:rsidR="001A49F7">
        <w:rPr>
          <w:rFonts w:ascii="Times New Roman" w:hAnsi="Times New Roman"/>
        </w:rPr>
        <w:t>p</w:t>
      </w:r>
      <w:r w:rsidR="001A49F7" w:rsidRPr="009260AD">
        <w:rPr>
          <w:rFonts w:ascii="Times New Roman" w:hAnsi="Times New Roman"/>
        </w:rPr>
        <w:t xml:space="preserve">aragraph </w:t>
      </w:r>
      <w:r w:rsidR="005B5B3D" w:rsidRPr="00DD54F7">
        <w:rPr>
          <w:rFonts w:ascii="Times New Roman" w:hAnsi="Times New Roman"/>
        </w:rPr>
        <w:t>9)</w:t>
      </w:r>
      <w:r w:rsidR="001B2DF6" w:rsidRPr="00DD54F7">
        <w:rPr>
          <w:rFonts w:ascii="Times New Roman" w:hAnsi="Times New Roman"/>
        </w:rPr>
        <w:t xml:space="preserve">. It also </w:t>
      </w:r>
      <w:r w:rsidR="0026531C" w:rsidRPr="00DD54F7">
        <w:rPr>
          <w:rFonts w:ascii="Times New Roman" w:hAnsi="Times New Roman"/>
        </w:rPr>
        <w:t>reminds</w:t>
      </w:r>
      <w:r w:rsidR="001B2DF6" w:rsidRPr="00DD54F7">
        <w:rPr>
          <w:rFonts w:ascii="Times New Roman" w:hAnsi="Times New Roman"/>
        </w:rPr>
        <w:t xml:space="preserve"> the Commission not to neglect its roles as ‘guardian of the Treaties’ and ‘honest broker’ in these </w:t>
      </w:r>
      <w:r w:rsidR="00A40F45" w:rsidRPr="00DD54F7">
        <w:rPr>
          <w:rFonts w:ascii="Times New Roman" w:hAnsi="Times New Roman"/>
        </w:rPr>
        <w:t xml:space="preserve">procedures </w:t>
      </w:r>
      <w:r w:rsidR="001B2DF6" w:rsidRPr="00DD54F7">
        <w:rPr>
          <w:rFonts w:ascii="Times New Roman" w:hAnsi="Times New Roman"/>
        </w:rPr>
        <w:t>(</w:t>
      </w:r>
      <w:r w:rsidR="009260AD">
        <w:rPr>
          <w:rFonts w:ascii="Times New Roman" w:hAnsi="Times New Roman"/>
        </w:rPr>
        <w:t>p</w:t>
      </w:r>
      <w:r w:rsidR="009260AD" w:rsidRPr="009260AD">
        <w:rPr>
          <w:rFonts w:ascii="Times New Roman" w:hAnsi="Times New Roman"/>
        </w:rPr>
        <w:t xml:space="preserve">aragraph </w:t>
      </w:r>
      <w:r w:rsidR="001B2DF6" w:rsidRPr="00DD54F7">
        <w:rPr>
          <w:rFonts w:ascii="Times New Roman" w:hAnsi="Times New Roman"/>
        </w:rPr>
        <w:t>1</w:t>
      </w:r>
      <w:r w:rsidR="00C51F36" w:rsidRPr="00DD54F7">
        <w:rPr>
          <w:rFonts w:ascii="Times New Roman" w:hAnsi="Times New Roman"/>
        </w:rPr>
        <w:t>5</w:t>
      </w:r>
      <w:r w:rsidR="001B2DF6" w:rsidRPr="00DD54F7">
        <w:rPr>
          <w:rFonts w:ascii="Times New Roman" w:hAnsi="Times New Roman"/>
        </w:rPr>
        <w:t>).</w:t>
      </w:r>
    </w:p>
    <w:p w14:paraId="5C1F04F2" w14:textId="59872308" w:rsidR="00CF01B0" w:rsidRPr="00DD54F7" w:rsidRDefault="00DA04B2" w:rsidP="009B32D9">
      <w:pPr>
        <w:spacing w:after="120"/>
        <w:rPr>
          <w:rFonts w:ascii="Times New Roman" w:hAnsi="Times New Roman"/>
        </w:rPr>
      </w:pPr>
      <w:r>
        <w:rPr>
          <w:rFonts w:ascii="Times New Roman" w:hAnsi="Times New Roman"/>
          <w:lang w:val="en-US"/>
        </w:rPr>
        <w:t xml:space="preserve">As regards </w:t>
      </w:r>
      <w:r w:rsidRPr="00CF01B0">
        <w:rPr>
          <w:rFonts w:ascii="Times New Roman" w:hAnsi="Times New Roman"/>
          <w:b/>
          <w:bCs/>
          <w:lang w:val="en-US"/>
        </w:rPr>
        <w:t xml:space="preserve">acts adopted by the Council </w:t>
      </w:r>
      <w:r>
        <w:rPr>
          <w:rFonts w:ascii="Times New Roman" w:hAnsi="Times New Roman"/>
          <w:b/>
          <w:bCs/>
          <w:lang w:val="en-US"/>
        </w:rPr>
        <w:t xml:space="preserve">after </w:t>
      </w:r>
      <w:r w:rsidRPr="00CF01B0">
        <w:rPr>
          <w:rFonts w:ascii="Times New Roman" w:hAnsi="Times New Roman"/>
          <w:b/>
          <w:bCs/>
          <w:lang w:val="en-US"/>
        </w:rPr>
        <w:t>Parliament’s consent,</w:t>
      </w:r>
      <w:r w:rsidRPr="006777E7">
        <w:rPr>
          <w:rFonts w:ascii="Times New Roman" w:hAnsi="Times New Roman"/>
          <w:lang w:val="en-US"/>
        </w:rPr>
        <w:t xml:space="preserve"> </w:t>
      </w:r>
      <w:r>
        <w:rPr>
          <w:rFonts w:ascii="Times New Roman" w:hAnsi="Times New Roman"/>
          <w:lang w:val="en-US"/>
        </w:rPr>
        <w:t>t</w:t>
      </w:r>
      <w:r w:rsidR="009260AD">
        <w:rPr>
          <w:rFonts w:ascii="Times New Roman" w:hAnsi="Times New Roman"/>
        </w:rPr>
        <w:t xml:space="preserve">he </w:t>
      </w:r>
      <w:r w:rsidR="009B32D9">
        <w:rPr>
          <w:rFonts w:ascii="Times New Roman" w:hAnsi="Times New Roman"/>
        </w:rPr>
        <w:t>r</w:t>
      </w:r>
      <w:r w:rsidR="009260AD" w:rsidRPr="00DD54F7">
        <w:rPr>
          <w:rFonts w:ascii="Times New Roman" w:hAnsi="Times New Roman"/>
        </w:rPr>
        <w:t>esolution calls for a high degree of interinstitutional dialogue</w:t>
      </w:r>
      <w:r w:rsidR="009260AD">
        <w:rPr>
          <w:rFonts w:ascii="Times New Roman" w:hAnsi="Times New Roman"/>
        </w:rPr>
        <w:t xml:space="preserve"> in cases where the special legislative procedure involves a </w:t>
      </w:r>
      <w:r w:rsidR="004A3A54" w:rsidRPr="00DD54F7">
        <w:rPr>
          <w:rFonts w:ascii="Times New Roman" w:hAnsi="Times New Roman"/>
        </w:rPr>
        <w:t xml:space="preserve">right of initiative </w:t>
      </w:r>
      <w:r w:rsidR="009260AD">
        <w:rPr>
          <w:rFonts w:ascii="Times New Roman" w:hAnsi="Times New Roman"/>
        </w:rPr>
        <w:t>for the Parliament. In that regard, t</w:t>
      </w:r>
      <w:r w:rsidR="00CF01B0" w:rsidRPr="00DD54F7">
        <w:rPr>
          <w:rFonts w:ascii="Times New Roman" w:hAnsi="Times New Roman"/>
        </w:rPr>
        <w:t>he</w:t>
      </w:r>
      <w:r w:rsidR="004B7A7A" w:rsidRPr="00DD54F7">
        <w:rPr>
          <w:rFonts w:ascii="Times New Roman" w:hAnsi="Times New Roman"/>
        </w:rPr>
        <w:t xml:space="preserve"> Parliament deplores that the </w:t>
      </w:r>
      <w:r w:rsidR="00CF01B0" w:rsidRPr="00DD54F7">
        <w:rPr>
          <w:rFonts w:ascii="Times New Roman" w:hAnsi="Times New Roman"/>
        </w:rPr>
        <w:t>European Council</w:t>
      </w:r>
      <w:r w:rsidR="009260AD">
        <w:rPr>
          <w:rFonts w:ascii="Times New Roman" w:hAnsi="Times New Roman"/>
        </w:rPr>
        <w:t>’s</w:t>
      </w:r>
      <w:r w:rsidR="00CF01B0" w:rsidRPr="00DD54F7">
        <w:rPr>
          <w:rFonts w:ascii="Times New Roman" w:hAnsi="Times New Roman"/>
        </w:rPr>
        <w:t xml:space="preserve"> </w:t>
      </w:r>
      <w:r w:rsidR="00C67606" w:rsidRPr="00DD54F7">
        <w:rPr>
          <w:rFonts w:ascii="Times New Roman" w:hAnsi="Times New Roman"/>
        </w:rPr>
        <w:t xml:space="preserve">decision on the composition of the Parliament for the </w:t>
      </w:r>
      <w:r w:rsidR="0026531C" w:rsidRPr="00DD54F7">
        <w:rPr>
          <w:rFonts w:ascii="Times New Roman" w:hAnsi="Times New Roman"/>
        </w:rPr>
        <w:t>2024-2029</w:t>
      </w:r>
      <w:r w:rsidR="00C67606" w:rsidRPr="00DD54F7">
        <w:rPr>
          <w:rFonts w:ascii="Times New Roman" w:hAnsi="Times New Roman"/>
        </w:rPr>
        <w:t xml:space="preserve"> legislature substantially </w:t>
      </w:r>
      <w:r w:rsidR="00CF01B0" w:rsidRPr="00DD54F7">
        <w:rPr>
          <w:rFonts w:ascii="Times New Roman" w:hAnsi="Times New Roman"/>
        </w:rPr>
        <w:t>changed the Parliament’s proposal without informing the Parliament</w:t>
      </w:r>
      <w:r w:rsidR="009260AD">
        <w:rPr>
          <w:rFonts w:ascii="Times New Roman" w:hAnsi="Times New Roman"/>
        </w:rPr>
        <w:t xml:space="preserve"> (p</w:t>
      </w:r>
      <w:r w:rsidR="009260AD" w:rsidRPr="009260AD">
        <w:rPr>
          <w:rFonts w:ascii="Times New Roman" w:hAnsi="Times New Roman"/>
        </w:rPr>
        <w:t xml:space="preserve">aragraph </w:t>
      </w:r>
      <w:r w:rsidR="009260AD">
        <w:rPr>
          <w:rFonts w:ascii="Times New Roman" w:hAnsi="Times New Roman"/>
        </w:rPr>
        <w:t>18)</w:t>
      </w:r>
      <w:r w:rsidR="00CF01B0" w:rsidRPr="00DD54F7">
        <w:rPr>
          <w:rFonts w:ascii="Times New Roman" w:hAnsi="Times New Roman"/>
        </w:rPr>
        <w:t>.</w:t>
      </w:r>
    </w:p>
    <w:p w14:paraId="5C2806B2" w14:textId="3B2373B0" w:rsidR="001B2DF6" w:rsidRPr="00DD54F7" w:rsidRDefault="006777E7" w:rsidP="009B32D9">
      <w:pPr>
        <w:spacing w:after="120"/>
        <w:rPr>
          <w:rFonts w:ascii="Times New Roman" w:hAnsi="Times New Roman"/>
        </w:rPr>
      </w:pPr>
      <w:r w:rsidRPr="00DD54F7">
        <w:rPr>
          <w:rFonts w:ascii="Times New Roman" w:hAnsi="Times New Roman"/>
        </w:rPr>
        <w:t xml:space="preserve">For </w:t>
      </w:r>
      <w:r w:rsidRPr="00DA04B2">
        <w:rPr>
          <w:rFonts w:ascii="Times New Roman" w:hAnsi="Times New Roman"/>
          <w:b/>
          <w:bCs/>
        </w:rPr>
        <w:t xml:space="preserve">acts adopted </w:t>
      </w:r>
      <w:r w:rsidR="0026531C" w:rsidRPr="00DA04B2">
        <w:rPr>
          <w:rFonts w:ascii="Times New Roman" w:hAnsi="Times New Roman"/>
          <w:b/>
          <w:bCs/>
        </w:rPr>
        <w:t xml:space="preserve">after consultation of </w:t>
      </w:r>
      <w:r w:rsidR="00B87B60" w:rsidRPr="00DA04B2">
        <w:rPr>
          <w:rFonts w:ascii="Times New Roman" w:hAnsi="Times New Roman"/>
          <w:b/>
          <w:bCs/>
        </w:rPr>
        <w:t xml:space="preserve">the </w:t>
      </w:r>
      <w:r w:rsidRPr="00DA04B2">
        <w:rPr>
          <w:rFonts w:ascii="Times New Roman" w:hAnsi="Times New Roman"/>
          <w:b/>
          <w:bCs/>
        </w:rPr>
        <w:t>Parliament</w:t>
      </w:r>
      <w:r w:rsidRPr="00DD54F7">
        <w:rPr>
          <w:rFonts w:ascii="Times New Roman" w:hAnsi="Times New Roman"/>
        </w:rPr>
        <w:t xml:space="preserve">, the </w:t>
      </w:r>
      <w:r w:rsidR="009B32D9">
        <w:rPr>
          <w:rFonts w:ascii="Times New Roman" w:hAnsi="Times New Roman"/>
        </w:rPr>
        <w:t>r</w:t>
      </w:r>
      <w:r w:rsidRPr="00DD54F7">
        <w:rPr>
          <w:rFonts w:ascii="Times New Roman" w:hAnsi="Times New Roman"/>
        </w:rPr>
        <w:t xml:space="preserve">esolution </w:t>
      </w:r>
      <w:r w:rsidR="00D92355">
        <w:rPr>
          <w:rFonts w:ascii="Times New Roman" w:hAnsi="Times New Roman"/>
        </w:rPr>
        <w:t>c</w:t>
      </w:r>
      <w:r w:rsidR="00D92355" w:rsidRPr="00D92355">
        <w:rPr>
          <w:rFonts w:ascii="Times New Roman" w:hAnsi="Times New Roman"/>
        </w:rPr>
        <w:t xml:space="preserve">alls on the three institutions to explore possible avenues to ensure that </w:t>
      </w:r>
      <w:r w:rsidR="00B87B60">
        <w:rPr>
          <w:rFonts w:ascii="Times New Roman" w:hAnsi="Times New Roman"/>
        </w:rPr>
        <w:t xml:space="preserve">the </w:t>
      </w:r>
      <w:r w:rsidR="00D92355" w:rsidRPr="00D92355">
        <w:rPr>
          <w:rFonts w:ascii="Times New Roman" w:hAnsi="Times New Roman"/>
        </w:rPr>
        <w:t xml:space="preserve">Parliament’s opinion is duly </w:t>
      </w:r>
      <w:proofErr w:type="gramStart"/>
      <w:r w:rsidR="00D92355" w:rsidRPr="00D92355">
        <w:rPr>
          <w:rFonts w:ascii="Times New Roman" w:hAnsi="Times New Roman"/>
        </w:rPr>
        <w:t>taken into account</w:t>
      </w:r>
      <w:proofErr w:type="gramEnd"/>
      <w:r w:rsidR="00D92355" w:rsidRPr="00D92355">
        <w:rPr>
          <w:rFonts w:ascii="Times New Roman" w:hAnsi="Times New Roman"/>
        </w:rPr>
        <w:t xml:space="preserve"> and reflected in </w:t>
      </w:r>
      <w:r w:rsidR="00B87B60">
        <w:rPr>
          <w:rFonts w:ascii="Times New Roman" w:hAnsi="Times New Roman"/>
        </w:rPr>
        <w:t xml:space="preserve">the </w:t>
      </w:r>
      <w:r w:rsidR="00D92355" w:rsidRPr="00D92355">
        <w:rPr>
          <w:rFonts w:ascii="Times New Roman" w:hAnsi="Times New Roman"/>
        </w:rPr>
        <w:t>legislation</w:t>
      </w:r>
      <w:r w:rsidR="00D92355">
        <w:rPr>
          <w:rFonts w:ascii="Times New Roman" w:hAnsi="Times New Roman"/>
        </w:rPr>
        <w:t xml:space="preserve"> </w:t>
      </w:r>
      <w:r w:rsidR="00DD54F7" w:rsidRPr="00D92355">
        <w:rPr>
          <w:rFonts w:ascii="Times New Roman" w:hAnsi="Times New Roman"/>
        </w:rPr>
        <w:t>(</w:t>
      </w:r>
      <w:r w:rsidR="00A1520C">
        <w:rPr>
          <w:rFonts w:ascii="Times New Roman" w:hAnsi="Times New Roman"/>
        </w:rPr>
        <w:t>p</w:t>
      </w:r>
      <w:r w:rsidR="00A1520C" w:rsidRPr="009260AD">
        <w:rPr>
          <w:rFonts w:ascii="Times New Roman" w:hAnsi="Times New Roman"/>
        </w:rPr>
        <w:t xml:space="preserve">aragraph </w:t>
      </w:r>
      <w:r w:rsidR="00D92355" w:rsidRPr="00D92355">
        <w:rPr>
          <w:rFonts w:ascii="Times New Roman" w:hAnsi="Times New Roman"/>
        </w:rPr>
        <w:t>23)</w:t>
      </w:r>
      <w:r w:rsidRPr="00DD54F7">
        <w:rPr>
          <w:rFonts w:ascii="Times New Roman" w:hAnsi="Times New Roman"/>
        </w:rPr>
        <w:t xml:space="preserve">. </w:t>
      </w:r>
      <w:r w:rsidR="00DA04B2">
        <w:rPr>
          <w:rFonts w:ascii="Times New Roman" w:hAnsi="Times New Roman"/>
        </w:rPr>
        <w:t>T</w:t>
      </w:r>
      <w:r w:rsidR="00DA04B2" w:rsidRPr="00DA04B2">
        <w:rPr>
          <w:rFonts w:ascii="Times New Roman" w:hAnsi="Times New Roman"/>
        </w:rPr>
        <w:t xml:space="preserve">he </w:t>
      </w:r>
      <w:r w:rsidR="009B32D9">
        <w:rPr>
          <w:rFonts w:ascii="Times New Roman" w:hAnsi="Times New Roman"/>
        </w:rPr>
        <w:t>r</w:t>
      </w:r>
      <w:r w:rsidR="00DA04B2" w:rsidRPr="00DA04B2">
        <w:rPr>
          <w:rFonts w:ascii="Times New Roman" w:hAnsi="Times New Roman"/>
        </w:rPr>
        <w:t xml:space="preserve">esolution </w:t>
      </w:r>
      <w:r w:rsidR="00DA04B2">
        <w:rPr>
          <w:rFonts w:ascii="Times New Roman" w:hAnsi="Times New Roman"/>
        </w:rPr>
        <w:t xml:space="preserve">criticises the Council for having blocked, by an </w:t>
      </w:r>
      <w:r w:rsidR="00DA04B2" w:rsidRPr="00DA04B2">
        <w:rPr>
          <w:rFonts w:ascii="Times New Roman" w:hAnsi="Times New Roman"/>
        </w:rPr>
        <w:t>‘</w:t>
      </w:r>
      <w:r w:rsidR="00DA04B2" w:rsidRPr="00A1520C">
        <w:rPr>
          <w:rFonts w:ascii="Times New Roman" w:hAnsi="Times New Roman"/>
          <w:i/>
          <w:iCs/>
        </w:rPr>
        <w:t>unjustified veto’</w:t>
      </w:r>
      <w:r w:rsidR="00DA04B2">
        <w:rPr>
          <w:rFonts w:ascii="Times New Roman" w:hAnsi="Times New Roman"/>
        </w:rPr>
        <w:t xml:space="preserve"> </w:t>
      </w:r>
      <w:r w:rsidR="00DA04B2" w:rsidRPr="00DA04B2">
        <w:rPr>
          <w:rFonts w:ascii="Times New Roman" w:hAnsi="Times New Roman"/>
        </w:rPr>
        <w:t>Romania’s and Bulgaria’s accession to the Schengen area</w:t>
      </w:r>
      <w:r w:rsidR="00DA04B2">
        <w:rPr>
          <w:rFonts w:ascii="Times New Roman" w:hAnsi="Times New Roman"/>
        </w:rPr>
        <w:t xml:space="preserve">, despite </w:t>
      </w:r>
      <w:r w:rsidR="005F492A" w:rsidRPr="00DA04B2">
        <w:rPr>
          <w:rFonts w:ascii="Times New Roman" w:hAnsi="Times New Roman"/>
        </w:rPr>
        <w:t xml:space="preserve">requests </w:t>
      </w:r>
      <w:r w:rsidR="005F492A">
        <w:rPr>
          <w:rFonts w:ascii="Times New Roman" w:hAnsi="Times New Roman"/>
        </w:rPr>
        <w:t xml:space="preserve">from </w:t>
      </w:r>
      <w:r w:rsidR="009B32D9">
        <w:rPr>
          <w:rFonts w:ascii="Times New Roman" w:hAnsi="Times New Roman"/>
        </w:rPr>
        <w:t xml:space="preserve">both the </w:t>
      </w:r>
      <w:r w:rsidR="00DA04B2" w:rsidRPr="00DA04B2">
        <w:rPr>
          <w:rFonts w:ascii="Times New Roman" w:hAnsi="Times New Roman"/>
        </w:rPr>
        <w:t xml:space="preserve">Parliament and </w:t>
      </w:r>
      <w:r w:rsidR="009B32D9">
        <w:rPr>
          <w:rFonts w:ascii="Times New Roman" w:hAnsi="Times New Roman"/>
        </w:rPr>
        <w:t xml:space="preserve">the </w:t>
      </w:r>
      <w:r w:rsidR="00DA04B2" w:rsidRPr="00DA04B2">
        <w:rPr>
          <w:rFonts w:ascii="Times New Roman" w:hAnsi="Times New Roman"/>
        </w:rPr>
        <w:t xml:space="preserve">Commission. </w:t>
      </w:r>
      <w:r w:rsidR="00C67606" w:rsidRPr="00DD54F7">
        <w:rPr>
          <w:rFonts w:ascii="Times New Roman" w:hAnsi="Times New Roman"/>
        </w:rPr>
        <w:t>T</w:t>
      </w:r>
      <w:r w:rsidR="004B246F" w:rsidRPr="00DD54F7">
        <w:rPr>
          <w:rFonts w:ascii="Times New Roman" w:hAnsi="Times New Roman"/>
        </w:rPr>
        <w:t xml:space="preserve">he </w:t>
      </w:r>
      <w:r w:rsidR="009B32D9">
        <w:rPr>
          <w:rFonts w:ascii="Times New Roman" w:hAnsi="Times New Roman"/>
        </w:rPr>
        <w:t>r</w:t>
      </w:r>
      <w:r w:rsidR="006D6678" w:rsidRPr="00DD54F7">
        <w:rPr>
          <w:rFonts w:ascii="Times New Roman" w:hAnsi="Times New Roman"/>
        </w:rPr>
        <w:t>e</w:t>
      </w:r>
      <w:r w:rsidR="004B246F" w:rsidRPr="00DD54F7">
        <w:rPr>
          <w:rFonts w:ascii="Times New Roman" w:hAnsi="Times New Roman"/>
        </w:rPr>
        <w:t xml:space="preserve">solution </w:t>
      </w:r>
      <w:r w:rsidR="00C67606" w:rsidRPr="00DD54F7">
        <w:rPr>
          <w:rFonts w:ascii="Times New Roman" w:hAnsi="Times New Roman"/>
        </w:rPr>
        <w:t xml:space="preserve">also </w:t>
      </w:r>
      <w:r w:rsidR="006D6678" w:rsidRPr="00DD54F7">
        <w:rPr>
          <w:rFonts w:ascii="Times New Roman" w:hAnsi="Times New Roman"/>
        </w:rPr>
        <w:t xml:space="preserve">criticises the </w:t>
      </w:r>
      <w:r w:rsidR="004B246F" w:rsidRPr="00DD54F7">
        <w:rPr>
          <w:rFonts w:ascii="Times New Roman" w:hAnsi="Times New Roman"/>
        </w:rPr>
        <w:t>Commission</w:t>
      </w:r>
      <w:r w:rsidR="00C67606" w:rsidRPr="00DD54F7">
        <w:rPr>
          <w:rFonts w:ascii="Times New Roman" w:hAnsi="Times New Roman"/>
        </w:rPr>
        <w:t xml:space="preserve"> for its </w:t>
      </w:r>
      <w:r w:rsidR="004B246F" w:rsidRPr="00DD54F7">
        <w:rPr>
          <w:rFonts w:ascii="Times New Roman" w:hAnsi="Times New Roman"/>
        </w:rPr>
        <w:t xml:space="preserve">reply to </w:t>
      </w:r>
      <w:r w:rsidR="006D6678" w:rsidRPr="00DD54F7">
        <w:rPr>
          <w:rFonts w:ascii="Times New Roman" w:hAnsi="Times New Roman"/>
        </w:rPr>
        <w:t xml:space="preserve">the </w:t>
      </w:r>
      <w:r w:rsidR="004B246F" w:rsidRPr="00DD54F7">
        <w:rPr>
          <w:rFonts w:ascii="Times New Roman" w:hAnsi="Times New Roman"/>
        </w:rPr>
        <w:t xml:space="preserve">Parliament’s position </w:t>
      </w:r>
      <w:r w:rsidR="006D6678" w:rsidRPr="00DD54F7">
        <w:rPr>
          <w:rFonts w:ascii="Times New Roman" w:hAnsi="Times New Roman"/>
        </w:rPr>
        <w:t xml:space="preserve">concerning the </w:t>
      </w:r>
      <w:r w:rsidR="004B246F" w:rsidRPr="00DD54F7">
        <w:rPr>
          <w:rFonts w:ascii="Times New Roman" w:hAnsi="Times New Roman"/>
        </w:rPr>
        <w:t xml:space="preserve">proposal </w:t>
      </w:r>
      <w:r w:rsidR="006D6678" w:rsidRPr="00DD54F7">
        <w:rPr>
          <w:rFonts w:ascii="Times New Roman" w:hAnsi="Times New Roman"/>
        </w:rPr>
        <w:t xml:space="preserve">on electoral rights of mobile citizens </w:t>
      </w:r>
      <w:r w:rsidR="004B246F" w:rsidRPr="00DD54F7">
        <w:rPr>
          <w:rFonts w:ascii="Times New Roman" w:hAnsi="Times New Roman"/>
        </w:rPr>
        <w:t xml:space="preserve">in </w:t>
      </w:r>
      <w:r w:rsidR="003D4C98" w:rsidRPr="00DD54F7">
        <w:rPr>
          <w:rFonts w:ascii="Times New Roman" w:hAnsi="Times New Roman"/>
        </w:rPr>
        <w:t xml:space="preserve">European </w:t>
      </w:r>
      <w:r w:rsidR="004B246F" w:rsidRPr="00DD54F7">
        <w:rPr>
          <w:rFonts w:ascii="Times New Roman" w:hAnsi="Times New Roman"/>
        </w:rPr>
        <w:t>elections</w:t>
      </w:r>
      <w:r w:rsidR="00C67606" w:rsidRPr="00DD54F7">
        <w:rPr>
          <w:rFonts w:ascii="Times New Roman" w:hAnsi="Times New Roman"/>
        </w:rPr>
        <w:t xml:space="preserve">, which in the Parliament’s view was </w:t>
      </w:r>
      <w:r w:rsidR="00B87B60">
        <w:rPr>
          <w:rFonts w:ascii="Times New Roman" w:hAnsi="Times New Roman"/>
        </w:rPr>
        <w:t>‘</w:t>
      </w:r>
      <w:r w:rsidR="00C67606" w:rsidRPr="00B87B60">
        <w:rPr>
          <w:rFonts w:ascii="Times New Roman" w:hAnsi="Times New Roman"/>
          <w:i/>
          <w:iCs/>
        </w:rPr>
        <w:t>extremely negative</w:t>
      </w:r>
      <w:r w:rsidR="00B87B60" w:rsidRPr="00B87B60">
        <w:rPr>
          <w:rFonts w:ascii="Times New Roman" w:hAnsi="Times New Roman"/>
          <w:i/>
          <w:iCs/>
        </w:rPr>
        <w:t>’</w:t>
      </w:r>
      <w:r w:rsidR="001B2DF6" w:rsidRPr="00DD54F7">
        <w:rPr>
          <w:rFonts w:ascii="Times New Roman" w:hAnsi="Times New Roman"/>
        </w:rPr>
        <w:t xml:space="preserve"> (</w:t>
      </w:r>
      <w:r w:rsidR="009260AD">
        <w:rPr>
          <w:rFonts w:ascii="Times New Roman" w:hAnsi="Times New Roman"/>
        </w:rPr>
        <w:t>p</w:t>
      </w:r>
      <w:r w:rsidR="009260AD" w:rsidRPr="009260AD">
        <w:rPr>
          <w:rFonts w:ascii="Times New Roman" w:hAnsi="Times New Roman"/>
        </w:rPr>
        <w:t xml:space="preserve">aragraph </w:t>
      </w:r>
      <w:r w:rsidR="001B2DF6" w:rsidRPr="00DD54F7">
        <w:rPr>
          <w:rFonts w:ascii="Times New Roman" w:hAnsi="Times New Roman"/>
        </w:rPr>
        <w:t>2</w:t>
      </w:r>
      <w:r w:rsidR="00C67606" w:rsidRPr="00DD54F7">
        <w:rPr>
          <w:rFonts w:ascii="Times New Roman" w:hAnsi="Times New Roman"/>
        </w:rPr>
        <w:t>7</w:t>
      </w:r>
      <w:r w:rsidR="001B2DF6" w:rsidRPr="00DD54F7">
        <w:rPr>
          <w:rFonts w:ascii="Times New Roman" w:hAnsi="Times New Roman"/>
        </w:rPr>
        <w:t>).</w:t>
      </w:r>
    </w:p>
    <w:p w14:paraId="1B620138" w14:textId="0D9B729B" w:rsidR="004A3A54" w:rsidRPr="00DD54F7" w:rsidRDefault="006777E7" w:rsidP="009B32D9">
      <w:pPr>
        <w:spacing w:after="120"/>
        <w:rPr>
          <w:rFonts w:ascii="Times New Roman" w:hAnsi="Times New Roman"/>
        </w:rPr>
      </w:pPr>
      <w:r w:rsidRPr="00DD54F7">
        <w:rPr>
          <w:rFonts w:ascii="Times New Roman" w:hAnsi="Times New Roman"/>
        </w:rPr>
        <w:t>Against th</w:t>
      </w:r>
      <w:r w:rsidR="00A2401B" w:rsidRPr="00DD54F7">
        <w:rPr>
          <w:rFonts w:ascii="Times New Roman" w:hAnsi="Times New Roman"/>
        </w:rPr>
        <w:t>at basis</w:t>
      </w:r>
      <w:r w:rsidRPr="00DD54F7">
        <w:rPr>
          <w:rFonts w:ascii="Times New Roman" w:hAnsi="Times New Roman"/>
        </w:rPr>
        <w:t xml:space="preserve">, the </w:t>
      </w:r>
      <w:r w:rsidR="009B32D9">
        <w:rPr>
          <w:rFonts w:ascii="Times New Roman" w:hAnsi="Times New Roman"/>
        </w:rPr>
        <w:t>r</w:t>
      </w:r>
      <w:r w:rsidR="009260AD">
        <w:rPr>
          <w:rFonts w:ascii="Times New Roman" w:hAnsi="Times New Roman"/>
        </w:rPr>
        <w:t>esolution</w:t>
      </w:r>
      <w:r w:rsidRPr="00DD54F7">
        <w:rPr>
          <w:rFonts w:ascii="Times New Roman" w:hAnsi="Times New Roman"/>
        </w:rPr>
        <w:t xml:space="preserve"> </w:t>
      </w:r>
      <w:r w:rsidR="004A3A54" w:rsidRPr="00DD54F7">
        <w:rPr>
          <w:rFonts w:ascii="Times New Roman" w:hAnsi="Times New Roman"/>
        </w:rPr>
        <w:t xml:space="preserve">calls on the Commission to immediately launch a proposal to review the Interinstitutional Agreement on Better Law-Making with the objective of defining the special legislative procedures. The </w:t>
      </w:r>
      <w:r w:rsidR="009B32D9">
        <w:rPr>
          <w:rFonts w:ascii="Times New Roman" w:hAnsi="Times New Roman"/>
        </w:rPr>
        <w:t>r</w:t>
      </w:r>
      <w:r w:rsidR="004A3A54" w:rsidRPr="00DD54F7">
        <w:rPr>
          <w:rFonts w:ascii="Times New Roman" w:hAnsi="Times New Roman"/>
        </w:rPr>
        <w:t xml:space="preserve">esolution underlines that the revised </w:t>
      </w:r>
      <w:r w:rsidR="00A1520C" w:rsidRPr="00DD54F7">
        <w:rPr>
          <w:rFonts w:ascii="Times New Roman" w:hAnsi="Times New Roman"/>
          <w:iCs/>
          <w:szCs w:val="24"/>
        </w:rPr>
        <w:t xml:space="preserve">Interinstitutional Agreement </w:t>
      </w:r>
      <w:r w:rsidR="004A3A54" w:rsidRPr="00DD54F7">
        <w:rPr>
          <w:rFonts w:ascii="Times New Roman" w:hAnsi="Times New Roman"/>
        </w:rPr>
        <w:t xml:space="preserve">should devote a specific focus to procedures where Parliament </w:t>
      </w:r>
      <w:r w:rsidR="004A3A54" w:rsidRPr="00DD54F7">
        <w:rPr>
          <w:rFonts w:ascii="Times New Roman" w:hAnsi="Times New Roman"/>
        </w:rPr>
        <w:lastRenderedPageBreak/>
        <w:t>enjoys the right of initiative, the legal justifications of vetoes in the Council and fostering full respect for the respective participatory rights and the principles of institutional balance and mutual sincere cooperation in special legislative procedures (</w:t>
      </w:r>
      <w:r w:rsidR="009260AD">
        <w:rPr>
          <w:rFonts w:ascii="Times New Roman" w:hAnsi="Times New Roman"/>
        </w:rPr>
        <w:t>p</w:t>
      </w:r>
      <w:r w:rsidR="009260AD" w:rsidRPr="009260AD">
        <w:rPr>
          <w:rFonts w:ascii="Times New Roman" w:hAnsi="Times New Roman"/>
        </w:rPr>
        <w:t xml:space="preserve">aragraph </w:t>
      </w:r>
      <w:r w:rsidR="004A3A54" w:rsidRPr="00DD54F7">
        <w:rPr>
          <w:rFonts w:ascii="Times New Roman" w:hAnsi="Times New Roman"/>
        </w:rPr>
        <w:t>35).</w:t>
      </w:r>
    </w:p>
    <w:p w14:paraId="780B6643" w14:textId="4D409337" w:rsidR="00963420" w:rsidRPr="00DD54F7" w:rsidRDefault="004B7A7A" w:rsidP="004B7A7A">
      <w:pPr>
        <w:rPr>
          <w:rFonts w:ascii="Times New Roman" w:hAnsi="Times New Roman"/>
          <w:b/>
          <w:szCs w:val="24"/>
        </w:rPr>
      </w:pPr>
      <w:r w:rsidRPr="00DD54F7">
        <w:rPr>
          <w:rFonts w:ascii="Times New Roman" w:hAnsi="Times New Roman"/>
          <w:b/>
          <w:szCs w:val="24"/>
        </w:rPr>
        <w:t xml:space="preserve">6. </w:t>
      </w:r>
      <w:r w:rsidR="00963420" w:rsidRPr="00DD54F7">
        <w:rPr>
          <w:rFonts w:ascii="Times New Roman" w:hAnsi="Times New Roman"/>
          <w:b/>
          <w:szCs w:val="24"/>
        </w:rPr>
        <w:t>Response to requests and overview of action</w:t>
      </w:r>
      <w:r w:rsidR="001946EE" w:rsidRPr="00DD54F7">
        <w:rPr>
          <w:rFonts w:ascii="Times New Roman" w:hAnsi="Times New Roman"/>
          <w:b/>
          <w:szCs w:val="24"/>
        </w:rPr>
        <w:t>s</w:t>
      </w:r>
      <w:r w:rsidR="00963420" w:rsidRPr="00DD54F7">
        <w:rPr>
          <w:rFonts w:ascii="Times New Roman" w:hAnsi="Times New Roman"/>
          <w:b/>
          <w:szCs w:val="24"/>
        </w:rPr>
        <w:t xml:space="preserve"> taken, or intended to be taken, by the Commission:</w:t>
      </w:r>
      <w:r w:rsidR="00146971" w:rsidRPr="00DD54F7">
        <w:rPr>
          <w:rFonts w:ascii="Times New Roman" w:hAnsi="Times New Roman"/>
          <w:b/>
          <w:szCs w:val="24"/>
        </w:rPr>
        <w:t xml:space="preserve"> </w:t>
      </w:r>
    </w:p>
    <w:p w14:paraId="602EBCF8" w14:textId="4D1DE5DF" w:rsidR="003D4C98" w:rsidRPr="00DD54F7" w:rsidRDefault="00A2401B" w:rsidP="009B32D9">
      <w:pPr>
        <w:widowControl w:val="0"/>
        <w:spacing w:after="120"/>
        <w:rPr>
          <w:rFonts w:ascii="Times New Roman" w:hAnsi="Times New Roman"/>
          <w:bCs/>
          <w:iCs/>
          <w:szCs w:val="24"/>
        </w:rPr>
      </w:pPr>
      <w:r w:rsidRPr="00DD54F7">
        <w:rPr>
          <w:rFonts w:ascii="Times New Roman" w:hAnsi="Times New Roman"/>
          <w:bCs/>
          <w:iCs/>
          <w:szCs w:val="24"/>
        </w:rPr>
        <w:t xml:space="preserve">The Commission welcomes the </w:t>
      </w:r>
      <w:r w:rsidR="00D620E1" w:rsidRPr="00DD54F7">
        <w:rPr>
          <w:rFonts w:ascii="Times New Roman" w:hAnsi="Times New Roman"/>
          <w:bCs/>
          <w:iCs/>
          <w:szCs w:val="24"/>
        </w:rPr>
        <w:t xml:space="preserve">Parliament’s </w:t>
      </w:r>
      <w:r w:rsidR="009B32D9">
        <w:rPr>
          <w:rFonts w:ascii="Times New Roman" w:hAnsi="Times New Roman"/>
          <w:bCs/>
          <w:iCs/>
          <w:szCs w:val="24"/>
        </w:rPr>
        <w:t>r</w:t>
      </w:r>
      <w:r w:rsidRPr="00DD54F7">
        <w:rPr>
          <w:rFonts w:ascii="Times New Roman" w:hAnsi="Times New Roman"/>
          <w:bCs/>
          <w:iCs/>
          <w:szCs w:val="24"/>
        </w:rPr>
        <w:t xml:space="preserve">esolution on the implementation of </w:t>
      </w:r>
      <w:r w:rsidR="00342864" w:rsidRPr="00DD54F7">
        <w:rPr>
          <w:rFonts w:ascii="Times New Roman" w:hAnsi="Times New Roman"/>
          <w:bCs/>
          <w:iCs/>
          <w:szCs w:val="24"/>
        </w:rPr>
        <w:t>the Treaty provisions on special legislative procedures</w:t>
      </w:r>
      <w:r w:rsidRPr="00DD54F7">
        <w:rPr>
          <w:rFonts w:ascii="Times New Roman" w:hAnsi="Times New Roman"/>
          <w:bCs/>
          <w:iCs/>
          <w:szCs w:val="24"/>
        </w:rPr>
        <w:t>.</w:t>
      </w:r>
      <w:r w:rsidR="00B3631A" w:rsidRPr="00DD54F7">
        <w:rPr>
          <w:rFonts w:ascii="Times New Roman" w:hAnsi="Times New Roman"/>
          <w:bCs/>
          <w:iCs/>
          <w:szCs w:val="24"/>
        </w:rPr>
        <w:t xml:space="preserve"> </w:t>
      </w:r>
    </w:p>
    <w:p w14:paraId="10E79BBF" w14:textId="19DBB467" w:rsidR="00DC786E" w:rsidRDefault="003D4C98" w:rsidP="009B32D9">
      <w:pPr>
        <w:widowControl w:val="0"/>
        <w:spacing w:after="120"/>
        <w:rPr>
          <w:rFonts w:ascii="Times New Roman" w:hAnsi="Times New Roman"/>
          <w:iCs/>
          <w:szCs w:val="24"/>
        </w:rPr>
      </w:pPr>
      <w:r w:rsidRPr="00DD54F7">
        <w:rPr>
          <w:rFonts w:ascii="Times New Roman" w:hAnsi="Times New Roman"/>
          <w:bCs/>
          <w:iCs/>
          <w:szCs w:val="24"/>
        </w:rPr>
        <w:t xml:space="preserve">The Commission </w:t>
      </w:r>
      <w:r w:rsidR="00B3631A" w:rsidRPr="00DD54F7">
        <w:rPr>
          <w:rFonts w:ascii="Times New Roman" w:hAnsi="Times New Roman"/>
          <w:bCs/>
          <w:iCs/>
          <w:szCs w:val="24"/>
        </w:rPr>
        <w:t xml:space="preserve">agrees </w:t>
      </w:r>
      <w:r w:rsidR="00B3631A" w:rsidRPr="00DD54F7">
        <w:rPr>
          <w:rFonts w:ascii="Times New Roman" w:hAnsi="Times New Roman"/>
          <w:iCs/>
          <w:szCs w:val="24"/>
        </w:rPr>
        <w:t xml:space="preserve">with the </w:t>
      </w:r>
      <w:r w:rsidR="00582895" w:rsidRPr="00DD54F7">
        <w:rPr>
          <w:rFonts w:ascii="Times New Roman" w:hAnsi="Times New Roman"/>
          <w:iCs/>
          <w:szCs w:val="24"/>
        </w:rPr>
        <w:t>overall</w:t>
      </w:r>
      <w:r w:rsidR="00C51F36" w:rsidRPr="00DD54F7">
        <w:rPr>
          <w:rFonts w:ascii="Times New Roman" w:hAnsi="Times New Roman"/>
          <w:iCs/>
          <w:szCs w:val="24"/>
        </w:rPr>
        <w:t xml:space="preserve"> </w:t>
      </w:r>
      <w:r w:rsidR="00B817A8" w:rsidRPr="00DD54F7">
        <w:rPr>
          <w:rFonts w:ascii="Times New Roman" w:hAnsi="Times New Roman"/>
          <w:iCs/>
          <w:szCs w:val="24"/>
        </w:rPr>
        <w:t>aim o</w:t>
      </w:r>
      <w:r w:rsidR="008B5F93" w:rsidRPr="00DD54F7">
        <w:rPr>
          <w:rFonts w:ascii="Times New Roman" w:hAnsi="Times New Roman"/>
          <w:iCs/>
          <w:szCs w:val="24"/>
        </w:rPr>
        <w:t>f</w:t>
      </w:r>
      <w:r w:rsidR="00B817A8" w:rsidRPr="00DD54F7">
        <w:rPr>
          <w:rFonts w:ascii="Times New Roman" w:hAnsi="Times New Roman"/>
          <w:iCs/>
          <w:szCs w:val="24"/>
        </w:rPr>
        <w:t xml:space="preserve"> </w:t>
      </w:r>
      <w:r w:rsidR="003743B3" w:rsidRPr="00DD54F7">
        <w:rPr>
          <w:rFonts w:ascii="Times New Roman" w:hAnsi="Times New Roman"/>
          <w:iCs/>
          <w:szCs w:val="24"/>
        </w:rPr>
        <w:t xml:space="preserve">the </w:t>
      </w:r>
      <w:r w:rsidR="009B32D9">
        <w:rPr>
          <w:rFonts w:ascii="Times New Roman" w:hAnsi="Times New Roman"/>
          <w:iCs/>
          <w:szCs w:val="24"/>
        </w:rPr>
        <w:t>r</w:t>
      </w:r>
      <w:r w:rsidR="003743B3" w:rsidRPr="00DD54F7">
        <w:rPr>
          <w:rFonts w:ascii="Times New Roman" w:hAnsi="Times New Roman"/>
          <w:iCs/>
          <w:szCs w:val="24"/>
        </w:rPr>
        <w:t xml:space="preserve">esolution to </w:t>
      </w:r>
      <w:r w:rsidR="00665582" w:rsidRPr="00DD54F7">
        <w:rPr>
          <w:rFonts w:ascii="Times New Roman" w:hAnsi="Times New Roman"/>
          <w:iCs/>
          <w:szCs w:val="24"/>
        </w:rPr>
        <w:t>ensur</w:t>
      </w:r>
      <w:r w:rsidR="003743B3" w:rsidRPr="00DD54F7">
        <w:rPr>
          <w:rFonts w:ascii="Times New Roman" w:hAnsi="Times New Roman"/>
          <w:iCs/>
          <w:szCs w:val="24"/>
        </w:rPr>
        <w:t xml:space="preserve">e </w:t>
      </w:r>
      <w:r w:rsidR="008B5F93" w:rsidRPr="00DD54F7">
        <w:rPr>
          <w:rFonts w:ascii="Times New Roman" w:hAnsi="Times New Roman"/>
          <w:iCs/>
          <w:szCs w:val="24"/>
        </w:rPr>
        <w:t xml:space="preserve">the </w:t>
      </w:r>
      <w:r w:rsidR="00665582" w:rsidRPr="00DD54F7">
        <w:rPr>
          <w:rFonts w:ascii="Times New Roman" w:hAnsi="Times New Roman"/>
          <w:iCs/>
          <w:szCs w:val="24"/>
        </w:rPr>
        <w:t xml:space="preserve">smooth cooperation </w:t>
      </w:r>
      <w:r w:rsidR="0060452B" w:rsidRPr="00DD54F7">
        <w:rPr>
          <w:rFonts w:ascii="Times New Roman" w:hAnsi="Times New Roman"/>
          <w:iCs/>
          <w:szCs w:val="24"/>
        </w:rPr>
        <w:t xml:space="preserve">between the </w:t>
      </w:r>
      <w:r w:rsidR="00342864" w:rsidRPr="00DD54F7">
        <w:rPr>
          <w:rFonts w:ascii="Times New Roman" w:hAnsi="Times New Roman"/>
          <w:iCs/>
          <w:szCs w:val="24"/>
        </w:rPr>
        <w:t>institutions</w:t>
      </w:r>
      <w:r w:rsidR="0060452B" w:rsidRPr="00DD54F7">
        <w:rPr>
          <w:rFonts w:ascii="Times New Roman" w:hAnsi="Times New Roman"/>
          <w:iCs/>
          <w:szCs w:val="24"/>
        </w:rPr>
        <w:t xml:space="preserve"> </w:t>
      </w:r>
      <w:r w:rsidR="00665582" w:rsidRPr="00DD54F7">
        <w:rPr>
          <w:rFonts w:ascii="Times New Roman" w:hAnsi="Times New Roman"/>
          <w:iCs/>
          <w:szCs w:val="24"/>
        </w:rPr>
        <w:t xml:space="preserve">on files </w:t>
      </w:r>
      <w:r w:rsidR="00B817A8" w:rsidRPr="00DD54F7">
        <w:rPr>
          <w:rFonts w:ascii="Times New Roman" w:hAnsi="Times New Roman"/>
          <w:iCs/>
          <w:szCs w:val="24"/>
        </w:rPr>
        <w:t xml:space="preserve">under the special legislative procedures </w:t>
      </w:r>
      <w:r w:rsidR="00DD35B5" w:rsidRPr="00DD54F7">
        <w:rPr>
          <w:rFonts w:ascii="Times New Roman" w:hAnsi="Times New Roman"/>
          <w:iCs/>
          <w:szCs w:val="24"/>
        </w:rPr>
        <w:t xml:space="preserve">and </w:t>
      </w:r>
      <w:r w:rsidR="00145CBE" w:rsidRPr="00DD54F7">
        <w:rPr>
          <w:rFonts w:ascii="Times New Roman" w:hAnsi="Times New Roman"/>
          <w:iCs/>
          <w:szCs w:val="24"/>
        </w:rPr>
        <w:t xml:space="preserve">fully </w:t>
      </w:r>
      <w:r w:rsidR="00B3631A" w:rsidRPr="00DD54F7">
        <w:rPr>
          <w:rFonts w:ascii="Times New Roman" w:hAnsi="Times New Roman"/>
          <w:iCs/>
          <w:szCs w:val="24"/>
        </w:rPr>
        <w:t xml:space="preserve">shares </w:t>
      </w:r>
      <w:r w:rsidR="00B817A8" w:rsidRPr="00DD54F7">
        <w:rPr>
          <w:rFonts w:ascii="Times New Roman" w:hAnsi="Times New Roman"/>
          <w:iCs/>
          <w:szCs w:val="24"/>
        </w:rPr>
        <w:t xml:space="preserve">the Parliament’s </w:t>
      </w:r>
      <w:r w:rsidR="00EE1073" w:rsidRPr="00DD54F7">
        <w:rPr>
          <w:rFonts w:ascii="Times New Roman" w:hAnsi="Times New Roman"/>
          <w:iCs/>
          <w:szCs w:val="24"/>
        </w:rPr>
        <w:t xml:space="preserve">view </w:t>
      </w:r>
      <w:r w:rsidR="00B3631A" w:rsidRPr="00DD54F7">
        <w:rPr>
          <w:rFonts w:ascii="Times New Roman" w:hAnsi="Times New Roman"/>
          <w:iCs/>
          <w:szCs w:val="24"/>
        </w:rPr>
        <w:t xml:space="preserve">that </w:t>
      </w:r>
      <w:r w:rsidR="008337C1" w:rsidRPr="00DD54F7">
        <w:rPr>
          <w:rFonts w:ascii="Times New Roman" w:hAnsi="Times New Roman"/>
          <w:iCs/>
          <w:szCs w:val="24"/>
        </w:rPr>
        <w:t>all institution</w:t>
      </w:r>
      <w:r w:rsidR="00FD4DB0" w:rsidRPr="00DD54F7">
        <w:rPr>
          <w:rFonts w:ascii="Times New Roman" w:hAnsi="Times New Roman"/>
          <w:iCs/>
          <w:szCs w:val="24"/>
        </w:rPr>
        <w:t>s</w:t>
      </w:r>
      <w:r w:rsidR="008337C1" w:rsidRPr="00DD54F7">
        <w:rPr>
          <w:rFonts w:ascii="Times New Roman" w:hAnsi="Times New Roman"/>
          <w:iCs/>
          <w:szCs w:val="24"/>
        </w:rPr>
        <w:t xml:space="preserve"> </w:t>
      </w:r>
      <w:r w:rsidR="00B817A8" w:rsidRPr="00DD54F7">
        <w:rPr>
          <w:rFonts w:ascii="Times New Roman" w:hAnsi="Times New Roman"/>
          <w:iCs/>
          <w:szCs w:val="24"/>
        </w:rPr>
        <w:t xml:space="preserve">must comply with </w:t>
      </w:r>
      <w:r w:rsidR="00E427DE" w:rsidRPr="00DD54F7">
        <w:rPr>
          <w:rFonts w:ascii="Times New Roman" w:hAnsi="Times New Roman"/>
          <w:iCs/>
          <w:szCs w:val="24"/>
        </w:rPr>
        <w:t xml:space="preserve">their obligations under the </w:t>
      </w:r>
      <w:r w:rsidR="00B817A8" w:rsidRPr="00DD54F7">
        <w:rPr>
          <w:rFonts w:ascii="Times New Roman" w:hAnsi="Times New Roman"/>
          <w:iCs/>
          <w:szCs w:val="24"/>
        </w:rPr>
        <w:t>T</w:t>
      </w:r>
      <w:r w:rsidRPr="00DD54F7">
        <w:rPr>
          <w:rFonts w:ascii="Times New Roman" w:hAnsi="Times New Roman"/>
          <w:iCs/>
          <w:szCs w:val="24"/>
        </w:rPr>
        <w:t xml:space="preserve">reaties, including </w:t>
      </w:r>
      <w:r w:rsidR="008337C1" w:rsidRPr="00DD54F7">
        <w:rPr>
          <w:rFonts w:ascii="Times New Roman" w:hAnsi="Times New Roman"/>
          <w:iCs/>
          <w:szCs w:val="24"/>
        </w:rPr>
        <w:t xml:space="preserve">the principle of sincere </w:t>
      </w:r>
      <w:proofErr w:type="gramStart"/>
      <w:r w:rsidR="00B3631A" w:rsidRPr="00DD54F7">
        <w:rPr>
          <w:rFonts w:ascii="Times New Roman" w:hAnsi="Times New Roman"/>
          <w:iCs/>
          <w:szCs w:val="24"/>
        </w:rPr>
        <w:t>mutual</w:t>
      </w:r>
      <w:r w:rsidR="00FA3CB7" w:rsidRPr="00DD54F7">
        <w:rPr>
          <w:rFonts w:ascii="Times New Roman" w:hAnsi="Times New Roman"/>
          <w:iCs/>
          <w:szCs w:val="24"/>
        </w:rPr>
        <w:t xml:space="preserve"> </w:t>
      </w:r>
      <w:r w:rsidR="00B3631A" w:rsidRPr="00DD54F7">
        <w:rPr>
          <w:rFonts w:ascii="Times New Roman" w:hAnsi="Times New Roman"/>
          <w:iCs/>
          <w:szCs w:val="24"/>
        </w:rPr>
        <w:t>cooperation</w:t>
      </w:r>
      <w:proofErr w:type="gramEnd"/>
      <w:r w:rsidR="008337C1" w:rsidRPr="00DD54F7">
        <w:rPr>
          <w:rFonts w:ascii="Times New Roman" w:hAnsi="Times New Roman"/>
          <w:iCs/>
          <w:szCs w:val="24"/>
        </w:rPr>
        <w:t>.</w:t>
      </w:r>
    </w:p>
    <w:p w14:paraId="2D141722" w14:textId="7189B1D3" w:rsidR="00EE1073" w:rsidRPr="00DD54F7" w:rsidRDefault="001F054B" w:rsidP="009B32D9">
      <w:pPr>
        <w:widowControl w:val="0"/>
        <w:spacing w:after="120"/>
        <w:rPr>
          <w:rFonts w:ascii="Times New Roman" w:hAnsi="Times New Roman"/>
          <w:iCs/>
          <w:szCs w:val="24"/>
        </w:rPr>
      </w:pPr>
      <w:r>
        <w:rPr>
          <w:rFonts w:ascii="Times New Roman" w:hAnsi="Times New Roman"/>
          <w:iCs/>
          <w:szCs w:val="24"/>
        </w:rPr>
        <w:t xml:space="preserve">(Paragraphs 18 and 27) </w:t>
      </w:r>
      <w:r w:rsidR="00DC786E" w:rsidRPr="00DC786E">
        <w:rPr>
          <w:rFonts w:ascii="Times New Roman" w:hAnsi="Times New Roman"/>
          <w:iCs/>
          <w:szCs w:val="24"/>
        </w:rPr>
        <w:t xml:space="preserve">The Commission notes that some of the files to which the </w:t>
      </w:r>
      <w:r w:rsidR="009B32D9">
        <w:rPr>
          <w:rFonts w:ascii="Times New Roman" w:hAnsi="Times New Roman"/>
          <w:iCs/>
          <w:szCs w:val="24"/>
        </w:rPr>
        <w:t>r</w:t>
      </w:r>
      <w:r w:rsidR="00DC786E" w:rsidRPr="00DC786E">
        <w:rPr>
          <w:rFonts w:ascii="Times New Roman" w:hAnsi="Times New Roman"/>
          <w:iCs/>
          <w:szCs w:val="24"/>
        </w:rPr>
        <w:t xml:space="preserve">esolution refers have come to a </w:t>
      </w:r>
      <w:r w:rsidR="00143DFD" w:rsidRPr="00143DFD">
        <w:rPr>
          <w:rFonts w:ascii="Times New Roman" w:hAnsi="Times New Roman"/>
          <w:iCs/>
          <w:szCs w:val="24"/>
        </w:rPr>
        <w:t xml:space="preserve">partially successful or </w:t>
      </w:r>
      <w:r w:rsidR="00DC786E" w:rsidRPr="00DC786E">
        <w:rPr>
          <w:rFonts w:ascii="Times New Roman" w:hAnsi="Times New Roman"/>
          <w:iCs/>
          <w:szCs w:val="24"/>
        </w:rPr>
        <w:t xml:space="preserve">successful conclusion, for instance </w:t>
      </w:r>
      <w:r w:rsidR="00C4063B">
        <w:rPr>
          <w:rFonts w:ascii="Times New Roman" w:hAnsi="Times New Roman"/>
          <w:iCs/>
          <w:szCs w:val="24"/>
        </w:rPr>
        <w:t xml:space="preserve">on </w:t>
      </w:r>
      <w:r w:rsidR="00DC786E">
        <w:rPr>
          <w:rFonts w:ascii="Times New Roman" w:hAnsi="Times New Roman"/>
          <w:iCs/>
          <w:szCs w:val="24"/>
        </w:rPr>
        <w:t xml:space="preserve">the </w:t>
      </w:r>
      <w:r w:rsidR="00C4063B">
        <w:rPr>
          <w:rFonts w:ascii="Times New Roman" w:hAnsi="Times New Roman"/>
          <w:iCs/>
          <w:szCs w:val="24"/>
        </w:rPr>
        <w:t xml:space="preserve">question of </w:t>
      </w:r>
      <w:r w:rsidR="00DC786E" w:rsidRPr="00DC786E">
        <w:rPr>
          <w:rFonts w:ascii="Times New Roman" w:hAnsi="Times New Roman"/>
          <w:iCs/>
          <w:szCs w:val="24"/>
        </w:rPr>
        <w:t xml:space="preserve">Romania’s and Bulgaria’s accession to the Schengen area and the composition of the European Parliament for the 2024 elections. As regards the latter file, the Commission </w:t>
      </w:r>
      <w:r w:rsidR="009308F8">
        <w:rPr>
          <w:rFonts w:ascii="Times New Roman" w:hAnsi="Times New Roman"/>
          <w:iCs/>
          <w:szCs w:val="24"/>
        </w:rPr>
        <w:t xml:space="preserve">also </w:t>
      </w:r>
      <w:r w:rsidR="00DC786E" w:rsidRPr="00DC786E">
        <w:rPr>
          <w:rFonts w:ascii="Times New Roman" w:hAnsi="Times New Roman"/>
          <w:iCs/>
          <w:szCs w:val="24"/>
        </w:rPr>
        <w:t>recalls that the Parliament</w:t>
      </w:r>
      <w:r w:rsidR="00DC786E">
        <w:rPr>
          <w:rFonts w:ascii="Times New Roman" w:hAnsi="Times New Roman"/>
          <w:iCs/>
          <w:szCs w:val="24"/>
        </w:rPr>
        <w:t>’s Committee of Constitutional Affairs</w:t>
      </w:r>
      <w:r w:rsidR="00DC786E" w:rsidRPr="00DC786E">
        <w:rPr>
          <w:rFonts w:ascii="Times New Roman" w:hAnsi="Times New Roman"/>
          <w:iCs/>
          <w:szCs w:val="24"/>
        </w:rPr>
        <w:t xml:space="preserve">, following the suggestion made by the European Council in its Decision from 22 September 2023, is currently preparing a proposal for </w:t>
      </w:r>
      <w:r w:rsidR="0047354A">
        <w:rPr>
          <w:rFonts w:ascii="Times New Roman" w:hAnsi="Times New Roman"/>
          <w:iCs/>
          <w:szCs w:val="24"/>
        </w:rPr>
        <w:t xml:space="preserve">a </w:t>
      </w:r>
      <w:r w:rsidR="00DC786E" w:rsidRPr="00DC786E">
        <w:rPr>
          <w:rFonts w:ascii="Times New Roman" w:hAnsi="Times New Roman"/>
          <w:iCs/>
          <w:szCs w:val="24"/>
        </w:rPr>
        <w:t xml:space="preserve">permanent system to allocate the seats of the European Parliament in an objective, fair, durable and transparent way, also </w:t>
      </w:r>
      <w:r w:rsidR="009308F8">
        <w:rPr>
          <w:rFonts w:ascii="Times New Roman" w:hAnsi="Times New Roman"/>
          <w:iCs/>
          <w:szCs w:val="24"/>
        </w:rPr>
        <w:t xml:space="preserve">with </w:t>
      </w:r>
      <w:r w:rsidR="00DC786E" w:rsidRPr="00DC786E">
        <w:rPr>
          <w:rFonts w:ascii="Times New Roman" w:hAnsi="Times New Roman"/>
          <w:iCs/>
          <w:szCs w:val="24"/>
        </w:rPr>
        <w:t xml:space="preserve">the objective of making future </w:t>
      </w:r>
      <w:r w:rsidR="009308F8">
        <w:rPr>
          <w:rFonts w:ascii="Times New Roman" w:hAnsi="Times New Roman"/>
          <w:iCs/>
          <w:szCs w:val="24"/>
        </w:rPr>
        <w:t xml:space="preserve">agreements </w:t>
      </w:r>
      <w:r w:rsidR="00DC786E" w:rsidRPr="00DC786E">
        <w:rPr>
          <w:rFonts w:ascii="Times New Roman" w:hAnsi="Times New Roman"/>
          <w:iCs/>
          <w:szCs w:val="24"/>
        </w:rPr>
        <w:t>on the composition of the Parliament less difficult.</w:t>
      </w:r>
    </w:p>
    <w:p w14:paraId="379C81B5" w14:textId="1837AD11" w:rsidR="00E246A6" w:rsidRPr="00DD54F7" w:rsidRDefault="00EF4322" w:rsidP="009B32D9">
      <w:pPr>
        <w:widowControl w:val="0"/>
        <w:spacing w:after="120"/>
        <w:rPr>
          <w:rFonts w:ascii="Times New Roman" w:hAnsi="Times New Roman"/>
          <w:iCs/>
          <w:szCs w:val="24"/>
        </w:rPr>
      </w:pPr>
      <w:r>
        <w:rPr>
          <w:rFonts w:ascii="Times New Roman" w:hAnsi="Times New Roman"/>
          <w:iCs/>
          <w:szCs w:val="24"/>
        </w:rPr>
        <w:t xml:space="preserve">(Paragraph 9) </w:t>
      </w:r>
      <w:r w:rsidR="005F492A">
        <w:rPr>
          <w:rFonts w:ascii="Times New Roman" w:hAnsi="Times New Roman"/>
          <w:iCs/>
          <w:szCs w:val="24"/>
        </w:rPr>
        <w:t>T</w:t>
      </w:r>
      <w:r w:rsidR="003D4C98" w:rsidRPr="00DD54F7">
        <w:rPr>
          <w:rFonts w:ascii="Times New Roman" w:hAnsi="Times New Roman"/>
          <w:iCs/>
          <w:szCs w:val="24"/>
        </w:rPr>
        <w:t xml:space="preserve">he Commission </w:t>
      </w:r>
      <w:r w:rsidR="00173398" w:rsidRPr="00173398">
        <w:rPr>
          <w:rFonts w:ascii="Times New Roman" w:hAnsi="Times New Roman"/>
          <w:iCs/>
          <w:szCs w:val="24"/>
        </w:rPr>
        <w:t xml:space="preserve">has always recognised the importance of the </w:t>
      </w:r>
      <w:r w:rsidR="001A49F7" w:rsidRPr="00173398">
        <w:rPr>
          <w:rFonts w:ascii="Times New Roman" w:hAnsi="Times New Roman"/>
          <w:iCs/>
          <w:szCs w:val="24"/>
        </w:rPr>
        <w:t>Parliament’s right</w:t>
      </w:r>
      <w:r w:rsidR="00173398" w:rsidRPr="00173398">
        <w:rPr>
          <w:rFonts w:ascii="Times New Roman" w:hAnsi="Times New Roman"/>
          <w:iCs/>
          <w:szCs w:val="24"/>
        </w:rPr>
        <w:t xml:space="preserve"> of inquiry without prejudice to the powers conferred by the Treaties to the other institutions. As stated on several occasion and in the spirit of mutual sincere cooperation, the Commission stands ready to resume interinstitutional discussions to unlock this file. The Commission agrees there is a need to amend the current </w:t>
      </w:r>
      <w:r w:rsidR="00A55F40">
        <w:rPr>
          <w:rFonts w:ascii="Times New Roman" w:hAnsi="Times New Roman"/>
          <w:iCs/>
          <w:szCs w:val="24"/>
        </w:rPr>
        <w:t xml:space="preserve">rules </w:t>
      </w:r>
      <w:r w:rsidR="00173398" w:rsidRPr="00173398">
        <w:rPr>
          <w:rFonts w:ascii="Times New Roman" w:hAnsi="Times New Roman"/>
          <w:iCs/>
          <w:szCs w:val="24"/>
        </w:rPr>
        <w:t xml:space="preserve">so that the Parliament would have an adequate instrument of inquiry, which fully respects institutional prerogatives and the relevant legal frameworks of Member States. The Commission recalls that, </w:t>
      </w:r>
      <w:r w:rsidR="00EE4C7C">
        <w:rPr>
          <w:rFonts w:ascii="Times New Roman" w:hAnsi="Times New Roman"/>
          <w:iCs/>
          <w:szCs w:val="24"/>
        </w:rPr>
        <w:t>according to Article 226 TFEU, the detailed provisions governing the exercise of the right of inquiry are to be determined by the European Parliament, acting on its own initiative, after obtaining the consent of the Council and the Commission. This necessitates then that</w:t>
      </w:r>
      <w:r w:rsidR="00173398" w:rsidRPr="00173398">
        <w:rPr>
          <w:rFonts w:ascii="Times New Roman" w:hAnsi="Times New Roman"/>
          <w:iCs/>
          <w:szCs w:val="24"/>
        </w:rPr>
        <w:t xml:space="preserve"> </w:t>
      </w:r>
      <w:r w:rsidR="00EE4C7C">
        <w:rPr>
          <w:rFonts w:ascii="Times New Roman" w:hAnsi="Times New Roman"/>
          <w:iCs/>
          <w:szCs w:val="24"/>
        </w:rPr>
        <w:t xml:space="preserve">the </w:t>
      </w:r>
      <w:r w:rsidR="00173398" w:rsidRPr="00173398">
        <w:rPr>
          <w:rFonts w:ascii="Times New Roman" w:hAnsi="Times New Roman"/>
          <w:iCs/>
          <w:szCs w:val="24"/>
        </w:rPr>
        <w:t>concerns</w:t>
      </w:r>
      <w:r w:rsidR="00EE4C7C">
        <w:rPr>
          <w:rFonts w:ascii="Times New Roman" w:hAnsi="Times New Roman"/>
          <w:iCs/>
          <w:szCs w:val="24"/>
        </w:rPr>
        <w:t xml:space="preserve"> </w:t>
      </w:r>
      <w:r w:rsidR="00AB7653">
        <w:rPr>
          <w:rFonts w:ascii="Times New Roman" w:hAnsi="Times New Roman"/>
          <w:iCs/>
          <w:szCs w:val="24"/>
        </w:rPr>
        <w:t>raised</w:t>
      </w:r>
      <w:r w:rsidR="00EE4C7C">
        <w:rPr>
          <w:rFonts w:ascii="Times New Roman" w:hAnsi="Times New Roman"/>
          <w:iCs/>
          <w:szCs w:val="24"/>
        </w:rPr>
        <w:t xml:space="preserve"> </w:t>
      </w:r>
      <w:r w:rsidR="001A49F7">
        <w:rPr>
          <w:rFonts w:ascii="Times New Roman" w:hAnsi="Times New Roman"/>
          <w:iCs/>
          <w:szCs w:val="24"/>
        </w:rPr>
        <w:t xml:space="preserve">by </w:t>
      </w:r>
      <w:r w:rsidR="00EE4C7C">
        <w:rPr>
          <w:rFonts w:ascii="Times New Roman" w:hAnsi="Times New Roman"/>
          <w:iCs/>
          <w:szCs w:val="24"/>
        </w:rPr>
        <w:t>the Council and the Commission</w:t>
      </w:r>
      <w:r w:rsidR="00173398" w:rsidRPr="00173398">
        <w:rPr>
          <w:rFonts w:ascii="Times New Roman" w:hAnsi="Times New Roman"/>
          <w:iCs/>
          <w:szCs w:val="24"/>
        </w:rPr>
        <w:t xml:space="preserve"> </w:t>
      </w:r>
      <w:r w:rsidR="00AB7653">
        <w:rPr>
          <w:rFonts w:ascii="Times New Roman" w:hAnsi="Times New Roman"/>
          <w:iCs/>
          <w:szCs w:val="24"/>
        </w:rPr>
        <w:t>are</w:t>
      </w:r>
      <w:r w:rsidR="00173398" w:rsidRPr="00173398">
        <w:rPr>
          <w:rFonts w:ascii="Times New Roman" w:hAnsi="Times New Roman"/>
          <w:iCs/>
          <w:szCs w:val="24"/>
        </w:rPr>
        <w:t xml:space="preserve"> addressed.</w:t>
      </w:r>
    </w:p>
    <w:p w14:paraId="5736C55D" w14:textId="1930AB73" w:rsidR="00744444" w:rsidRPr="00DD54F7" w:rsidRDefault="00EF4322" w:rsidP="009B32D9">
      <w:pPr>
        <w:widowControl w:val="0"/>
        <w:spacing w:after="120"/>
        <w:rPr>
          <w:rFonts w:ascii="Times New Roman" w:hAnsi="Times New Roman"/>
          <w:iCs/>
          <w:szCs w:val="24"/>
        </w:rPr>
      </w:pPr>
      <w:r>
        <w:rPr>
          <w:rFonts w:ascii="Times New Roman" w:hAnsi="Times New Roman"/>
          <w:szCs w:val="24"/>
        </w:rPr>
        <w:t xml:space="preserve">(Paragraph 15) </w:t>
      </w:r>
      <w:r w:rsidR="00744444" w:rsidRPr="00744444">
        <w:rPr>
          <w:rFonts w:ascii="Times New Roman" w:hAnsi="Times New Roman"/>
          <w:szCs w:val="24"/>
        </w:rPr>
        <w:t xml:space="preserve">The Commission </w:t>
      </w:r>
      <w:r w:rsidR="0047354A" w:rsidRPr="0047354A">
        <w:rPr>
          <w:rFonts w:ascii="Times New Roman" w:hAnsi="Times New Roman"/>
          <w:szCs w:val="24"/>
        </w:rPr>
        <w:t>recognise</w:t>
      </w:r>
      <w:r w:rsidR="0047354A">
        <w:rPr>
          <w:rFonts w:ascii="Times New Roman" w:hAnsi="Times New Roman"/>
          <w:szCs w:val="24"/>
        </w:rPr>
        <w:t>s</w:t>
      </w:r>
      <w:r w:rsidR="0047354A" w:rsidRPr="0047354A">
        <w:rPr>
          <w:rFonts w:ascii="Times New Roman" w:hAnsi="Times New Roman"/>
          <w:szCs w:val="24"/>
        </w:rPr>
        <w:t xml:space="preserve"> the </w:t>
      </w:r>
      <w:r w:rsidR="001A49F7" w:rsidRPr="0047354A">
        <w:rPr>
          <w:rFonts w:ascii="Times New Roman" w:hAnsi="Times New Roman"/>
          <w:szCs w:val="24"/>
        </w:rPr>
        <w:t xml:space="preserve">importance </w:t>
      </w:r>
      <w:r w:rsidR="001A49F7" w:rsidRPr="00744444">
        <w:rPr>
          <w:rFonts w:ascii="Times New Roman" w:hAnsi="Times New Roman"/>
          <w:szCs w:val="24"/>
        </w:rPr>
        <w:t>of</w:t>
      </w:r>
      <w:r w:rsidR="00744444" w:rsidRPr="00744444">
        <w:rPr>
          <w:rFonts w:ascii="Times New Roman" w:hAnsi="Times New Roman"/>
          <w:szCs w:val="24"/>
        </w:rPr>
        <w:t xml:space="preserve"> the Parliament’s proposal for a </w:t>
      </w:r>
      <w:r w:rsidR="004B2A28">
        <w:rPr>
          <w:rFonts w:ascii="Times New Roman" w:hAnsi="Times New Roman"/>
          <w:szCs w:val="24"/>
        </w:rPr>
        <w:t>reform</w:t>
      </w:r>
      <w:r w:rsidR="004B2A28" w:rsidRPr="00744444">
        <w:rPr>
          <w:rFonts w:ascii="Times New Roman" w:hAnsi="Times New Roman"/>
          <w:szCs w:val="24"/>
        </w:rPr>
        <w:t xml:space="preserve"> </w:t>
      </w:r>
      <w:r w:rsidR="004B2A28">
        <w:rPr>
          <w:rFonts w:ascii="Times New Roman" w:hAnsi="Times New Roman"/>
          <w:szCs w:val="24"/>
        </w:rPr>
        <w:t xml:space="preserve">of the </w:t>
      </w:r>
      <w:r w:rsidR="00744444" w:rsidRPr="00744444">
        <w:rPr>
          <w:rFonts w:ascii="Times New Roman" w:hAnsi="Times New Roman"/>
          <w:szCs w:val="24"/>
        </w:rPr>
        <w:t>EU electoral law</w:t>
      </w:r>
      <w:r w:rsidR="0047354A" w:rsidRPr="0047354A">
        <w:rPr>
          <w:rFonts w:ascii="Times New Roman" w:hAnsi="Times New Roman"/>
          <w:szCs w:val="24"/>
        </w:rPr>
        <w:t xml:space="preserve"> and support</w:t>
      </w:r>
      <w:r w:rsidR="0047354A">
        <w:rPr>
          <w:rFonts w:ascii="Times New Roman" w:hAnsi="Times New Roman"/>
          <w:szCs w:val="24"/>
        </w:rPr>
        <w:t>s</w:t>
      </w:r>
      <w:r w:rsidR="0047354A" w:rsidRPr="0047354A">
        <w:rPr>
          <w:rFonts w:ascii="Times New Roman" w:hAnsi="Times New Roman"/>
          <w:szCs w:val="24"/>
        </w:rPr>
        <w:t xml:space="preserve"> its overall objectives</w:t>
      </w:r>
      <w:r w:rsidR="00744444" w:rsidRPr="00744444">
        <w:rPr>
          <w:rFonts w:ascii="Times New Roman" w:hAnsi="Times New Roman"/>
          <w:szCs w:val="24"/>
        </w:rPr>
        <w:t xml:space="preserve">. The Commission constantly works to make elections to the European Parliament more European, </w:t>
      </w:r>
      <w:proofErr w:type="gramStart"/>
      <w:r w:rsidR="00744444" w:rsidRPr="00744444">
        <w:rPr>
          <w:rFonts w:ascii="Times New Roman" w:hAnsi="Times New Roman"/>
          <w:szCs w:val="24"/>
        </w:rPr>
        <w:t>inclusive</w:t>
      </w:r>
      <w:proofErr w:type="gramEnd"/>
      <w:r w:rsidR="00744444" w:rsidRPr="00744444">
        <w:rPr>
          <w:rFonts w:ascii="Times New Roman" w:hAnsi="Times New Roman"/>
          <w:szCs w:val="24"/>
        </w:rPr>
        <w:t xml:space="preserve"> and resilient, in full compliance with the highest democratic standards. While the Commission plays no formal role in the special legislative procedure set out in Article 223 TFEU, it actively follows discussions in the Council. It has made available its technical and institutional expertise on electoral related matters, which builds among others on the work conducted in the context of the European Cooperation Network on Elections, to help find workable approaches to advance discussions on this proposal.</w:t>
      </w:r>
    </w:p>
    <w:p w14:paraId="7717E576" w14:textId="29108BE2" w:rsidR="0047354A" w:rsidRPr="00DD54F7" w:rsidRDefault="00EF4322" w:rsidP="009B32D9">
      <w:pPr>
        <w:widowControl w:val="0"/>
        <w:spacing w:after="120"/>
        <w:rPr>
          <w:rFonts w:ascii="Times New Roman" w:hAnsi="Times New Roman"/>
          <w:iCs/>
          <w:szCs w:val="24"/>
        </w:rPr>
      </w:pPr>
      <w:r>
        <w:rPr>
          <w:rFonts w:ascii="Times New Roman" w:hAnsi="Times New Roman"/>
          <w:iCs/>
          <w:szCs w:val="24"/>
        </w:rPr>
        <w:t xml:space="preserve">(Paragraph 27) </w:t>
      </w:r>
      <w:r w:rsidR="0047354A" w:rsidRPr="00DD54F7">
        <w:rPr>
          <w:rFonts w:ascii="Times New Roman" w:hAnsi="Times New Roman"/>
          <w:iCs/>
          <w:szCs w:val="24"/>
        </w:rPr>
        <w:t xml:space="preserve">With regard to </w:t>
      </w:r>
      <w:r w:rsidR="0047354A">
        <w:rPr>
          <w:rFonts w:ascii="Times New Roman" w:hAnsi="Times New Roman"/>
          <w:iCs/>
          <w:szCs w:val="24"/>
        </w:rPr>
        <w:t>the</w:t>
      </w:r>
      <w:r w:rsidR="0047354A" w:rsidRPr="00744444">
        <w:rPr>
          <w:rFonts w:ascii="Times New Roman" w:hAnsi="Times New Roman"/>
        </w:rPr>
        <w:t xml:space="preserve"> proposal to recast the </w:t>
      </w:r>
      <w:r w:rsidR="0047354A">
        <w:rPr>
          <w:rFonts w:ascii="Times New Roman" w:hAnsi="Times New Roman"/>
        </w:rPr>
        <w:t>D</w:t>
      </w:r>
      <w:r w:rsidR="0047354A" w:rsidRPr="00744444">
        <w:rPr>
          <w:rFonts w:ascii="Times New Roman" w:hAnsi="Times New Roman"/>
        </w:rPr>
        <w:t>irective on electoral rights of mobile Union citizens in elections to the European Parliament</w:t>
      </w:r>
      <w:r w:rsidR="0047354A">
        <w:rPr>
          <w:rFonts w:ascii="Times New Roman" w:hAnsi="Times New Roman"/>
        </w:rPr>
        <w:t xml:space="preserve">, the Commission recalls that this proposal </w:t>
      </w:r>
      <w:r w:rsidR="0047354A" w:rsidRPr="00744444">
        <w:rPr>
          <w:rFonts w:ascii="Times New Roman" w:hAnsi="Times New Roman"/>
        </w:rPr>
        <w:t xml:space="preserve">is </w:t>
      </w:r>
      <w:r w:rsidR="0047354A">
        <w:rPr>
          <w:rFonts w:ascii="Times New Roman" w:hAnsi="Times New Roman"/>
        </w:rPr>
        <w:t xml:space="preserve">currently </w:t>
      </w:r>
      <w:r w:rsidR="0047354A" w:rsidRPr="00744444">
        <w:rPr>
          <w:rFonts w:ascii="Times New Roman" w:hAnsi="Times New Roman"/>
        </w:rPr>
        <w:t xml:space="preserve">in the hands of the </w:t>
      </w:r>
      <w:r w:rsidR="0047354A">
        <w:rPr>
          <w:rFonts w:ascii="Times New Roman" w:hAnsi="Times New Roman"/>
        </w:rPr>
        <w:t>Council</w:t>
      </w:r>
      <w:r w:rsidR="0047354A" w:rsidRPr="00744444">
        <w:rPr>
          <w:rFonts w:ascii="Times New Roman" w:hAnsi="Times New Roman"/>
        </w:rPr>
        <w:t xml:space="preserve">, which has recently started discussions at technical level. The Commission </w:t>
      </w:r>
      <w:r w:rsidR="0047354A" w:rsidRPr="000D37CA">
        <w:rPr>
          <w:rFonts w:ascii="Times New Roman" w:hAnsi="Times New Roman"/>
        </w:rPr>
        <w:t>note</w:t>
      </w:r>
      <w:r w:rsidR="0047354A">
        <w:rPr>
          <w:rFonts w:ascii="Times New Roman" w:hAnsi="Times New Roman"/>
        </w:rPr>
        <w:t>s</w:t>
      </w:r>
      <w:r w:rsidR="0047354A" w:rsidRPr="000D37CA">
        <w:rPr>
          <w:rFonts w:ascii="Times New Roman" w:hAnsi="Times New Roman"/>
        </w:rPr>
        <w:t xml:space="preserve"> the Parliament’s concerns about </w:t>
      </w:r>
      <w:r w:rsidR="0047354A">
        <w:rPr>
          <w:rFonts w:ascii="Times New Roman" w:hAnsi="Times New Roman"/>
        </w:rPr>
        <w:t xml:space="preserve">its </w:t>
      </w:r>
      <w:r w:rsidR="0047354A" w:rsidRPr="000D37CA">
        <w:rPr>
          <w:rFonts w:ascii="Times New Roman" w:hAnsi="Times New Roman"/>
        </w:rPr>
        <w:t xml:space="preserve">reply to the Parliament’s </w:t>
      </w:r>
      <w:r w:rsidR="0047354A">
        <w:rPr>
          <w:rFonts w:ascii="Times New Roman" w:hAnsi="Times New Roman"/>
        </w:rPr>
        <w:t>legislative r</w:t>
      </w:r>
      <w:r w:rsidR="0047354A" w:rsidRPr="000D37CA">
        <w:rPr>
          <w:rFonts w:ascii="Times New Roman" w:hAnsi="Times New Roman"/>
        </w:rPr>
        <w:t>esolution of 14 February 2023</w:t>
      </w:r>
      <w:r w:rsidR="0047354A">
        <w:rPr>
          <w:rFonts w:ascii="Times New Roman" w:hAnsi="Times New Roman"/>
        </w:rPr>
        <w:t xml:space="preserve">. </w:t>
      </w:r>
      <w:r w:rsidR="009B32D9">
        <w:rPr>
          <w:rFonts w:ascii="Times New Roman" w:hAnsi="Times New Roman"/>
        </w:rPr>
        <w:t>On this</w:t>
      </w:r>
      <w:r w:rsidR="0047354A">
        <w:rPr>
          <w:rFonts w:ascii="Times New Roman" w:hAnsi="Times New Roman"/>
        </w:rPr>
        <w:t>, the Commission stresses that it</w:t>
      </w:r>
      <w:r w:rsidR="0047354A" w:rsidRPr="00744444">
        <w:rPr>
          <w:rFonts w:ascii="Times New Roman" w:hAnsi="Times New Roman"/>
        </w:rPr>
        <w:t xml:space="preserve"> supports discussions in the Council to promote broad and inclusive participation of mobile Union citizens in elections and to ensure they can exercise their electoral rights effectively, under the same conditions as nationals. The Commission also supports efforts to ensure that mobile Union citizens can exercise their electoral rights easily and effectively through </w:t>
      </w:r>
      <w:r w:rsidR="0047354A">
        <w:rPr>
          <w:rFonts w:ascii="Times New Roman" w:hAnsi="Times New Roman"/>
        </w:rPr>
        <w:t xml:space="preserve">a </w:t>
      </w:r>
      <w:r w:rsidR="0047354A" w:rsidRPr="00744444">
        <w:rPr>
          <w:rFonts w:ascii="Times New Roman" w:hAnsi="Times New Roman"/>
        </w:rPr>
        <w:t xml:space="preserve">wide range of policy tools, which are complementary to its proposal, and which </w:t>
      </w:r>
      <w:r w:rsidR="0047354A" w:rsidRPr="00744444">
        <w:rPr>
          <w:rFonts w:ascii="Times New Roman" w:hAnsi="Times New Roman"/>
        </w:rPr>
        <w:lastRenderedPageBreak/>
        <w:t xml:space="preserve">are consistent with the objectives </w:t>
      </w:r>
      <w:r w:rsidR="0047354A">
        <w:rPr>
          <w:rFonts w:ascii="Times New Roman" w:hAnsi="Times New Roman"/>
        </w:rPr>
        <w:t xml:space="preserve">put forward in the </w:t>
      </w:r>
      <w:r w:rsidR="0047354A" w:rsidRPr="00744444">
        <w:rPr>
          <w:rFonts w:ascii="Times New Roman" w:hAnsi="Times New Roman"/>
        </w:rPr>
        <w:t xml:space="preserve">Parliament’s </w:t>
      </w:r>
      <w:r w:rsidR="0047354A">
        <w:rPr>
          <w:rFonts w:ascii="Times New Roman" w:hAnsi="Times New Roman"/>
        </w:rPr>
        <w:t>resolution</w:t>
      </w:r>
      <w:r w:rsidR="0047354A" w:rsidRPr="00744444">
        <w:rPr>
          <w:rFonts w:ascii="Times New Roman" w:hAnsi="Times New Roman"/>
        </w:rPr>
        <w:t>. For instance, it supports the exchange of good practices on how to ensure disability-inclusive elections and harness the benefits of technology to support participation in elections, including in the framework of the European Cooperation Network on elections.</w:t>
      </w:r>
      <w:r w:rsidR="0047354A">
        <w:rPr>
          <w:rFonts w:ascii="Times New Roman" w:hAnsi="Times New Roman"/>
        </w:rPr>
        <w:t xml:space="preserve"> A</w:t>
      </w:r>
      <w:r w:rsidR="0047354A" w:rsidRPr="00744444">
        <w:rPr>
          <w:rFonts w:ascii="Times New Roman" w:hAnsi="Times New Roman"/>
        </w:rPr>
        <w:t>lso, in December 2023, the Commission issued a recommendation on inclusive and resilient elections, which calls for easy voter registration procedures, the provision of information in an official language understandable to mobile Union citizens, the use of complementary voting methods, collection of data on participation and accessibility of elections for persons with disabilities. Furthermore, in December 2023, the Commission published a guide of good electoral practices in Member States addressing participation of citizens with disabilities in electoral processes and a compendium of e-voting and other ICT</w:t>
      </w:r>
      <w:r w:rsidR="009B32D9">
        <w:rPr>
          <w:rFonts w:ascii="Times New Roman" w:hAnsi="Times New Roman"/>
        </w:rPr>
        <w:t xml:space="preserve"> (</w:t>
      </w:r>
      <w:r w:rsidR="009B32D9" w:rsidRPr="009B32D9">
        <w:rPr>
          <w:rFonts w:ascii="Times New Roman" w:hAnsi="Times New Roman"/>
        </w:rPr>
        <w:t>information and communications technology</w:t>
      </w:r>
      <w:r w:rsidR="009B32D9">
        <w:rPr>
          <w:rFonts w:ascii="Times New Roman" w:hAnsi="Times New Roman"/>
        </w:rPr>
        <w:t>)</w:t>
      </w:r>
      <w:r w:rsidR="0047354A" w:rsidRPr="00744444">
        <w:rPr>
          <w:rFonts w:ascii="Times New Roman" w:hAnsi="Times New Roman"/>
        </w:rPr>
        <w:t xml:space="preserve"> practices</w:t>
      </w:r>
      <w:r w:rsidR="0047354A">
        <w:rPr>
          <w:rFonts w:ascii="Times New Roman" w:hAnsi="Times New Roman"/>
        </w:rPr>
        <w:t>.</w:t>
      </w:r>
    </w:p>
    <w:p w14:paraId="363BE7CA" w14:textId="1365936F" w:rsidR="00B7780E" w:rsidRPr="00DD54F7" w:rsidRDefault="00EF4322" w:rsidP="009B32D9">
      <w:pPr>
        <w:widowControl w:val="0"/>
        <w:spacing w:after="120"/>
        <w:rPr>
          <w:rFonts w:ascii="Times New Roman" w:hAnsi="Times New Roman"/>
          <w:iCs/>
          <w:szCs w:val="24"/>
        </w:rPr>
      </w:pPr>
      <w:r>
        <w:rPr>
          <w:rFonts w:ascii="Times New Roman" w:hAnsi="Times New Roman"/>
          <w:iCs/>
          <w:szCs w:val="24"/>
        </w:rPr>
        <w:t xml:space="preserve">(Paragraph 35) </w:t>
      </w:r>
      <w:r w:rsidR="003264D9" w:rsidRPr="00DD54F7">
        <w:rPr>
          <w:rFonts w:ascii="Times New Roman" w:hAnsi="Times New Roman"/>
          <w:iCs/>
          <w:szCs w:val="24"/>
        </w:rPr>
        <w:t xml:space="preserve">The Commission takes note of the </w:t>
      </w:r>
      <w:r w:rsidR="00C563B6" w:rsidRPr="00DD54F7">
        <w:rPr>
          <w:rFonts w:ascii="Times New Roman" w:hAnsi="Times New Roman"/>
          <w:iCs/>
          <w:szCs w:val="24"/>
        </w:rPr>
        <w:t xml:space="preserve">Parliament’s </w:t>
      </w:r>
      <w:r w:rsidR="00CA6F88" w:rsidRPr="00DD54F7">
        <w:rPr>
          <w:rFonts w:ascii="Times New Roman" w:hAnsi="Times New Roman"/>
          <w:iCs/>
          <w:szCs w:val="24"/>
        </w:rPr>
        <w:t>recommendation</w:t>
      </w:r>
      <w:r w:rsidR="00C563B6" w:rsidRPr="00DD54F7">
        <w:rPr>
          <w:rFonts w:ascii="Times New Roman" w:hAnsi="Times New Roman"/>
          <w:iCs/>
          <w:szCs w:val="24"/>
        </w:rPr>
        <w:t xml:space="preserve"> </w:t>
      </w:r>
      <w:r w:rsidR="003264D9" w:rsidRPr="00DD54F7">
        <w:rPr>
          <w:rFonts w:ascii="Times New Roman" w:hAnsi="Times New Roman"/>
          <w:iCs/>
          <w:szCs w:val="24"/>
        </w:rPr>
        <w:t xml:space="preserve">to launch a </w:t>
      </w:r>
      <w:r w:rsidR="00C563B6" w:rsidRPr="00DD54F7">
        <w:rPr>
          <w:rFonts w:ascii="Times New Roman" w:hAnsi="Times New Roman"/>
          <w:iCs/>
          <w:szCs w:val="24"/>
        </w:rPr>
        <w:t xml:space="preserve">review </w:t>
      </w:r>
      <w:r w:rsidR="00761CBD" w:rsidRPr="00DD54F7">
        <w:rPr>
          <w:rFonts w:ascii="Times New Roman" w:hAnsi="Times New Roman"/>
          <w:iCs/>
          <w:szCs w:val="24"/>
        </w:rPr>
        <w:t xml:space="preserve">of </w:t>
      </w:r>
      <w:r w:rsidR="00C563B6" w:rsidRPr="00DD54F7">
        <w:rPr>
          <w:rFonts w:ascii="Times New Roman" w:hAnsi="Times New Roman"/>
          <w:iCs/>
          <w:szCs w:val="24"/>
        </w:rPr>
        <w:t xml:space="preserve">the Interinstitutional Agreement on Better Law-Making with the objective of defining the </w:t>
      </w:r>
      <w:r w:rsidR="00145CBE" w:rsidRPr="00DD54F7">
        <w:rPr>
          <w:rFonts w:ascii="Times New Roman" w:hAnsi="Times New Roman"/>
          <w:iCs/>
          <w:szCs w:val="24"/>
        </w:rPr>
        <w:t>s</w:t>
      </w:r>
      <w:r w:rsidR="000E73A9" w:rsidRPr="00DD54F7">
        <w:rPr>
          <w:rFonts w:ascii="Times New Roman" w:hAnsi="Times New Roman"/>
          <w:iCs/>
          <w:szCs w:val="24"/>
        </w:rPr>
        <w:t xml:space="preserve">pecial </w:t>
      </w:r>
      <w:r w:rsidR="00145CBE" w:rsidRPr="00DD54F7">
        <w:rPr>
          <w:rFonts w:ascii="Times New Roman" w:hAnsi="Times New Roman"/>
          <w:iCs/>
          <w:szCs w:val="24"/>
        </w:rPr>
        <w:t>l</w:t>
      </w:r>
      <w:r w:rsidR="000E73A9" w:rsidRPr="00DD54F7">
        <w:rPr>
          <w:rFonts w:ascii="Times New Roman" w:hAnsi="Times New Roman"/>
          <w:iCs/>
          <w:szCs w:val="24"/>
        </w:rPr>
        <w:t xml:space="preserve">egislative </w:t>
      </w:r>
      <w:r w:rsidR="00145CBE" w:rsidRPr="00DD54F7">
        <w:rPr>
          <w:rFonts w:ascii="Times New Roman" w:hAnsi="Times New Roman"/>
          <w:iCs/>
          <w:szCs w:val="24"/>
        </w:rPr>
        <w:t>p</w:t>
      </w:r>
      <w:r w:rsidR="000E73A9" w:rsidRPr="00DD54F7">
        <w:rPr>
          <w:rFonts w:ascii="Times New Roman" w:hAnsi="Times New Roman"/>
          <w:iCs/>
          <w:szCs w:val="24"/>
        </w:rPr>
        <w:t>rocedure</w:t>
      </w:r>
      <w:r w:rsidR="00C563B6" w:rsidRPr="00DD54F7">
        <w:rPr>
          <w:rFonts w:ascii="Times New Roman" w:hAnsi="Times New Roman"/>
          <w:iCs/>
          <w:szCs w:val="24"/>
        </w:rPr>
        <w:t>s</w:t>
      </w:r>
      <w:r w:rsidR="008B5F93" w:rsidRPr="00DD54F7">
        <w:rPr>
          <w:rFonts w:ascii="Times New Roman" w:hAnsi="Times New Roman"/>
          <w:iCs/>
          <w:szCs w:val="24"/>
        </w:rPr>
        <w:t xml:space="preserve">, </w:t>
      </w:r>
      <w:proofErr w:type="gramStart"/>
      <w:r w:rsidR="008B5F93" w:rsidRPr="00DD54F7">
        <w:rPr>
          <w:rFonts w:ascii="Times New Roman" w:hAnsi="Times New Roman"/>
          <w:iCs/>
          <w:szCs w:val="24"/>
        </w:rPr>
        <w:t>in particular as</w:t>
      </w:r>
      <w:proofErr w:type="gramEnd"/>
      <w:r w:rsidR="008B5F93" w:rsidRPr="00DD54F7">
        <w:rPr>
          <w:rFonts w:ascii="Times New Roman" w:hAnsi="Times New Roman"/>
          <w:iCs/>
          <w:szCs w:val="24"/>
        </w:rPr>
        <w:t xml:space="preserve"> regards procedures where the Parliament has the right of initiative</w:t>
      </w:r>
      <w:r w:rsidR="003264D9" w:rsidRPr="00DD54F7">
        <w:rPr>
          <w:rFonts w:ascii="Times New Roman" w:hAnsi="Times New Roman"/>
          <w:iCs/>
          <w:szCs w:val="24"/>
        </w:rPr>
        <w:t xml:space="preserve">. </w:t>
      </w:r>
      <w:r w:rsidR="001F054B">
        <w:rPr>
          <w:rFonts w:ascii="Times New Roman" w:hAnsi="Times New Roman"/>
          <w:iCs/>
          <w:szCs w:val="24"/>
        </w:rPr>
        <w:t>T</w:t>
      </w:r>
      <w:r w:rsidR="00635D5F">
        <w:rPr>
          <w:rFonts w:ascii="Times New Roman" w:hAnsi="Times New Roman"/>
          <w:iCs/>
          <w:szCs w:val="24"/>
        </w:rPr>
        <w:t>he Commission</w:t>
      </w:r>
      <w:r w:rsidR="00635D5F" w:rsidRPr="00DD54F7">
        <w:rPr>
          <w:rFonts w:ascii="Times New Roman" w:hAnsi="Times New Roman"/>
          <w:iCs/>
          <w:szCs w:val="24"/>
        </w:rPr>
        <w:t xml:space="preserve"> </w:t>
      </w:r>
      <w:r w:rsidR="00AE5B02" w:rsidRPr="00DD54F7">
        <w:rPr>
          <w:rFonts w:ascii="Times New Roman" w:hAnsi="Times New Roman"/>
          <w:iCs/>
          <w:szCs w:val="24"/>
        </w:rPr>
        <w:t xml:space="preserve">is </w:t>
      </w:r>
      <w:r w:rsidR="001F054B">
        <w:rPr>
          <w:rFonts w:ascii="Times New Roman" w:hAnsi="Times New Roman"/>
          <w:iCs/>
          <w:szCs w:val="24"/>
        </w:rPr>
        <w:t>however</w:t>
      </w:r>
      <w:r w:rsidR="001F054B" w:rsidRPr="00DD54F7">
        <w:rPr>
          <w:rFonts w:ascii="Times New Roman" w:hAnsi="Times New Roman"/>
          <w:iCs/>
          <w:szCs w:val="24"/>
        </w:rPr>
        <w:t xml:space="preserve"> </w:t>
      </w:r>
      <w:r w:rsidR="00AE5B02" w:rsidRPr="00DD54F7">
        <w:rPr>
          <w:rFonts w:ascii="Times New Roman" w:hAnsi="Times New Roman"/>
          <w:iCs/>
          <w:szCs w:val="24"/>
        </w:rPr>
        <w:t xml:space="preserve">not convinced </w:t>
      </w:r>
      <w:r w:rsidR="00B7780E" w:rsidRPr="00DD54F7">
        <w:rPr>
          <w:rFonts w:ascii="Times New Roman" w:hAnsi="Times New Roman"/>
          <w:iCs/>
          <w:szCs w:val="24"/>
        </w:rPr>
        <w:t xml:space="preserve">that a revision of the </w:t>
      </w:r>
      <w:r w:rsidR="00FE0088" w:rsidRPr="00DD54F7">
        <w:rPr>
          <w:rFonts w:ascii="Times New Roman" w:hAnsi="Times New Roman"/>
          <w:iCs/>
          <w:szCs w:val="24"/>
        </w:rPr>
        <w:t xml:space="preserve">Interinstitutional </w:t>
      </w:r>
      <w:r w:rsidR="00B7780E" w:rsidRPr="00DD54F7">
        <w:rPr>
          <w:rFonts w:ascii="Times New Roman" w:hAnsi="Times New Roman"/>
          <w:iCs/>
          <w:szCs w:val="24"/>
        </w:rPr>
        <w:t xml:space="preserve">Agreement as proposed by the Parliament </w:t>
      </w:r>
      <w:r w:rsidR="00AE5B02" w:rsidRPr="00DD54F7">
        <w:rPr>
          <w:rFonts w:ascii="Times New Roman" w:hAnsi="Times New Roman"/>
          <w:iCs/>
          <w:szCs w:val="24"/>
        </w:rPr>
        <w:t xml:space="preserve">would </w:t>
      </w:r>
      <w:r w:rsidR="00FB1D02" w:rsidRPr="00DD54F7">
        <w:rPr>
          <w:rFonts w:ascii="Times New Roman" w:hAnsi="Times New Roman"/>
          <w:iCs/>
          <w:szCs w:val="24"/>
        </w:rPr>
        <w:t xml:space="preserve">be </w:t>
      </w:r>
      <w:r w:rsidR="00635D5F">
        <w:rPr>
          <w:rFonts w:ascii="Times New Roman" w:hAnsi="Times New Roman"/>
          <w:iCs/>
          <w:szCs w:val="24"/>
        </w:rPr>
        <w:t>an</w:t>
      </w:r>
      <w:r w:rsidR="00635D5F" w:rsidRPr="00DD54F7">
        <w:rPr>
          <w:rFonts w:ascii="Times New Roman" w:hAnsi="Times New Roman"/>
          <w:iCs/>
          <w:szCs w:val="24"/>
        </w:rPr>
        <w:t xml:space="preserve"> </w:t>
      </w:r>
      <w:r w:rsidR="00FB1D02" w:rsidRPr="00DD54F7">
        <w:rPr>
          <w:rFonts w:ascii="Times New Roman" w:hAnsi="Times New Roman"/>
          <w:iCs/>
          <w:szCs w:val="24"/>
        </w:rPr>
        <w:t xml:space="preserve">appropriate </w:t>
      </w:r>
      <w:r w:rsidR="00635D5F">
        <w:rPr>
          <w:rFonts w:ascii="Times New Roman" w:hAnsi="Times New Roman"/>
          <w:iCs/>
          <w:szCs w:val="24"/>
        </w:rPr>
        <w:t xml:space="preserve">or helpful </w:t>
      </w:r>
      <w:r w:rsidR="008B5F93" w:rsidRPr="00DD54F7">
        <w:rPr>
          <w:rFonts w:ascii="Times New Roman" w:hAnsi="Times New Roman"/>
          <w:iCs/>
          <w:szCs w:val="24"/>
        </w:rPr>
        <w:t xml:space="preserve">tool </w:t>
      </w:r>
      <w:r w:rsidR="00FB1D02" w:rsidRPr="00DD54F7">
        <w:rPr>
          <w:rFonts w:ascii="Times New Roman" w:hAnsi="Times New Roman"/>
          <w:iCs/>
          <w:szCs w:val="24"/>
        </w:rPr>
        <w:t xml:space="preserve">to address </w:t>
      </w:r>
      <w:r w:rsidR="0054600A" w:rsidRPr="00DD54F7">
        <w:rPr>
          <w:rFonts w:ascii="Times New Roman" w:hAnsi="Times New Roman"/>
          <w:iCs/>
          <w:szCs w:val="24"/>
        </w:rPr>
        <w:t xml:space="preserve">the Parliament’s </w:t>
      </w:r>
      <w:r w:rsidR="00B7780E" w:rsidRPr="00DD54F7">
        <w:rPr>
          <w:rFonts w:ascii="Times New Roman" w:hAnsi="Times New Roman"/>
          <w:iCs/>
          <w:szCs w:val="24"/>
        </w:rPr>
        <w:t xml:space="preserve">concerns </w:t>
      </w:r>
      <w:r w:rsidR="00A27838" w:rsidRPr="00DD54F7">
        <w:rPr>
          <w:rFonts w:ascii="Times New Roman" w:hAnsi="Times New Roman"/>
          <w:iCs/>
          <w:szCs w:val="24"/>
        </w:rPr>
        <w:t xml:space="preserve">pertaining to the absence of political agreement between institutions on specific </w:t>
      </w:r>
      <w:r w:rsidR="00AE5B02" w:rsidRPr="00DD54F7">
        <w:rPr>
          <w:rFonts w:ascii="Times New Roman" w:hAnsi="Times New Roman"/>
          <w:iCs/>
          <w:szCs w:val="24"/>
        </w:rPr>
        <w:t xml:space="preserve">legislative </w:t>
      </w:r>
      <w:r w:rsidR="00A27838" w:rsidRPr="00DD54F7">
        <w:rPr>
          <w:rFonts w:ascii="Times New Roman" w:hAnsi="Times New Roman"/>
          <w:iCs/>
          <w:szCs w:val="24"/>
        </w:rPr>
        <w:t>files</w:t>
      </w:r>
      <w:r w:rsidR="00B7780E" w:rsidRPr="00DD54F7">
        <w:rPr>
          <w:rFonts w:ascii="Times New Roman" w:hAnsi="Times New Roman"/>
          <w:iCs/>
          <w:szCs w:val="24"/>
        </w:rPr>
        <w:t xml:space="preserve">. </w:t>
      </w:r>
      <w:r w:rsidR="00635D5F">
        <w:rPr>
          <w:rFonts w:ascii="Times New Roman" w:hAnsi="Times New Roman"/>
          <w:iCs/>
          <w:szCs w:val="24"/>
        </w:rPr>
        <w:t>T</w:t>
      </w:r>
      <w:r w:rsidR="00C4063B">
        <w:rPr>
          <w:rFonts w:ascii="Times New Roman" w:hAnsi="Times New Roman"/>
          <w:iCs/>
          <w:szCs w:val="24"/>
        </w:rPr>
        <w:t xml:space="preserve">he Commission notes that the </w:t>
      </w:r>
      <w:r w:rsidR="00C4063B" w:rsidRPr="00C4063B">
        <w:rPr>
          <w:rFonts w:ascii="Times New Roman" w:hAnsi="Times New Roman"/>
          <w:iCs/>
          <w:szCs w:val="24"/>
        </w:rPr>
        <w:t xml:space="preserve">reasons for the difficulties encountered </w:t>
      </w:r>
      <w:r w:rsidR="00C4063B">
        <w:rPr>
          <w:rFonts w:ascii="Times New Roman" w:hAnsi="Times New Roman"/>
          <w:iCs/>
          <w:szCs w:val="24"/>
        </w:rPr>
        <w:t xml:space="preserve">in the files referred to in the </w:t>
      </w:r>
      <w:r w:rsidR="009B32D9">
        <w:rPr>
          <w:rFonts w:ascii="Times New Roman" w:hAnsi="Times New Roman"/>
          <w:iCs/>
          <w:szCs w:val="24"/>
        </w:rPr>
        <w:t>r</w:t>
      </w:r>
      <w:r w:rsidR="00C4063B">
        <w:rPr>
          <w:rFonts w:ascii="Times New Roman" w:hAnsi="Times New Roman"/>
          <w:iCs/>
          <w:szCs w:val="24"/>
        </w:rPr>
        <w:t xml:space="preserve">esolution </w:t>
      </w:r>
      <w:r w:rsidR="00A55F40">
        <w:rPr>
          <w:rFonts w:ascii="Times New Roman" w:hAnsi="Times New Roman"/>
          <w:iCs/>
          <w:szCs w:val="24"/>
        </w:rPr>
        <w:t>v</w:t>
      </w:r>
      <w:r w:rsidR="00635D5F">
        <w:rPr>
          <w:rFonts w:ascii="Times New Roman" w:hAnsi="Times New Roman"/>
          <w:iCs/>
          <w:szCs w:val="24"/>
        </w:rPr>
        <w:t>a</w:t>
      </w:r>
      <w:r w:rsidR="00A55F40">
        <w:rPr>
          <w:rFonts w:ascii="Times New Roman" w:hAnsi="Times New Roman"/>
          <w:iCs/>
          <w:szCs w:val="24"/>
        </w:rPr>
        <w:t>ry</w:t>
      </w:r>
      <w:r w:rsidR="00C4063B">
        <w:rPr>
          <w:rFonts w:ascii="Times New Roman" w:hAnsi="Times New Roman"/>
          <w:iCs/>
          <w:szCs w:val="24"/>
        </w:rPr>
        <w:t xml:space="preserve"> </w:t>
      </w:r>
      <w:r w:rsidR="00635D5F">
        <w:rPr>
          <w:rFonts w:ascii="Times New Roman" w:hAnsi="Times New Roman"/>
          <w:iCs/>
          <w:szCs w:val="24"/>
        </w:rPr>
        <w:t>significantly between the files</w:t>
      </w:r>
      <w:r w:rsidR="00C4063B" w:rsidRPr="00C4063B">
        <w:rPr>
          <w:rFonts w:ascii="Times New Roman" w:hAnsi="Times New Roman"/>
          <w:iCs/>
          <w:szCs w:val="24"/>
        </w:rPr>
        <w:t xml:space="preserve"> </w:t>
      </w:r>
      <w:r w:rsidR="00C4063B">
        <w:rPr>
          <w:rFonts w:ascii="Times New Roman" w:hAnsi="Times New Roman"/>
          <w:iCs/>
          <w:szCs w:val="24"/>
        </w:rPr>
        <w:t xml:space="preserve">and that </w:t>
      </w:r>
      <w:r w:rsidR="00B7539D">
        <w:rPr>
          <w:rFonts w:ascii="Times New Roman" w:hAnsi="Times New Roman"/>
          <w:iCs/>
          <w:szCs w:val="24"/>
        </w:rPr>
        <w:t xml:space="preserve">political work and </w:t>
      </w:r>
      <w:r w:rsidR="00C4063B" w:rsidRPr="00C4063B">
        <w:rPr>
          <w:rFonts w:ascii="Times New Roman" w:hAnsi="Times New Roman"/>
          <w:iCs/>
          <w:szCs w:val="24"/>
        </w:rPr>
        <w:t xml:space="preserve">practical cooperation </w:t>
      </w:r>
      <w:r w:rsidR="00C4063B">
        <w:rPr>
          <w:rFonts w:ascii="Times New Roman" w:hAnsi="Times New Roman"/>
          <w:iCs/>
          <w:szCs w:val="24"/>
        </w:rPr>
        <w:t xml:space="preserve">among institutions </w:t>
      </w:r>
      <w:r w:rsidR="00635D5F">
        <w:rPr>
          <w:rFonts w:ascii="Times New Roman" w:hAnsi="Times New Roman"/>
          <w:iCs/>
          <w:szCs w:val="24"/>
        </w:rPr>
        <w:t>are</w:t>
      </w:r>
      <w:r w:rsidR="00C4063B" w:rsidRPr="00C4063B">
        <w:rPr>
          <w:rFonts w:ascii="Times New Roman" w:hAnsi="Times New Roman"/>
          <w:iCs/>
          <w:szCs w:val="24"/>
        </w:rPr>
        <w:t xml:space="preserve"> of key importance </w:t>
      </w:r>
      <w:r w:rsidR="00B7539D">
        <w:rPr>
          <w:rFonts w:ascii="Times New Roman" w:hAnsi="Times New Roman"/>
          <w:iCs/>
          <w:szCs w:val="24"/>
        </w:rPr>
        <w:t>for</w:t>
      </w:r>
      <w:r w:rsidR="00C4063B">
        <w:rPr>
          <w:rFonts w:ascii="Times New Roman" w:hAnsi="Times New Roman"/>
          <w:iCs/>
          <w:szCs w:val="24"/>
        </w:rPr>
        <w:t xml:space="preserve"> find</w:t>
      </w:r>
      <w:r w:rsidR="00B7539D">
        <w:rPr>
          <w:rFonts w:ascii="Times New Roman" w:hAnsi="Times New Roman"/>
          <w:iCs/>
          <w:szCs w:val="24"/>
        </w:rPr>
        <w:t>ing</w:t>
      </w:r>
      <w:r w:rsidR="00C4063B">
        <w:rPr>
          <w:rFonts w:ascii="Times New Roman" w:hAnsi="Times New Roman"/>
          <w:iCs/>
          <w:szCs w:val="24"/>
        </w:rPr>
        <w:t xml:space="preserve"> solutions</w:t>
      </w:r>
      <w:r w:rsidR="00B7539D">
        <w:rPr>
          <w:rFonts w:ascii="Times New Roman" w:hAnsi="Times New Roman"/>
          <w:iCs/>
          <w:szCs w:val="24"/>
        </w:rPr>
        <w:t xml:space="preserve"> to take the</w:t>
      </w:r>
      <w:r w:rsidR="00A1520C">
        <w:rPr>
          <w:rFonts w:ascii="Times New Roman" w:hAnsi="Times New Roman"/>
          <w:iCs/>
          <w:szCs w:val="24"/>
        </w:rPr>
        <w:t>se</w:t>
      </w:r>
      <w:r w:rsidR="00B7539D">
        <w:rPr>
          <w:rFonts w:ascii="Times New Roman" w:hAnsi="Times New Roman"/>
          <w:iCs/>
          <w:szCs w:val="24"/>
        </w:rPr>
        <w:t xml:space="preserve"> files</w:t>
      </w:r>
      <w:r w:rsidR="00FE0088">
        <w:rPr>
          <w:rFonts w:ascii="Times New Roman" w:hAnsi="Times New Roman"/>
          <w:iCs/>
          <w:szCs w:val="24"/>
        </w:rPr>
        <w:t xml:space="preserve"> forward</w:t>
      </w:r>
      <w:r w:rsidR="00393BF4">
        <w:rPr>
          <w:rFonts w:ascii="Times New Roman" w:hAnsi="Times New Roman"/>
          <w:iCs/>
          <w:szCs w:val="24"/>
        </w:rPr>
        <w:t xml:space="preserve">. It will continue supporting both institutions in </w:t>
      </w:r>
      <w:r w:rsidR="00E24054">
        <w:rPr>
          <w:rFonts w:ascii="Times New Roman" w:hAnsi="Times New Roman"/>
          <w:iCs/>
          <w:szCs w:val="24"/>
        </w:rPr>
        <w:t>finding solution</w:t>
      </w:r>
      <w:r w:rsidR="00215E2A">
        <w:rPr>
          <w:rFonts w:ascii="Times New Roman" w:hAnsi="Times New Roman"/>
          <w:iCs/>
          <w:szCs w:val="24"/>
        </w:rPr>
        <w:t>s</w:t>
      </w:r>
      <w:r w:rsidR="00E24054">
        <w:rPr>
          <w:rFonts w:ascii="Times New Roman" w:hAnsi="Times New Roman"/>
          <w:iCs/>
          <w:szCs w:val="24"/>
        </w:rPr>
        <w:t xml:space="preserve"> </w:t>
      </w:r>
      <w:r w:rsidR="00215E2A">
        <w:rPr>
          <w:rFonts w:ascii="Times New Roman" w:hAnsi="Times New Roman"/>
          <w:iCs/>
          <w:szCs w:val="24"/>
        </w:rPr>
        <w:t xml:space="preserve">to </w:t>
      </w:r>
      <w:r w:rsidR="00393BF4">
        <w:rPr>
          <w:rFonts w:ascii="Times New Roman" w:hAnsi="Times New Roman"/>
          <w:iCs/>
          <w:szCs w:val="24"/>
        </w:rPr>
        <w:t>unblock files</w:t>
      </w:r>
      <w:r w:rsidR="00215E2A">
        <w:rPr>
          <w:rFonts w:ascii="Times New Roman" w:hAnsi="Times New Roman"/>
          <w:iCs/>
          <w:szCs w:val="24"/>
        </w:rPr>
        <w:t xml:space="preserve"> under the </w:t>
      </w:r>
      <w:r w:rsidR="00215E2A" w:rsidRPr="00215E2A">
        <w:rPr>
          <w:rFonts w:ascii="Times New Roman" w:hAnsi="Times New Roman"/>
          <w:iCs/>
          <w:szCs w:val="24"/>
        </w:rPr>
        <w:t>speci</w:t>
      </w:r>
      <w:r w:rsidR="00215E2A">
        <w:rPr>
          <w:rFonts w:ascii="Times New Roman" w:hAnsi="Times New Roman"/>
          <w:iCs/>
          <w:szCs w:val="24"/>
        </w:rPr>
        <w:t>al</w:t>
      </w:r>
      <w:r w:rsidR="00215E2A" w:rsidRPr="00215E2A">
        <w:rPr>
          <w:rFonts w:ascii="Times New Roman" w:hAnsi="Times New Roman"/>
          <w:iCs/>
          <w:szCs w:val="24"/>
        </w:rPr>
        <w:t xml:space="preserve"> legislative </w:t>
      </w:r>
      <w:r w:rsidR="00215E2A">
        <w:rPr>
          <w:rFonts w:ascii="Times New Roman" w:hAnsi="Times New Roman"/>
          <w:iCs/>
          <w:szCs w:val="24"/>
        </w:rPr>
        <w:t>procedures</w:t>
      </w:r>
      <w:r w:rsidR="00393BF4">
        <w:rPr>
          <w:rFonts w:ascii="Times New Roman" w:hAnsi="Times New Roman"/>
          <w:iCs/>
          <w:szCs w:val="24"/>
        </w:rPr>
        <w:t xml:space="preserve">. </w:t>
      </w:r>
      <w:r w:rsidR="00A27838" w:rsidRPr="00DD54F7">
        <w:rPr>
          <w:rFonts w:ascii="Times New Roman" w:hAnsi="Times New Roman"/>
          <w:iCs/>
          <w:szCs w:val="24"/>
        </w:rPr>
        <w:t xml:space="preserve">The Commission </w:t>
      </w:r>
      <w:r w:rsidR="00C4063B">
        <w:rPr>
          <w:rFonts w:ascii="Times New Roman" w:hAnsi="Times New Roman"/>
          <w:iCs/>
          <w:szCs w:val="24"/>
        </w:rPr>
        <w:t xml:space="preserve">also </w:t>
      </w:r>
      <w:r w:rsidR="00B7780E" w:rsidRPr="00DD54F7">
        <w:rPr>
          <w:rFonts w:ascii="Times New Roman" w:hAnsi="Times New Roman"/>
          <w:iCs/>
          <w:szCs w:val="24"/>
        </w:rPr>
        <w:t xml:space="preserve">stresses that any </w:t>
      </w:r>
      <w:r w:rsidR="00B817A8" w:rsidRPr="00DD54F7">
        <w:rPr>
          <w:rFonts w:ascii="Times New Roman" w:hAnsi="Times New Roman"/>
          <w:iCs/>
          <w:szCs w:val="24"/>
        </w:rPr>
        <w:t>review</w:t>
      </w:r>
      <w:r w:rsidR="00B7780E" w:rsidRPr="00DD54F7">
        <w:rPr>
          <w:rFonts w:ascii="Times New Roman" w:hAnsi="Times New Roman"/>
          <w:iCs/>
          <w:szCs w:val="24"/>
        </w:rPr>
        <w:t xml:space="preserve"> of the </w:t>
      </w:r>
      <w:r w:rsidR="0054600A" w:rsidRPr="00DD54F7">
        <w:rPr>
          <w:rFonts w:ascii="Times New Roman" w:hAnsi="Times New Roman"/>
          <w:iCs/>
          <w:szCs w:val="24"/>
        </w:rPr>
        <w:t xml:space="preserve">Interinstitutional </w:t>
      </w:r>
      <w:r w:rsidR="00B7780E" w:rsidRPr="00DD54F7">
        <w:rPr>
          <w:rFonts w:ascii="Times New Roman" w:hAnsi="Times New Roman"/>
          <w:iCs/>
          <w:szCs w:val="24"/>
        </w:rPr>
        <w:t xml:space="preserve">Agreement would have to respect the </w:t>
      </w:r>
      <w:r w:rsidR="00A27838" w:rsidRPr="00DD54F7">
        <w:rPr>
          <w:rFonts w:ascii="Times New Roman" w:hAnsi="Times New Roman"/>
          <w:iCs/>
          <w:szCs w:val="24"/>
        </w:rPr>
        <w:t>provision</w:t>
      </w:r>
      <w:r w:rsidR="00AE5B02" w:rsidRPr="00DD54F7">
        <w:rPr>
          <w:rFonts w:ascii="Times New Roman" w:hAnsi="Times New Roman"/>
          <w:iCs/>
          <w:szCs w:val="24"/>
        </w:rPr>
        <w:t>s</w:t>
      </w:r>
      <w:r w:rsidR="00A27838" w:rsidRPr="00DD54F7">
        <w:rPr>
          <w:rFonts w:ascii="Times New Roman" w:hAnsi="Times New Roman"/>
          <w:iCs/>
          <w:szCs w:val="24"/>
        </w:rPr>
        <w:t xml:space="preserve"> in the Treaties and the </w:t>
      </w:r>
      <w:r w:rsidR="00B7780E" w:rsidRPr="00DD54F7">
        <w:rPr>
          <w:rFonts w:ascii="Times New Roman" w:hAnsi="Times New Roman"/>
          <w:iCs/>
          <w:szCs w:val="24"/>
        </w:rPr>
        <w:t xml:space="preserve">prerogatives of each institution. </w:t>
      </w:r>
    </w:p>
    <w:sectPr w:rsidR="00B7780E" w:rsidRPr="00DD54F7" w:rsidSect="00812321">
      <w:footerReference w:type="even" r:id="rId8"/>
      <w:footerReference w:type="default" r:id="rId9"/>
      <w:footerReference w:type="first" r:id="rId1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1437" w14:textId="77777777" w:rsidR="00471C09" w:rsidRDefault="00471C09">
      <w:r>
        <w:separator/>
      </w:r>
    </w:p>
  </w:endnote>
  <w:endnote w:type="continuationSeparator" w:id="0">
    <w:p w14:paraId="35A01CE6" w14:textId="77777777" w:rsidR="00471C09" w:rsidRDefault="0047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noProof/>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noProof/>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2D04" w14:textId="77777777" w:rsidR="00471C09" w:rsidRDefault="00471C09">
      <w:r>
        <w:separator/>
      </w:r>
    </w:p>
  </w:footnote>
  <w:footnote w:type="continuationSeparator" w:id="0">
    <w:p w14:paraId="2763BBEF" w14:textId="77777777" w:rsidR="00471C09" w:rsidRDefault="0047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67DD9"/>
    <w:multiLevelType w:val="hybridMultilevel"/>
    <w:tmpl w:val="8988A7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4440C9"/>
    <w:multiLevelType w:val="hybridMultilevel"/>
    <w:tmpl w:val="499A27D8"/>
    <w:lvl w:ilvl="0" w:tplc="47BEBF6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8C10E8"/>
    <w:multiLevelType w:val="hybridMultilevel"/>
    <w:tmpl w:val="D78A765A"/>
    <w:lvl w:ilvl="0" w:tplc="47BEBF6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3"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41765"/>
    <w:multiLevelType w:val="hybridMultilevel"/>
    <w:tmpl w:val="51827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5A53692"/>
    <w:multiLevelType w:val="hybridMultilevel"/>
    <w:tmpl w:val="625CF10C"/>
    <w:lvl w:ilvl="0" w:tplc="04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9B249F"/>
    <w:multiLevelType w:val="hybridMultilevel"/>
    <w:tmpl w:val="76ECC658"/>
    <w:lvl w:ilvl="0" w:tplc="9DC4E792">
      <w:numFmt w:val="bullet"/>
      <w:lvlText w:val=""/>
      <w:lvlJc w:val="left"/>
      <w:pPr>
        <w:ind w:left="1080" w:hanging="72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0"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8"/>
  </w:num>
  <w:num w:numId="2" w16cid:durableId="148182179">
    <w:abstractNumId w:val="1"/>
  </w:num>
  <w:num w:numId="3" w16cid:durableId="505511010">
    <w:abstractNumId w:val="39"/>
  </w:num>
  <w:num w:numId="4" w16cid:durableId="580018736">
    <w:abstractNumId w:val="16"/>
  </w:num>
  <w:num w:numId="5" w16cid:durableId="221647625">
    <w:abstractNumId w:val="35"/>
  </w:num>
  <w:num w:numId="6" w16cid:durableId="298344620">
    <w:abstractNumId w:val="12"/>
  </w:num>
  <w:num w:numId="7" w16cid:durableId="58093387">
    <w:abstractNumId w:val="7"/>
  </w:num>
  <w:num w:numId="8" w16cid:durableId="1122530581">
    <w:abstractNumId w:val="18"/>
  </w:num>
  <w:num w:numId="9" w16cid:durableId="1479684095">
    <w:abstractNumId w:val="38"/>
  </w:num>
  <w:num w:numId="10" w16cid:durableId="340007303">
    <w:abstractNumId w:val="27"/>
  </w:num>
  <w:num w:numId="11" w16cid:durableId="346519941">
    <w:abstractNumId w:val="31"/>
  </w:num>
  <w:num w:numId="12" w16cid:durableId="691036718">
    <w:abstractNumId w:val="14"/>
  </w:num>
  <w:num w:numId="13" w16cid:durableId="1452093781">
    <w:abstractNumId w:val="19"/>
  </w:num>
  <w:num w:numId="14" w16cid:durableId="906961314">
    <w:abstractNumId w:val="36"/>
  </w:num>
  <w:num w:numId="15" w16cid:durableId="1388455259">
    <w:abstractNumId w:val="17"/>
  </w:num>
  <w:num w:numId="16" w16cid:durableId="1677533267">
    <w:abstractNumId w:val="42"/>
  </w:num>
  <w:num w:numId="17" w16cid:durableId="961619330">
    <w:abstractNumId w:val="37"/>
  </w:num>
  <w:num w:numId="18" w16cid:durableId="1095638383">
    <w:abstractNumId w:val="25"/>
  </w:num>
  <w:num w:numId="19" w16cid:durableId="357776219">
    <w:abstractNumId w:val="26"/>
  </w:num>
  <w:num w:numId="20" w16cid:durableId="1481578588">
    <w:abstractNumId w:val="34"/>
  </w:num>
  <w:num w:numId="21" w16cid:durableId="1812137613">
    <w:abstractNumId w:val="3"/>
  </w:num>
  <w:num w:numId="22" w16cid:durableId="370300677">
    <w:abstractNumId w:val="4"/>
  </w:num>
  <w:num w:numId="23" w16cid:durableId="1948660650">
    <w:abstractNumId w:val="5"/>
  </w:num>
  <w:num w:numId="24" w16cid:durableId="1221136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40"/>
  </w:num>
  <w:num w:numId="26" w16cid:durableId="1203983393">
    <w:abstractNumId w:val="28"/>
  </w:num>
  <w:num w:numId="27" w16cid:durableId="1149204463">
    <w:abstractNumId w:val="20"/>
  </w:num>
  <w:num w:numId="28" w16cid:durableId="614867515">
    <w:abstractNumId w:val="41"/>
  </w:num>
  <w:num w:numId="29" w16cid:durableId="1513490821">
    <w:abstractNumId w:val="2"/>
  </w:num>
  <w:num w:numId="30" w16cid:durableId="1269506392">
    <w:abstractNumId w:val="24"/>
  </w:num>
  <w:num w:numId="31" w16cid:durableId="160509948">
    <w:abstractNumId w:val="23"/>
  </w:num>
  <w:num w:numId="32" w16cid:durableId="146094414">
    <w:abstractNumId w:val="11"/>
  </w:num>
  <w:num w:numId="33" w16cid:durableId="2145806991">
    <w:abstractNumId w:val="13"/>
  </w:num>
  <w:num w:numId="34" w16cid:durableId="1322079617">
    <w:abstractNumId w:val="22"/>
  </w:num>
  <w:num w:numId="35" w16cid:durableId="1661734410">
    <w:abstractNumId w:val="21"/>
  </w:num>
  <w:num w:numId="36" w16cid:durableId="343361963">
    <w:abstractNumId w:val="29"/>
  </w:num>
  <w:num w:numId="37" w16cid:durableId="1349287025">
    <w:abstractNumId w:val="32"/>
  </w:num>
  <w:num w:numId="38" w16cid:durableId="1270503673">
    <w:abstractNumId w:val="6"/>
  </w:num>
  <w:num w:numId="39" w16cid:durableId="1333950901">
    <w:abstractNumId w:val="30"/>
  </w:num>
  <w:num w:numId="40" w16cid:durableId="1290093345">
    <w:abstractNumId w:val="9"/>
  </w:num>
  <w:num w:numId="41" w16cid:durableId="138124890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A3C"/>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69"/>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964"/>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3A9"/>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2C7"/>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587"/>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DFD"/>
    <w:rsid w:val="00143F3D"/>
    <w:rsid w:val="0014413D"/>
    <w:rsid w:val="00144F48"/>
    <w:rsid w:val="00145AB8"/>
    <w:rsid w:val="00145BBD"/>
    <w:rsid w:val="00145CBE"/>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398"/>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E"/>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9F7"/>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2DF6"/>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54B"/>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576"/>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5E2A"/>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31C"/>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A71"/>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6E0"/>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1A0"/>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D9"/>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64"/>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DD1"/>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3EDC"/>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AD"/>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3B3"/>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66A"/>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BF4"/>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C98"/>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0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09"/>
    <w:rsid w:val="00471C87"/>
    <w:rsid w:val="00472153"/>
    <w:rsid w:val="00472155"/>
    <w:rsid w:val="0047239D"/>
    <w:rsid w:val="0047245C"/>
    <w:rsid w:val="00472465"/>
    <w:rsid w:val="004726AE"/>
    <w:rsid w:val="00472807"/>
    <w:rsid w:val="00472866"/>
    <w:rsid w:val="00472A7A"/>
    <w:rsid w:val="00472BB9"/>
    <w:rsid w:val="00472D9E"/>
    <w:rsid w:val="00473214"/>
    <w:rsid w:val="00473405"/>
    <w:rsid w:val="0047349E"/>
    <w:rsid w:val="0047354A"/>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A54"/>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46F"/>
    <w:rsid w:val="004B277F"/>
    <w:rsid w:val="004B28A2"/>
    <w:rsid w:val="004B2A28"/>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A7A"/>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527"/>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6F4"/>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00A"/>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7A6"/>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895"/>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B3D"/>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1A4"/>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A4D"/>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92A"/>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52B"/>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6D87"/>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0AD"/>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5F"/>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27"/>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7A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582"/>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7E7"/>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78"/>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0E1E"/>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29F"/>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444"/>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6B3"/>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BD"/>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27"/>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411"/>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B58"/>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1974"/>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6EE9"/>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7C1"/>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4C3F"/>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67F5B"/>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BB6"/>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12F9"/>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79A"/>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3EC"/>
    <w:rsid w:val="008A74D2"/>
    <w:rsid w:val="008A76A5"/>
    <w:rsid w:val="008B007B"/>
    <w:rsid w:val="008B052D"/>
    <w:rsid w:val="008B0B57"/>
    <w:rsid w:val="008B0CB1"/>
    <w:rsid w:val="008B1089"/>
    <w:rsid w:val="008B1146"/>
    <w:rsid w:val="008B114F"/>
    <w:rsid w:val="008B1150"/>
    <w:rsid w:val="008B1161"/>
    <w:rsid w:val="008B1290"/>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5F93"/>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2B"/>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C47"/>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037"/>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0AD"/>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8F8"/>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2D9"/>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0C"/>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01B"/>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838"/>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0F45"/>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5B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40"/>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653"/>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5B02"/>
    <w:rsid w:val="00AE6AAA"/>
    <w:rsid w:val="00AE6BE3"/>
    <w:rsid w:val="00AE6F13"/>
    <w:rsid w:val="00AE7068"/>
    <w:rsid w:val="00AE7321"/>
    <w:rsid w:val="00AE73D7"/>
    <w:rsid w:val="00AE7470"/>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8A"/>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31A"/>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07D"/>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39D"/>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7780E"/>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7A8"/>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B60"/>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665"/>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63B"/>
    <w:rsid w:val="00C40661"/>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1F36"/>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3B6"/>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606"/>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F88"/>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055"/>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1B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4E4"/>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22"/>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0E1"/>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355"/>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4B2"/>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E04"/>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6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5B5"/>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4F7"/>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53A"/>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054"/>
    <w:rsid w:val="00E24102"/>
    <w:rsid w:val="00E24196"/>
    <w:rsid w:val="00E243FC"/>
    <w:rsid w:val="00E24559"/>
    <w:rsid w:val="00E24633"/>
    <w:rsid w:val="00E246A6"/>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7D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58A"/>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7A6"/>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080"/>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73"/>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C7C"/>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322"/>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2A3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3CB7"/>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02"/>
    <w:rsid w:val="00FB1D13"/>
    <w:rsid w:val="00FB22EF"/>
    <w:rsid w:val="00FB242F"/>
    <w:rsid w:val="00FB2508"/>
    <w:rsid w:val="00FB275D"/>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DB0"/>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88"/>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1"/>
    <w:rsid w:val="00FF0264"/>
    <w:rsid w:val="00FF037E"/>
    <w:rsid w:val="00FF04A0"/>
    <w:rsid w:val="00FF082C"/>
    <w:rsid w:val="00FF0A08"/>
    <w:rsid w:val="00FF0B8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rPr>
  </w:style>
  <w:style w:type="character" w:styleId="UnresolvedMention">
    <w:name w:val="Unresolved Mention"/>
    <w:basedOn w:val="DefaultParagraphFont"/>
    <w:uiPriority w:val="99"/>
    <w:semiHidden/>
    <w:unhideWhenUsed/>
    <w:rsid w:val="000A5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29189">
      <w:bodyDiv w:val="1"/>
      <w:marLeft w:val="0"/>
      <w:marRight w:val="0"/>
      <w:marTop w:val="0"/>
      <w:marBottom w:val="0"/>
      <w:divBdr>
        <w:top w:val="none" w:sz="0" w:space="0" w:color="auto"/>
        <w:left w:val="none" w:sz="0" w:space="0" w:color="auto"/>
        <w:bottom w:val="none" w:sz="0" w:space="0" w:color="auto"/>
        <w:right w:val="none" w:sz="0" w:space="0" w:color="auto"/>
      </w:divBdr>
    </w:div>
    <w:div w:id="466975107">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540698919">
      <w:bodyDiv w:val="1"/>
      <w:marLeft w:val="0"/>
      <w:marRight w:val="0"/>
      <w:marTop w:val="0"/>
      <w:marBottom w:val="0"/>
      <w:divBdr>
        <w:top w:val="none" w:sz="0" w:space="0" w:color="auto"/>
        <w:left w:val="none" w:sz="0" w:space="0" w:color="auto"/>
        <w:bottom w:val="none" w:sz="0" w:space="0" w:color="auto"/>
        <w:right w:val="none" w:sz="0" w:space="0" w:color="auto"/>
      </w:divBdr>
    </w:div>
    <w:div w:id="1603804367">
      <w:bodyDiv w:val="1"/>
      <w:marLeft w:val="0"/>
      <w:marRight w:val="0"/>
      <w:marTop w:val="0"/>
      <w:marBottom w:val="0"/>
      <w:divBdr>
        <w:top w:val="none" w:sz="0" w:space="0" w:color="auto"/>
        <w:left w:val="none" w:sz="0" w:space="0" w:color="auto"/>
        <w:bottom w:val="none" w:sz="0" w:space="0" w:color="auto"/>
        <w:right w:val="none" w:sz="0" w:space="0" w:color="auto"/>
      </w:divBdr>
    </w:div>
    <w:div w:id="2092113832">
      <w:bodyDiv w:val="1"/>
      <w:marLeft w:val="0"/>
      <w:marRight w:val="0"/>
      <w:marTop w:val="0"/>
      <w:marBottom w:val="0"/>
      <w:divBdr>
        <w:top w:val="none" w:sz="0" w:space="0" w:color="auto"/>
        <w:left w:val="none" w:sz="0" w:space="0" w:color="auto"/>
        <w:bottom w:val="none" w:sz="0" w:space="0" w:color="auto"/>
        <w:right w:val="none" w:sz="0" w:space="0" w:color="auto"/>
      </w:divBdr>
    </w:div>
    <w:div w:id="21387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0</TotalTime>
  <Pages>3</Pages>
  <Words>1578</Words>
  <Characters>8622</Characters>
  <Application>Microsoft Office Word</Application>
  <DocSecurity>0</DocSecurity>
  <PresentationFormat>Microsoft Word 8.0b</PresentationFormat>
  <Lines>123</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10172</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ALMEIDA Maria Jose (SG)</cp:lastModifiedBy>
  <cp:revision>2</cp:revision>
  <cp:lastPrinted>2017-11-23T08:27:00Z</cp:lastPrinted>
  <dcterms:created xsi:type="dcterms:W3CDTF">2024-03-06T13:46:00Z</dcterms:created>
  <dcterms:modified xsi:type="dcterms:W3CDTF">2024-03-06T13:46:00Z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ies>
</file>