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F37A" w14:textId="68588083" w:rsidR="00963420" w:rsidRPr="00DD54F7" w:rsidRDefault="00963420" w:rsidP="009B32D9">
      <w:pPr>
        <w:spacing w:after="600"/>
        <w:jc w:val="center"/>
        <w:rPr>
          <w:rFonts w:ascii="Times New Roman" w:hAnsi="Times New Roman"/>
          <w:b/>
          <w:bCs/>
          <w:szCs w:val="24"/>
        </w:rPr>
      </w:pPr>
      <w:r>
        <w:rPr>
          <w:rFonts w:ascii="Times New Roman" w:hAnsi="Times New Roman"/>
          <w:b/>
        </w:rPr>
        <w:t xml:space="preserve">Suite donnée à la </w:t>
      </w:r>
      <w:bookmarkStart w:id="0" w:name="_Hlk157430803"/>
      <w:r>
        <w:rPr>
          <w:rFonts w:ascii="Times New Roman" w:hAnsi="Times New Roman"/>
          <w:b/>
        </w:rPr>
        <w:t>résolution non législative du Parlement européen sur la mise en œuvre des dispositions du traité relatives aux procédures législatives spéciales</w:t>
      </w:r>
      <w:bookmarkEnd w:id="0"/>
    </w:p>
    <w:p w14:paraId="222E65B7" w14:textId="4DD86488" w:rsidR="00963420" w:rsidRPr="009B32D9" w:rsidRDefault="00963420" w:rsidP="0084310E">
      <w:pPr>
        <w:numPr>
          <w:ilvl w:val="0"/>
          <w:numId w:val="34"/>
        </w:numPr>
        <w:ind w:left="567" w:hanging="567"/>
        <w:rPr>
          <w:rFonts w:ascii="Times New Roman" w:hAnsi="Times New Roman"/>
          <w:iCs/>
          <w:szCs w:val="24"/>
        </w:rPr>
      </w:pPr>
      <w:r>
        <w:rPr>
          <w:rFonts w:ascii="Times New Roman" w:hAnsi="Times New Roman"/>
          <w:b/>
        </w:rPr>
        <w:t>Rapporteur:</w:t>
      </w:r>
      <w:r>
        <w:rPr>
          <w:rFonts w:ascii="Times New Roman" w:hAnsi="Times New Roman"/>
        </w:rPr>
        <w:t xml:space="preserve"> Victor NEGRESCU (S&amp;D / RO)</w:t>
      </w:r>
    </w:p>
    <w:p w14:paraId="6900E183" w14:textId="408B193A" w:rsidR="00963420" w:rsidRPr="009B32D9" w:rsidRDefault="00063DCE" w:rsidP="0084310E">
      <w:pPr>
        <w:pStyle w:val="Default"/>
        <w:numPr>
          <w:ilvl w:val="0"/>
          <w:numId w:val="34"/>
        </w:numPr>
        <w:spacing w:after="240"/>
        <w:ind w:left="567" w:hanging="567"/>
        <w:jc w:val="both"/>
        <w:rPr>
          <w:color w:val="auto"/>
        </w:rPr>
      </w:pPr>
      <w:r>
        <w:rPr>
          <w:b/>
          <w:color w:val="auto"/>
        </w:rPr>
        <w:t xml:space="preserve">Numéro de référence: </w:t>
      </w:r>
      <w:r>
        <w:t>2023/2083 (INI) /</w:t>
      </w:r>
      <w:r>
        <w:rPr>
          <w:color w:val="auto"/>
        </w:rPr>
        <w:t xml:space="preserve"> </w:t>
      </w:r>
      <w:r>
        <w:t>A9-0384/2023</w:t>
      </w:r>
      <w:r>
        <w:rPr>
          <w:color w:val="auto"/>
        </w:rPr>
        <w:t xml:space="preserve"> /</w:t>
      </w:r>
      <w:r>
        <w:rPr>
          <w:rFonts w:ascii="Arial" w:hAnsi="Arial"/>
          <w:color w:val="666666"/>
          <w:sz w:val="18"/>
          <w:shd w:val="clear" w:color="auto" w:fill="FFFFFF"/>
        </w:rPr>
        <w:t xml:space="preserve"> </w:t>
      </w:r>
      <w:r>
        <w:rPr>
          <w:color w:val="auto"/>
        </w:rPr>
        <w:t xml:space="preserve">P9_TA(2023)0470 </w:t>
      </w:r>
    </w:p>
    <w:p w14:paraId="61D85C18" w14:textId="58D6A4BC" w:rsidR="001F0B89" w:rsidRPr="009B32D9" w:rsidRDefault="00963420" w:rsidP="0084310E">
      <w:pPr>
        <w:numPr>
          <w:ilvl w:val="0"/>
          <w:numId w:val="34"/>
        </w:numPr>
        <w:ind w:left="567" w:hanging="567"/>
        <w:rPr>
          <w:rFonts w:ascii="Times New Roman" w:hAnsi="Times New Roman"/>
          <w:iCs/>
          <w:szCs w:val="24"/>
        </w:rPr>
      </w:pPr>
      <w:r>
        <w:rPr>
          <w:rFonts w:ascii="Times New Roman" w:hAnsi="Times New Roman"/>
          <w:b/>
        </w:rPr>
        <w:t>Date d'adoption de la résolution:</w:t>
      </w:r>
      <w:r>
        <w:rPr>
          <w:rFonts w:ascii="Times New Roman" w:hAnsi="Times New Roman"/>
        </w:rPr>
        <w:t xml:space="preserve"> 13 décembre 2023</w:t>
      </w:r>
    </w:p>
    <w:p w14:paraId="4451E813" w14:textId="7565917D" w:rsidR="00963420" w:rsidRPr="009B32D9" w:rsidRDefault="00963420" w:rsidP="0084310E">
      <w:pPr>
        <w:numPr>
          <w:ilvl w:val="0"/>
          <w:numId w:val="34"/>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des affaires constitutionnelles (AFCO)</w:t>
      </w:r>
    </w:p>
    <w:p w14:paraId="1540F533" w14:textId="26692081" w:rsidR="00963420" w:rsidRPr="00DD54F7"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3B5421F1" w14:textId="3871EC7C" w:rsidR="00E4758A" w:rsidRPr="00DD54F7" w:rsidRDefault="004C7527" w:rsidP="009B32D9">
      <w:pPr>
        <w:widowControl w:val="0"/>
        <w:spacing w:after="120"/>
        <w:rPr>
          <w:rFonts w:ascii="Times New Roman" w:hAnsi="Times New Roman"/>
          <w:bCs/>
          <w:szCs w:val="24"/>
        </w:rPr>
      </w:pPr>
      <w:r>
        <w:rPr>
          <w:rFonts w:ascii="Times New Roman" w:hAnsi="Times New Roman"/>
        </w:rPr>
        <w:t>La résolution aborde certaines préoccupations du Parlement concernant la mise en œuvre pratique des dispositions du traité relatives aux procédures législatives spéciales. Dans sa résolution, le Parlement soutient que, dans un certain nombre de dossiers législatifs, le Conseil a agi de façon à priver le Parlement d'une partie de ses droits de participation et de prise de décision et ne respecte pas le principe de coopération loyale, par exemple en n’adoptant pas sa position dans un délai raisonnable. Par conséquent, le Parlement demande que son rôle soit renforcé afin qu'il puisse participer pleinement et sur un pied d’égalité aux négociations avec le Conseil. Dans sa résolution, le Parlement énumère un certain nombre de dossiers soumis à différents types de procédures législatives spéciales.</w:t>
      </w:r>
    </w:p>
    <w:p w14:paraId="4FE4476A" w14:textId="46D757C8" w:rsidR="009260AD" w:rsidRDefault="00DA04B2" w:rsidP="009B32D9">
      <w:pPr>
        <w:spacing w:after="120"/>
        <w:rPr>
          <w:rFonts w:ascii="Times New Roman" w:hAnsi="Times New Roman"/>
        </w:rPr>
      </w:pPr>
      <w:r>
        <w:rPr>
          <w:rFonts w:ascii="Times New Roman" w:hAnsi="Times New Roman"/>
        </w:rPr>
        <w:t xml:space="preserve">Pour les </w:t>
      </w:r>
      <w:r>
        <w:rPr>
          <w:rFonts w:ascii="Times New Roman" w:hAnsi="Times New Roman"/>
          <w:b/>
          <w:bCs/>
        </w:rPr>
        <w:t>actes adoptés par le Conseil ou le Conseil européen à l’initiative du Parlement et après approbation de celui-ci</w:t>
      </w:r>
      <w:r>
        <w:rPr>
          <w:rFonts w:ascii="Times New Roman" w:hAnsi="Times New Roman"/>
        </w:rPr>
        <w:t>, le Parlement fait référence à deux dossiers, respectivement le droit d’enquête du Parlement et la loi électorale européenne, dans lesquels le Conseil, du point de vue du Parlement, a manqué à son obligation de coopération loyale. En ce qui concerne le droit d’enquête, le Parlement soutient que la réticence du Conseil à réagir à la proposition du Parlement constitue une violation manifeste de l’article 265 du traité sur le fonctionnement de l'Union européenne (TFUE) (inaction). Dans sa résolution, le Parlement invite le Conseil et la Commission à respecter le principe de coopération loyale et à dialoguer avec lui afin de surmonter les blocages institutionnels actuels avant la fin de la législature actuelle (paragraphe 9). Il rappelle également à la Commission de ne pas négliger son rôle de «gardienne des traités» et de «médiatrice impartiale» dans le cadre de ces procédures (paragraphe 15).</w:t>
      </w:r>
    </w:p>
    <w:p w14:paraId="5C1F04F2" w14:textId="59872308" w:rsidR="00CF01B0" w:rsidRPr="00DD54F7" w:rsidRDefault="00DA04B2" w:rsidP="009B32D9">
      <w:pPr>
        <w:spacing w:after="120"/>
        <w:rPr>
          <w:rFonts w:ascii="Times New Roman" w:hAnsi="Times New Roman"/>
        </w:rPr>
      </w:pPr>
      <w:r>
        <w:rPr>
          <w:rFonts w:ascii="Times New Roman" w:hAnsi="Times New Roman"/>
        </w:rPr>
        <w:t xml:space="preserve">En ce qui concerne les </w:t>
      </w:r>
      <w:r>
        <w:rPr>
          <w:rFonts w:ascii="Times New Roman" w:hAnsi="Times New Roman"/>
          <w:b/>
          <w:bCs/>
        </w:rPr>
        <w:t>actes adoptés par le Conseil après approbation du Parlement</w:t>
      </w:r>
      <w:r>
        <w:rPr>
          <w:rFonts w:ascii="Times New Roman" w:hAnsi="Times New Roman"/>
        </w:rPr>
        <w:t>, ce dernier réclame un degré élevé de dialogue interinstitutionnel dans les cas où la procédure législative spéciale comporte un droit d’initiative du Parlement. À cet égard, le Parlement déplore que le Conseil européen, par sa décision relative à la composition du Parlement pour la législature 2024-2029, ait considérablement modifié la proposition du Parlement sans l’en avoir informé (paragraphe 18).</w:t>
      </w:r>
    </w:p>
    <w:p w14:paraId="5C2806B2" w14:textId="3B2373B0" w:rsidR="001B2DF6" w:rsidRPr="00DD54F7" w:rsidRDefault="006777E7" w:rsidP="009B32D9">
      <w:pPr>
        <w:spacing w:after="120"/>
        <w:rPr>
          <w:rFonts w:ascii="Times New Roman" w:hAnsi="Times New Roman"/>
        </w:rPr>
      </w:pPr>
      <w:r>
        <w:rPr>
          <w:rFonts w:ascii="Times New Roman" w:hAnsi="Times New Roman"/>
        </w:rPr>
        <w:t xml:space="preserve">Pour les </w:t>
      </w:r>
      <w:r>
        <w:rPr>
          <w:rFonts w:ascii="Times New Roman" w:hAnsi="Times New Roman"/>
          <w:b/>
          <w:bCs/>
        </w:rPr>
        <w:t>actes adoptés après consultation du Parlement</w:t>
      </w:r>
      <w:r>
        <w:rPr>
          <w:rFonts w:ascii="Times New Roman" w:hAnsi="Times New Roman"/>
        </w:rPr>
        <w:t>, ce dernier, dans sa résolution, invite les trois institutions à étudier les pistes possibles pour veiller à ce que l’avis du Parlement soit dûment pris en compte en tant qu’obligation institutionnelle et se reflète dans la législation (paragraphe 23). Le Parlement déplore que le Conseil ait bloqué, au moyen d’un «veto injustifié», l’adhésion de la Roumanie et de la Bulgarie à l’espace Schengen, en dépit des demandes émanant à la fois du Parlement et de la Commission. Le Parlement critique également la réponse de la Commission à la position du Parlement concernant la proposition relative aux droits électoraux des citoyens mobiles aux élections européennes, laquelle réponse était, selon le Parlement, «extrêmement négative» (paragraphe 27).</w:t>
      </w:r>
    </w:p>
    <w:p w14:paraId="1B620138" w14:textId="0D9B729B" w:rsidR="004A3A54" w:rsidRPr="00DD54F7" w:rsidRDefault="006777E7" w:rsidP="009B32D9">
      <w:pPr>
        <w:spacing w:after="120"/>
        <w:rPr>
          <w:rFonts w:ascii="Times New Roman" w:hAnsi="Times New Roman"/>
        </w:rPr>
      </w:pPr>
      <w:r>
        <w:rPr>
          <w:rFonts w:ascii="Times New Roman" w:hAnsi="Times New Roman"/>
        </w:rPr>
        <w:lastRenderedPageBreak/>
        <w:t>Sur cette base, le Parlement invite la Commission à présenter immédiatement une proposition de révision de l’accord interinstitutionnel «Mieux légiférer» dans le but de définir les procédures législatives spéciales. Il souligne que l’accord interinstitutionnel révisé devrait particulièrement mettre l’accent sur les procédures pour lesquelles le Parlement jouit du droit d’initiative, les justifications juridiques des vetos au Conseil et les moyens de favoriser le plein respect des droits de participation respectifs et des principes d’équilibre institutionnel et de coopération loyale dans le cadre des procédures législatives spéciales (paragraphe 35)</w:t>
      </w:r>
    </w:p>
    <w:p w14:paraId="780B6643" w14:textId="4D409337" w:rsidR="00963420" w:rsidRPr="00DD54F7" w:rsidRDefault="004B7A7A" w:rsidP="004B7A7A">
      <w:pPr>
        <w:rPr>
          <w:rFonts w:ascii="Times New Roman" w:hAnsi="Times New Roman"/>
          <w:b/>
          <w:szCs w:val="24"/>
        </w:rPr>
      </w:pPr>
      <w:r>
        <w:rPr>
          <w:rFonts w:ascii="Times New Roman" w:hAnsi="Times New Roman"/>
          <w:b/>
        </w:rPr>
        <w:t xml:space="preserve">6. Réponse à ces demandes et aperçu des mesures que la Commission a prises ou envisage de prendre: </w:t>
      </w:r>
    </w:p>
    <w:p w14:paraId="602EBCF8" w14:textId="4D1DE5DF" w:rsidR="003D4C98" w:rsidRPr="00DD54F7" w:rsidRDefault="00A2401B" w:rsidP="009B32D9">
      <w:pPr>
        <w:widowControl w:val="0"/>
        <w:spacing w:after="120"/>
        <w:rPr>
          <w:rFonts w:ascii="Times New Roman" w:hAnsi="Times New Roman"/>
          <w:bCs/>
          <w:iCs/>
          <w:szCs w:val="24"/>
        </w:rPr>
      </w:pPr>
      <w:r>
        <w:rPr>
          <w:rFonts w:ascii="Times New Roman" w:hAnsi="Times New Roman"/>
        </w:rPr>
        <w:t xml:space="preserve">La Commission se félicite de la résolution non législative du Parlement européen sur la mise en œuvre des dispositions du traité relatives aux procédures législatives spéciales. </w:t>
      </w:r>
    </w:p>
    <w:p w14:paraId="10E79BBF" w14:textId="19DBB467" w:rsidR="00DC786E" w:rsidRDefault="003D4C98" w:rsidP="009B32D9">
      <w:pPr>
        <w:widowControl w:val="0"/>
        <w:spacing w:after="120"/>
        <w:rPr>
          <w:rFonts w:ascii="Times New Roman" w:hAnsi="Times New Roman"/>
          <w:iCs/>
          <w:szCs w:val="24"/>
        </w:rPr>
      </w:pPr>
      <w:r>
        <w:rPr>
          <w:rFonts w:ascii="Times New Roman" w:hAnsi="Times New Roman"/>
        </w:rPr>
        <w:t>La Commission souscrit à l’objectif général de la résolution, consistant à garantir la coopération harmonieuse entre les institutions sur des dossiers soumis à des procédures législatives spéciales, et partage pleinement l’avis du Parlement selon lequel toutes les institutions doivent respecter les obligations qui leur sont imposées par les traités, y compris le principe de coopération loyale.</w:t>
      </w:r>
    </w:p>
    <w:p w14:paraId="2D141722" w14:textId="7189B1D3" w:rsidR="00EE1073" w:rsidRPr="00DD54F7" w:rsidRDefault="001F054B" w:rsidP="009B32D9">
      <w:pPr>
        <w:widowControl w:val="0"/>
        <w:spacing w:after="120"/>
        <w:rPr>
          <w:rFonts w:ascii="Times New Roman" w:hAnsi="Times New Roman"/>
          <w:iCs/>
          <w:szCs w:val="24"/>
        </w:rPr>
      </w:pPr>
      <w:r>
        <w:rPr>
          <w:rFonts w:ascii="Times New Roman" w:hAnsi="Times New Roman"/>
        </w:rPr>
        <w:t>(Paragraphes 18 et 27) La Commission constate que certains des dossiers auxquels il est fait référence dans la résolution ont abouti ou partiellement abouti, par exemple sur la question de l’adhésion de la Roumanie et de la Bulgarie à l’espace Schengen et sur la composition du Parlement européen pour les élections de 2024. Concernant ce dernier dossier, la Commission rappelle également que la commission des affaires constitutionnelles du Parlement, à la suite de la suggestion faite par le Conseil européen dans sa décision du 22 septembre 2023, est en train d'élaborer une proposition relative à un système permanent de répartition des sièges au Parlement européen  objectif, équitable, durable et transparent, également dans le but de rendre les futurs accords sur la composition du Parlement moins ardus.</w:t>
      </w:r>
    </w:p>
    <w:p w14:paraId="379C81B5" w14:textId="1837AD11" w:rsidR="00E246A6" w:rsidRPr="00DD54F7" w:rsidRDefault="00EF4322" w:rsidP="009B32D9">
      <w:pPr>
        <w:widowControl w:val="0"/>
        <w:spacing w:after="120"/>
        <w:rPr>
          <w:rFonts w:ascii="Times New Roman" w:hAnsi="Times New Roman"/>
          <w:iCs/>
          <w:szCs w:val="24"/>
        </w:rPr>
      </w:pPr>
      <w:r>
        <w:rPr>
          <w:rFonts w:ascii="Times New Roman" w:hAnsi="Times New Roman"/>
        </w:rPr>
        <w:t>(Paragraphe 9) La Commission a toujours reconnu l’importance du droit d’enquête du Parlement sans préjudice des compétences conférées aux autres institutions par les traités. Comme indiqué à de multiples reprises et dans un esprit de coopération loyale, la Commission est prête à relancer les discussions interinstitutionnelles afin de débloquer ce dossier. Elle reconnaît le besoin de modifier les règles actuelles pour que le Parlement dispose d’un instrument d’enquête adéquat, qui respecte pleinement les prérogatives institutionnelles et les cadres juridiques pertinents des États membres. Elle rappelle que, conformément à l’article 226 du TFUE, les modalités d'exercice du droit d'enquête sont déterminées par le Parlement européen, de sa propre initiative, après approbation du Conseil et de la Commission. Il est donc nécessaire que les préoccupations soulevées par le Conseil et par la Commission soient prises en considération.</w:t>
      </w:r>
    </w:p>
    <w:p w14:paraId="5736C55D" w14:textId="1930AB73" w:rsidR="00744444" w:rsidRPr="00DD54F7" w:rsidRDefault="00EF4322" w:rsidP="009B32D9">
      <w:pPr>
        <w:widowControl w:val="0"/>
        <w:spacing w:after="120"/>
        <w:rPr>
          <w:rFonts w:ascii="Times New Roman" w:hAnsi="Times New Roman"/>
          <w:iCs/>
          <w:szCs w:val="24"/>
        </w:rPr>
      </w:pPr>
      <w:r>
        <w:rPr>
          <w:rFonts w:ascii="Times New Roman" w:hAnsi="Times New Roman"/>
        </w:rPr>
        <w:t>(Paragraphe 15) La Commission reconnaît l’importance de la proposition du Parlement concernant une réforme de la loi électorale de l’UE et souscrit à ses objectifs généraux. Elle s'emploie continuellement à rendre les élections au Parlement européen plus européennes, inclusives et résilientes, dans l’entier respect des normes démocratiques les plus élevées. Bien que la Commission ne joue aucun rôle officiel dans la procédure législative spéciale prévue à l’article 223 du TFUE, elle suit activement les discussions au sein du Conseil. Elle a mis à disposition son expertise technique et institutionnelle sur des questions relatives aux élections, qui se fonde notamment sur les travaux réalisés dans le contexte du réseau européen de coopération en matière d’élections, afin d’aider à trouver des approches réalistes pour faire avancer les discussions sur cette proposition.</w:t>
      </w:r>
    </w:p>
    <w:p w14:paraId="7717E576" w14:textId="29108BE2" w:rsidR="0047354A" w:rsidRPr="00DD54F7" w:rsidRDefault="00EF4322" w:rsidP="009B32D9">
      <w:pPr>
        <w:widowControl w:val="0"/>
        <w:spacing w:after="120"/>
        <w:rPr>
          <w:rFonts w:ascii="Times New Roman" w:hAnsi="Times New Roman"/>
          <w:iCs/>
          <w:szCs w:val="24"/>
        </w:rPr>
      </w:pPr>
      <w:r>
        <w:rPr>
          <w:rFonts w:ascii="Times New Roman" w:hAnsi="Times New Roman"/>
        </w:rPr>
        <w:t xml:space="preserve">(Paragraphe 27) En ce qui concerne la proposition de refonte de la directive relative aux droits électoraux des citoyens mobiles de l'Union aux élections au Parlement européen, la </w:t>
      </w:r>
      <w:r>
        <w:rPr>
          <w:rFonts w:ascii="Times New Roman" w:hAnsi="Times New Roman"/>
        </w:rPr>
        <w:lastRenderedPageBreak/>
        <w:t>Commission rappelle que cette proposition est actuellement entre les mains du Conseil, qui a récemment entamé des discussions au niveau technique. La Commission prend acte des préoccupations du Parlement concernant sa réponse à la résolution législative du Parlement du 14 février 2023. À ce propos, la Commission souligne qu’elle soutient les discussions au sein du Conseil afin de promouvoir une participation large et inclusive des citoyens mobiles de l’Union aux élections et d’assurer l’exercice effectif de leurs droits électoraux dans les mêmes conditions que les ressortissants nationaux. Elle favorise également les efforts visant à faire en sorte que les citoyens mobiles de l’Union puissent exercer leurs droits électoraux de manière simple et effective grâce à un large éventail d’outils stratégiques complémentaires par rapport à sa proposition et cohérents avec les objectifs mis en avant dans la résolution du Parlement. Par exemple, elle soutient l’échange de bonnes pratiques sur la manière de garantir des élections inclusives à l'égard des personnes handicapées et d’exploiter les avantages de la technologie pour encourager la participation aux élections, notamment dans le cadre du réseau européen de coopération en matière d’élections. De plus, en décembre 2023, la Commission a publié une recommandation relative à des processus électoraux inclusifs et résilients, qui préconise des procédures simples pour l’inscription des électeurs sur les listes électorales, la mise à disposition d’informations dans une langue officielle compréhensible par les citoyens mobiles de l’Union, l’utilisation de modalités de vote complémentaires, la collecte de données sur la participation des personnes handicapées aux élections et sur l’accessibilité de ces dernières pour ces personnes. Elle a également publié, toujours en décembre 2023, un guide de bonnes pratiques électorales dans les États membres, portant sur la participation des citoyens handicapés aux processus électoraux, ainsi qu’un recueil des pratiques en matière de vote électronique et de technologies de l’information et de la communication (TIC).</w:t>
      </w:r>
    </w:p>
    <w:p w14:paraId="363BE7CA" w14:textId="1365936F" w:rsidR="00B7780E" w:rsidRPr="00DD54F7" w:rsidRDefault="00EF4322" w:rsidP="009B32D9">
      <w:pPr>
        <w:widowControl w:val="0"/>
        <w:spacing w:after="120"/>
        <w:rPr>
          <w:rFonts w:ascii="Times New Roman" w:hAnsi="Times New Roman"/>
          <w:iCs/>
          <w:szCs w:val="24"/>
        </w:rPr>
      </w:pPr>
      <w:r>
        <w:rPr>
          <w:rFonts w:ascii="Times New Roman" w:hAnsi="Times New Roman"/>
        </w:rPr>
        <w:t xml:space="preserve">(Paragraphe 35) La Commission prend acte de la recommandation du Parlement d'entreprendre une révision de l’accord interinstitutionnel «Mieux légiférer» dans le but de définir les procédures législatives spéciales, en particulier en ce qui concerne les procédures pour lesquelles le Parlement jouit du droit d’initiative. Elle n’est cependant pas convaincue qu’une révision de l’accord interinstitutionnel telle que proposée par le Parlement serait un outil approprié ou utile pour répondre aux préoccupations de ce dernier relatives à l’absence d’accord politique entre les institutions sur certains dossiers législatifs. La Commission fait observer que les raisons des difficultés rencontrées dans les dossiers auxquels il est fait référence dans la résolution varient fortement selon les dossiers et que les travaux politiques et la coopération pratique entre les institutions sont d’une importance cruciale pour trouver des solutions permettant de faire avancer ces dossiers. Elle continuera de soutenir les deux institutions pour trouver des solutions afin de débloquer les dossiers soumis à des procédures législatives spéciales. La Commission souligne également que toute modification de l’accord interinstitutionnel devra respecter les dispositions des traités et les prérogatives de chaque institution. </w:t>
      </w:r>
    </w:p>
    <w:sectPr w:rsidR="00B7780E" w:rsidRPr="00DD54F7"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1437" w14:textId="77777777" w:rsidR="00471C09" w:rsidRDefault="00471C09">
      <w:r>
        <w:separator/>
      </w:r>
    </w:p>
  </w:endnote>
  <w:endnote w:type="continuationSeparator" w:id="0">
    <w:p w14:paraId="35A01CE6" w14:textId="77777777" w:rsidR="00471C09" w:rsidRDefault="0047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2D04" w14:textId="77777777" w:rsidR="00471C09" w:rsidRDefault="00471C09">
      <w:r>
        <w:separator/>
      </w:r>
    </w:p>
  </w:footnote>
  <w:footnote w:type="continuationSeparator" w:id="0">
    <w:p w14:paraId="2763BBEF" w14:textId="77777777" w:rsidR="00471C09" w:rsidRDefault="0047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67DD9"/>
    <w:multiLevelType w:val="hybridMultilevel"/>
    <w:tmpl w:val="8988A7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4440C9"/>
    <w:multiLevelType w:val="hybridMultilevel"/>
    <w:tmpl w:val="499A27D8"/>
    <w:lvl w:ilvl="0" w:tplc="47BEBF6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8C10E8"/>
    <w:multiLevelType w:val="hybridMultilevel"/>
    <w:tmpl w:val="D78A765A"/>
    <w:lvl w:ilvl="0" w:tplc="47BEBF6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D41765"/>
    <w:multiLevelType w:val="hybridMultilevel"/>
    <w:tmpl w:val="51827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A53692"/>
    <w:multiLevelType w:val="hybridMultilevel"/>
    <w:tmpl w:val="625CF10C"/>
    <w:lvl w:ilvl="0" w:tplc="04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9B249F"/>
    <w:multiLevelType w:val="hybridMultilevel"/>
    <w:tmpl w:val="76ECC658"/>
    <w:lvl w:ilvl="0" w:tplc="9DC4E792">
      <w:numFmt w:val="bullet"/>
      <w:lvlText w:val=""/>
      <w:lvlJc w:val="left"/>
      <w:pPr>
        <w:ind w:left="1080" w:hanging="72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9"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0"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8"/>
  </w:num>
  <w:num w:numId="2" w16cid:durableId="148182179">
    <w:abstractNumId w:val="1"/>
  </w:num>
  <w:num w:numId="3" w16cid:durableId="505511010">
    <w:abstractNumId w:val="39"/>
  </w:num>
  <w:num w:numId="4" w16cid:durableId="580018736">
    <w:abstractNumId w:val="16"/>
  </w:num>
  <w:num w:numId="5" w16cid:durableId="221647625">
    <w:abstractNumId w:val="35"/>
  </w:num>
  <w:num w:numId="6" w16cid:durableId="298344620">
    <w:abstractNumId w:val="12"/>
  </w:num>
  <w:num w:numId="7" w16cid:durableId="58093387">
    <w:abstractNumId w:val="7"/>
  </w:num>
  <w:num w:numId="8" w16cid:durableId="1122530581">
    <w:abstractNumId w:val="18"/>
  </w:num>
  <w:num w:numId="9" w16cid:durableId="1479684095">
    <w:abstractNumId w:val="38"/>
  </w:num>
  <w:num w:numId="10" w16cid:durableId="340007303">
    <w:abstractNumId w:val="27"/>
  </w:num>
  <w:num w:numId="11" w16cid:durableId="346519941">
    <w:abstractNumId w:val="31"/>
  </w:num>
  <w:num w:numId="12" w16cid:durableId="691036718">
    <w:abstractNumId w:val="14"/>
  </w:num>
  <w:num w:numId="13" w16cid:durableId="1452093781">
    <w:abstractNumId w:val="19"/>
  </w:num>
  <w:num w:numId="14" w16cid:durableId="906961314">
    <w:abstractNumId w:val="36"/>
  </w:num>
  <w:num w:numId="15" w16cid:durableId="1388455259">
    <w:abstractNumId w:val="17"/>
  </w:num>
  <w:num w:numId="16" w16cid:durableId="1677533267">
    <w:abstractNumId w:val="42"/>
  </w:num>
  <w:num w:numId="17" w16cid:durableId="961619330">
    <w:abstractNumId w:val="37"/>
  </w:num>
  <w:num w:numId="18" w16cid:durableId="1095638383">
    <w:abstractNumId w:val="25"/>
  </w:num>
  <w:num w:numId="19" w16cid:durableId="357776219">
    <w:abstractNumId w:val="26"/>
  </w:num>
  <w:num w:numId="20" w16cid:durableId="1481578588">
    <w:abstractNumId w:val="34"/>
  </w:num>
  <w:num w:numId="21" w16cid:durableId="1812137613">
    <w:abstractNumId w:val="3"/>
  </w:num>
  <w:num w:numId="22" w16cid:durableId="370300677">
    <w:abstractNumId w:val="4"/>
  </w:num>
  <w:num w:numId="23" w16cid:durableId="1948660650">
    <w:abstractNumId w:val="5"/>
  </w:num>
  <w:num w:numId="24" w16cid:durableId="1221136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40"/>
  </w:num>
  <w:num w:numId="26" w16cid:durableId="1203983393">
    <w:abstractNumId w:val="28"/>
  </w:num>
  <w:num w:numId="27" w16cid:durableId="1149204463">
    <w:abstractNumId w:val="20"/>
  </w:num>
  <w:num w:numId="28" w16cid:durableId="614867515">
    <w:abstractNumId w:val="41"/>
  </w:num>
  <w:num w:numId="29" w16cid:durableId="1513490821">
    <w:abstractNumId w:val="2"/>
  </w:num>
  <w:num w:numId="30" w16cid:durableId="1269506392">
    <w:abstractNumId w:val="24"/>
  </w:num>
  <w:num w:numId="31" w16cid:durableId="160509948">
    <w:abstractNumId w:val="23"/>
  </w:num>
  <w:num w:numId="32" w16cid:durableId="146094414">
    <w:abstractNumId w:val="11"/>
  </w:num>
  <w:num w:numId="33" w16cid:durableId="2145806991">
    <w:abstractNumId w:val="13"/>
  </w:num>
  <w:num w:numId="34" w16cid:durableId="1322079617">
    <w:abstractNumId w:val="22"/>
  </w:num>
  <w:num w:numId="35" w16cid:durableId="1661734410">
    <w:abstractNumId w:val="21"/>
  </w:num>
  <w:num w:numId="36" w16cid:durableId="343361963">
    <w:abstractNumId w:val="29"/>
  </w:num>
  <w:num w:numId="37" w16cid:durableId="1349287025">
    <w:abstractNumId w:val="32"/>
  </w:num>
  <w:num w:numId="38" w16cid:durableId="1270503673">
    <w:abstractNumId w:val="6"/>
  </w:num>
  <w:num w:numId="39" w16cid:durableId="1333950901">
    <w:abstractNumId w:val="30"/>
  </w:num>
  <w:num w:numId="40" w16cid:durableId="1290093345">
    <w:abstractNumId w:val="9"/>
  </w:num>
  <w:num w:numId="41" w16cid:durableId="138124890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A3C"/>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69"/>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964"/>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3A9"/>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2C7"/>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587"/>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DFD"/>
    <w:rsid w:val="00143F3D"/>
    <w:rsid w:val="0014413D"/>
    <w:rsid w:val="00144F48"/>
    <w:rsid w:val="00145AB8"/>
    <w:rsid w:val="00145BBD"/>
    <w:rsid w:val="00145CBE"/>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398"/>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9F7"/>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2DF6"/>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54B"/>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576"/>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5E2A"/>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31C"/>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A71"/>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6E0"/>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1A0"/>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D9"/>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64"/>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DD1"/>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3EDC"/>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AD"/>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3B3"/>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66A"/>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BF4"/>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C98"/>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0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09"/>
    <w:rsid w:val="00471C87"/>
    <w:rsid w:val="00472153"/>
    <w:rsid w:val="00472155"/>
    <w:rsid w:val="0047239D"/>
    <w:rsid w:val="0047245C"/>
    <w:rsid w:val="00472465"/>
    <w:rsid w:val="004726AE"/>
    <w:rsid w:val="00472807"/>
    <w:rsid w:val="00472866"/>
    <w:rsid w:val="00472A7A"/>
    <w:rsid w:val="00472BB9"/>
    <w:rsid w:val="00472D9E"/>
    <w:rsid w:val="00473214"/>
    <w:rsid w:val="00473405"/>
    <w:rsid w:val="0047349E"/>
    <w:rsid w:val="0047354A"/>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A54"/>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46F"/>
    <w:rsid w:val="004B277F"/>
    <w:rsid w:val="004B28A2"/>
    <w:rsid w:val="004B2A28"/>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A7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527"/>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6F4"/>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00A"/>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7A6"/>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895"/>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B3D"/>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1A4"/>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A4D"/>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92A"/>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52B"/>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6D87"/>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0AD"/>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5F"/>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27"/>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7A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582"/>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7E7"/>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78"/>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0E1E"/>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29F"/>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444"/>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6B3"/>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BD"/>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27"/>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411"/>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B58"/>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1974"/>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6EE9"/>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C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4C3F"/>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67F5B"/>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BB6"/>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2F9"/>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79A"/>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3EC"/>
    <w:rsid w:val="008A74D2"/>
    <w:rsid w:val="008A76A5"/>
    <w:rsid w:val="008B007B"/>
    <w:rsid w:val="008B052D"/>
    <w:rsid w:val="008B0B57"/>
    <w:rsid w:val="008B0CB1"/>
    <w:rsid w:val="008B1089"/>
    <w:rsid w:val="008B1146"/>
    <w:rsid w:val="008B114F"/>
    <w:rsid w:val="008B1150"/>
    <w:rsid w:val="008B1161"/>
    <w:rsid w:val="008B1290"/>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5F93"/>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2B"/>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C47"/>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037"/>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0AD"/>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8F8"/>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2D9"/>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0C"/>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01B"/>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838"/>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0F45"/>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5B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40"/>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653"/>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5B02"/>
    <w:rsid w:val="00AE6AAA"/>
    <w:rsid w:val="00AE6BE3"/>
    <w:rsid w:val="00AE6F13"/>
    <w:rsid w:val="00AE7068"/>
    <w:rsid w:val="00AE7321"/>
    <w:rsid w:val="00AE73D7"/>
    <w:rsid w:val="00AE7470"/>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8A"/>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31A"/>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07D"/>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39D"/>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80E"/>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7A8"/>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B60"/>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665"/>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63B"/>
    <w:rsid w:val="00C40661"/>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1F36"/>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3B6"/>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606"/>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F88"/>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055"/>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1B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4E4"/>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22"/>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0E1"/>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355"/>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4B2"/>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E04"/>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6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5B5"/>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4F7"/>
    <w:rsid w:val="00DD55DE"/>
    <w:rsid w:val="00DD577E"/>
    <w:rsid w:val="00DD5812"/>
    <w:rsid w:val="00DD58DE"/>
    <w:rsid w:val="00DD59C0"/>
    <w:rsid w:val="00DD5ABC"/>
    <w:rsid w:val="00DD60CD"/>
    <w:rsid w:val="00DD6C24"/>
    <w:rsid w:val="00DD6E89"/>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53A"/>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054"/>
    <w:rsid w:val="00E24102"/>
    <w:rsid w:val="00E24196"/>
    <w:rsid w:val="00E243FC"/>
    <w:rsid w:val="00E24559"/>
    <w:rsid w:val="00E24633"/>
    <w:rsid w:val="00E246A6"/>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7D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58A"/>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7A6"/>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080"/>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73"/>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C7C"/>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322"/>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2A3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3CB7"/>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02"/>
    <w:rsid w:val="00FB1D13"/>
    <w:rsid w:val="00FB22EF"/>
    <w:rsid w:val="00FB242F"/>
    <w:rsid w:val="00FB2508"/>
    <w:rsid w:val="00FB275D"/>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DB0"/>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88"/>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1"/>
    <w:rsid w:val="00FF0264"/>
    <w:rsid w:val="00FF037E"/>
    <w:rsid w:val="00FF04A0"/>
    <w:rsid w:val="00FF082C"/>
    <w:rsid w:val="00FF0A08"/>
    <w:rsid w:val="00FF0B8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basedOn w:val="DefaultParagraphFont"/>
    <w:uiPriority w:val="99"/>
    <w:semiHidden/>
    <w:unhideWhenUsed/>
    <w:rsid w:val="000A5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29189">
      <w:bodyDiv w:val="1"/>
      <w:marLeft w:val="0"/>
      <w:marRight w:val="0"/>
      <w:marTop w:val="0"/>
      <w:marBottom w:val="0"/>
      <w:divBdr>
        <w:top w:val="none" w:sz="0" w:space="0" w:color="auto"/>
        <w:left w:val="none" w:sz="0" w:space="0" w:color="auto"/>
        <w:bottom w:val="none" w:sz="0" w:space="0" w:color="auto"/>
        <w:right w:val="none" w:sz="0" w:space="0" w:color="auto"/>
      </w:divBdr>
    </w:div>
    <w:div w:id="466975107">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40698919">
      <w:bodyDiv w:val="1"/>
      <w:marLeft w:val="0"/>
      <w:marRight w:val="0"/>
      <w:marTop w:val="0"/>
      <w:marBottom w:val="0"/>
      <w:divBdr>
        <w:top w:val="none" w:sz="0" w:space="0" w:color="auto"/>
        <w:left w:val="none" w:sz="0" w:space="0" w:color="auto"/>
        <w:bottom w:val="none" w:sz="0" w:space="0" w:color="auto"/>
        <w:right w:val="none" w:sz="0" w:space="0" w:color="auto"/>
      </w:divBdr>
    </w:div>
    <w:div w:id="1603804367">
      <w:bodyDiv w:val="1"/>
      <w:marLeft w:val="0"/>
      <w:marRight w:val="0"/>
      <w:marTop w:val="0"/>
      <w:marBottom w:val="0"/>
      <w:divBdr>
        <w:top w:val="none" w:sz="0" w:space="0" w:color="auto"/>
        <w:left w:val="none" w:sz="0" w:space="0" w:color="auto"/>
        <w:bottom w:val="none" w:sz="0" w:space="0" w:color="auto"/>
        <w:right w:val="none" w:sz="0" w:space="0" w:color="auto"/>
      </w:divBdr>
    </w:div>
    <w:div w:id="2092113832">
      <w:bodyDiv w:val="1"/>
      <w:marLeft w:val="0"/>
      <w:marRight w:val="0"/>
      <w:marTop w:val="0"/>
      <w:marBottom w:val="0"/>
      <w:divBdr>
        <w:top w:val="none" w:sz="0" w:space="0" w:color="auto"/>
        <w:left w:val="none" w:sz="0" w:space="0" w:color="auto"/>
        <w:bottom w:val="none" w:sz="0" w:space="0" w:color="auto"/>
        <w:right w:val="none" w:sz="0" w:space="0" w:color="auto"/>
      </w:divBdr>
    </w:div>
    <w:div w:id="21387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1644</Words>
  <Characters>9552</Characters>
  <Application>Microsoft Office Word</Application>
  <DocSecurity>0</DocSecurity>
  <PresentationFormat>Microsoft Word 8.0b</PresentationFormat>
  <Lines>134</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11174</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DELBAER Gerda (SG)</cp:lastModifiedBy>
  <cp:revision>2</cp:revision>
  <cp:lastPrinted>2017-11-23T08:27:00Z</cp:lastPrinted>
  <dcterms:created xsi:type="dcterms:W3CDTF">2024-05-23T07:55:00Z</dcterms:created>
  <dcterms:modified xsi:type="dcterms:W3CDTF">2024-05-23T07:55:00Z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