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40" w:rsidRPr="002A5640" w:rsidRDefault="002A5640" w:rsidP="002A5640">
      <w:pPr>
        <w:spacing w:after="240"/>
        <w:jc w:val="center"/>
        <w:rPr>
          <w:rFonts w:eastAsia="Times New Roman"/>
          <w:szCs w:val="20"/>
          <w:lang w:val="fr-FR" w:eastAsia="en-GB"/>
        </w:rPr>
      </w:pPr>
      <w:r w:rsidRPr="002A5640">
        <w:rPr>
          <w:rFonts w:eastAsia="Times New Roman"/>
          <w:b/>
          <w:szCs w:val="20"/>
          <w:lang w:val="fr-FR" w:eastAsia="en-GB"/>
        </w:rPr>
        <w:t>PROCÉDURE LÉGISLATIVE ORDINAIRE</w:t>
      </w:r>
    </w:p>
    <w:p w:rsidR="002A5640" w:rsidRPr="002A5640" w:rsidRDefault="002A5640" w:rsidP="002A5640">
      <w:pPr>
        <w:spacing w:after="600"/>
        <w:jc w:val="center"/>
        <w:rPr>
          <w:rFonts w:eastAsia="Times New Roman"/>
          <w:b/>
          <w:bCs/>
          <w:lang w:val="fr-FR" w:eastAsia="en-GB"/>
        </w:rPr>
      </w:pPr>
      <w:bookmarkStart w:id="0" w:name="disqulifications"/>
      <w:r w:rsidRPr="002A5640">
        <w:rPr>
          <w:rFonts w:eastAsia="Times New Roman"/>
          <w:b/>
          <w:szCs w:val="20"/>
          <w:lang w:val="fr-FR" w:eastAsia="en-GB"/>
        </w:rPr>
        <w:t>Suite donnée à la résolution législative du Parlement européen sur la proposition de directive du Parlement européen et du Conseil sur les effets de certaines décisions de déchéance du droit de conduire dans l’ensemble de l’Union</w:t>
      </w:r>
    </w:p>
    <w:bookmarkEnd w:id="0"/>
    <w:p w:rsidR="002A5640" w:rsidRPr="002A5640" w:rsidRDefault="002A5640" w:rsidP="002A5640">
      <w:pPr>
        <w:spacing w:after="240" w:line="240" w:lineRule="atLeast"/>
        <w:ind w:left="567" w:hanging="567"/>
        <w:jc w:val="left"/>
        <w:rPr>
          <w:rFonts w:eastAsia="Times New Roman"/>
          <w:szCs w:val="20"/>
          <w:lang w:val="fr-FR" w:eastAsia="en-GB"/>
        </w:rPr>
      </w:pPr>
      <w:r w:rsidRPr="002A5640">
        <w:rPr>
          <w:rFonts w:eastAsia="Times New Roman"/>
          <w:b/>
          <w:szCs w:val="20"/>
          <w:lang w:val="fr-FR" w:eastAsia="en-GB"/>
        </w:rPr>
        <w:t>1.</w:t>
      </w:r>
      <w:r w:rsidRPr="002A5640">
        <w:rPr>
          <w:rFonts w:eastAsia="Times New Roman"/>
          <w:b/>
          <w:szCs w:val="20"/>
          <w:lang w:val="fr-FR" w:eastAsia="en-GB"/>
        </w:rPr>
        <w:tab/>
        <w:t xml:space="preserve">Rapporteur: </w:t>
      </w:r>
      <w:r w:rsidRPr="002A5640">
        <w:rPr>
          <w:rFonts w:eastAsia="Times New Roman"/>
          <w:szCs w:val="20"/>
          <w:lang w:val="fr-FR" w:eastAsia="en-GB"/>
        </w:rPr>
        <w:t>Petar VITANOV (S&amp;D / BG)</w:t>
      </w:r>
    </w:p>
    <w:p w:rsidR="002A5640" w:rsidRPr="002A5640" w:rsidRDefault="002A5640" w:rsidP="002A5640">
      <w:pPr>
        <w:spacing w:after="240" w:line="240" w:lineRule="atLeast"/>
        <w:ind w:left="567" w:hanging="567"/>
        <w:rPr>
          <w:rFonts w:eastAsia="Times New Roman"/>
          <w:szCs w:val="20"/>
          <w:lang w:val="fr-FR" w:eastAsia="en-GB"/>
        </w:rPr>
      </w:pPr>
      <w:r w:rsidRPr="002A5640">
        <w:rPr>
          <w:rFonts w:eastAsia="Times New Roman"/>
          <w:b/>
          <w:szCs w:val="20"/>
          <w:lang w:val="fr-FR" w:eastAsia="en-GB"/>
        </w:rPr>
        <w:t>2.</w:t>
      </w:r>
      <w:r w:rsidRPr="002A5640">
        <w:rPr>
          <w:rFonts w:eastAsia="Times New Roman"/>
          <w:b/>
          <w:szCs w:val="20"/>
          <w:lang w:val="fr-FR" w:eastAsia="en-GB"/>
        </w:rPr>
        <w:tab/>
        <w:t>Numéros de référence:</w:t>
      </w:r>
      <w:r w:rsidRPr="002A5640">
        <w:rPr>
          <w:rFonts w:eastAsia="Times New Roman"/>
          <w:szCs w:val="20"/>
          <w:lang w:val="fr-FR" w:eastAsia="en-GB"/>
        </w:rPr>
        <w:t xml:space="preserve"> 2023/0055 (COD) / A9-0410/2023 / P9_</w:t>
      </w:r>
      <w:proofErr w:type="gramStart"/>
      <w:r w:rsidRPr="002A5640">
        <w:rPr>
          <w:rFonts w:eastAsia="Times New Roman"/>
          <w:szCs w:val="20"/>
          <w:lang w:val="fr-FR" w:eastAsia="en-GB"/>
        </w:rPr>
        <w:t>TA(</w:t>
      </w:r>
      <w:proofErr w:type="gramEnd"/>
      <w:r w:rsidRPr="002A5640">
        <w:rPr>
          <w:rFonts w:eastAsia="Times New Roman"/>
          <w:szCs w:val="20"/>
          <w:lang w:val="fr-FR" w:eastAsia="en-GB"/>
        </w:rPr>
        <w:t>2024)0057</w:t>
      </w:r>
    </w:p>
    <w:p w:rsidR="002A5640" w:rsidRPr="002A5640" w:rsidRDefault="002A5640" w:rsidP="002A5640">
      <w:pPr>
        <w:spacing w:after="240" w:line="240" w:lineRule="atLeast"/>
        <w:ind w:left="567" w:hanging="567"/>
        <w:jc w:val="left"/>
        <w:rPr>
          <w:rFonts w:eastAsia="Times New Roman"/>
          <w:szCs w:val="20"/>
          <w:lang w:val="fr-FR" w:eastAsia="en-GB"/>
        </w:rPr>
      </w:pPr>
      <w:r w:rsidRPr="002A5640">
        <w:rPr>
          <w:rFonts w:eastAsia="Times New Roman"/>
          <w:b/>
          <w:szCs w:val="20"/>
          <w:lang w:val="fr-FR" w:eastAsia="en-GB"/>
        </w:rPr>
        <w:t>3.</w:t>
      </w:r>
      <w:r w:rsidRPr="002A5640">
        <w:rPr>
          <w:rFonts w:eastAsia="Times New Roman"/>
          <w:b/>
          <w:szCs w:val="20"/>
          <w:lang w:val="fr-FR" w:eastAsia="en-GB"/>
        </w:rPr>
        <w:tab/>
        <w:t xml:space="preserve">Date d’adoption de la résolution: </w:t>
      </w:r>
      <w:r w:rsidRPr="002A5640">
        <w:rPr>
          <w:rFonts w:eastAsia="Times New Roman"/>
          <w:szCs w:val="20"/>
          <w:lang w:val="fr-FR" w:eastAsia="en-GB"/>
        </w:rPr>
        <w:t>6 février 2024</w:t>
      </w:r>
    </w:p>
    <w:p w:rsidR="002A5640" w:rsidRPr="002A5640" w:rsidRDefault="002A5640" w:rsidP="002A5640">
      <w:pPr>
        <w:spacing w:after="240" w:line="240" w:lineRule="atLeast"/>
        <w:ind w:left="567" w:hanging="567"/>
        <w:rPr>
          <w:rFonts w:eastAsia="Times New Roman"/>
          <w:szCs w:val="20"/>
          <w:lang w:val="fr-FR" w:eastAsia="en-GB"/>
        </w:rPr>
      </w:pPr>
      <w:r w:rsidRPr="002A5640">
        <w:rPr>
          <w:rFonts w:eastAsia="Times New Roman"/>
          <w:b/>
          <w:szCs w:val="20"/>
          <w:lang w:val="fr-FR" w:eastAsia="en-GB"/>
        </w:rPr>
        <w:t>4.</w:t>
      </w:r>
      <w:r w:rsidRPr="002A5640">
        <w:rPr>
          <w:rFonts w:eastAsia="Times New Roman"/>
          <w:b/>
          <w:szCs w:val="20"/>
          <w:lang w:val="fr-FR" w:eastAsia="en-GB"/>
        </w:rPr>
        <w:tab/>
        <w:t xml:space="preserve">Base juridique: </w:t>
      </w:r>
      <w:r w:rsidRPr="002A5640">
        <w:rPr>
          <w:rFonts w:eastAsia="Times New Roman"/>
          <w:szCs w:val="20"/>
          <w:lang w:val="fr-FR" w:eastAsia="en-GB"/>
        </w:rPr>
        <w:t>article 91, paragraphe 1, point c), du traité sur le fonctionnement de l’Union européenne</w:t>
      </w:r>
    </w:p>
    <w:p w:rsidR="002A5640" w:rsidRPr="002A5640" w:rsidRDefault="002A5640" w:rsidP="002A5640">
      <w:pPr>
        <w:spacing w:after="240" w:line="240" w:lineRule="atLeast"/>
        <w:ind w:left="567" w:hanging="567"/>
        <w:rPr>
          <w:rFonts w:eastAsia="Times New Roman"/>
          <w:lang w:val="fr-FR" w:eastAsia="en-GB"/>
        </w:rPr>
      </w:pPr>
      <w:r w:rsidRPr="002A5640">
        <w:rPr>
          <w:rFonts w:eastAsia="Times New Roman"/>
          <w:b/>
          <w:szCs w:val="20"/>
          <w:lang w:val="fr-FR" w:eastAsia="en-GB"/>
        </w:rPr>
        <w:t>5.</w:t>
      </w:r>
      <w:r w:rsidRPr="002A5640">
        <w:rPr>
          <w:rFonts w:eastAsia="Times New Roman"/>
          <w:b/>
          <w:szCs w:val="20"/>
          <w:lang w:val="fr-FR" w:eastAsia="en-GB"/>
        </w:rPr>
        <w:tab/>
        <w:t>Commission parlementaire compétente:</w:t>
      </w:r>
      <w:r w:rsidRPr="002A5640">
        <w:rPr>
          <w:rFonts w:eastAsia="Times New Roman"/>
          <w:szCs w:val="20"/>
          <w:lang w:val="fr-FR" w:eastAsia="en-GB"/>
        </w:rPr>
        <w:t xml:space="preserve"> commission des transports et du tourisme (TRAN)</w:t>
      </w:r>
    </w:p>
    <w:p w:rsidR="002A5640" w:rsidRPr="002A5640" w:rsidRDefault="002A5640" w:rsidP="002A5640">
      <w:pPr>
        <w:tabs>
          <w:tab w:val="left" w:pos="567"/>
        </w:tabs>
        <w:spacing w:after="240"/>
        <w:ind w:left="567" w:hanging="567"/>
        <w:rPr>
          <w:rFonts w:eastAsia="Times New Roman"/>
          <w:lang w:val="fr-FR" w:eastAsia="en-GB"/>
        </w:rPr>
      </w:pPr>
      <w:r w:rsidRPr="002A5640">
        <w:rPr>
          <w:rFonts w:eastAsia="Times New Roman"/>
          <w:b/>
          <w:szCs w:val="20"/>
          <w:lang w:val="fr-FR" w:eastAsia="en-GB"/>
        </w:rPr>
        <w:t>6.</w:t>
      </w:r>
      <w:r w:rsidRPr="002A5640">
        <w:rPr>
          <w:rFonts w:eastAsia="Times New Roman"/>
          <w:b/>
          <w:szCs w:val="20"/>
          <w:lang w:val="fr-FR" w:eastAsia="en-GB"/>
        </w:rPr>
        <w:tab/>
        <w:t>Position de la Commission:</w:t>
      </w:r>
      <w:r w:rsidRPr="002A5640">
        <w:rPr>
          <w:rFonts w:eastAsia="Times New Roman"/>
          <w:color w:val="000000"/>
          <w:sz w:val="22"/>
          <w:szCs w:val="20"/>
          <w:lang w:val="fr-FR" w:eastAsia="en-GB"/>
        </w:rPr>
        <w:t xml:space="preserve"> </w:t>
      </w:r>
      <w:r w:rsidRPr="002A5640">
        <w:rPr>
          <w:rFonts w:eastAsia="Times New Roman"/>
          <w:szCs w:val="20"/>
          <w:lang w:val="fr-FR" w:eastAsia="en-GB"/>
        </w:rPr>
        <w:t>la Commission réserve sa position.</w:t>
      </w:r>
    </w:p>
    <w:p w:rsidR="002A5640" w:rsidRPr="002A5640" w:rsidRDefault="002A5640" w:rsidP="002A5640">
      <w:pPr>
        <w:tabs>
          <w:tab w:val="left" w:pos="567"/>
        </w:tabs>
        <w:spacing w:after="240"/>
        <w:rPr>
          <w:rFonts w:eastAsia="Times New Roman"/>
          <w:lang w:val="fr-FR" w:eastAsia="en-GB"/>
        </w:rPr>
      </w:pPr>
      <w:r w:rsidRPr="002A5640">
        <w:rPr>
          <w:rFonts w:eastAsia="Times New Roman"/>
          <w:szCs w:val="20"/>
          <w:lang w:val="fr-FR" w:eastAsia="en-GB"/>
        </w:rPr>
        <w:t>Elle se félicite cependant du soutien résolu apporté par le Parlement à la proposition et peut accepter de nombreux amendements. Elle nourrit néanmoins certaines inquiétudes quant aux amendements qui restreindraient indûment les motifs de refus. Bien que certains amendements puissent être réalisables dans la pratique, tels que les délais stricts, le recours accru au réseau RESPER (réseau des permis de conduire de l’Union européenne) et l’obligation d’alignement de la part de l’État membre de délivrance, ils doivent faire l’objet d’une évaluation plus approfondie, notamment du point de vue technique/opérationnel et juridique.</w:t>
      </w:r>
      <w:bookmarkStart w:id="1" w:name="_GoBack"/>
      <w:bookmarkEnd w:id="1"/>
    </w:p>
    <w:sectPr w:rsidR="002A5640" w:rsidRPr="002A5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40"/>
    <w:rsid w:val="002A5640"/>
    <w:rsid w:val="00307214"/>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E21A-597D-4296-A123-B7D16A03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European Parliament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2</cp:revision>
  <dcterms:created xsi:type="dcterms:W3CDTF">2024-05-07T14:53:00Z</dcterms:created>
  <dcterms:modified xsi:type="dcterms:W3CDTF">2024-05-17T10:23:00Z</dcterms:modified>
</cp:coreProperties>
</file>