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4D8" w:rsidRPr="009314D8" w:rsidRDefault="009314D8" w:rsidP="009314D8">
      <w:pPr>
        <w:spacing w:after="240"/>
        <w:jc w:val="center"/>
        <w:rPr>
          <w:rFonts w:eastAsia="Times New Roman"/>
          <w:szCs w:val="20"/>
          <w:lang w:val="fr-FR" w:eastAsia="en-GB"/>
        </w:rPr>
      </w:pPr>
      <w:bookmarkStart w:id="0" w:name="_GoBack"/>
      <w:bookmarkEnd w:id="0"/>
      <w:r w:rsidRPr="009314D8">
        <w:rPr>
          <w:rFonts w:eastAsia="Times New Roman"/>
          <w:b/>
          <w:szCs w:val="20"/>
          <w:lang w:val="fr-FR" w:eastAsia="en-GB"/>
        </w:rPr>
        <w:t>PROCÉDURE LÉGISLATIVE ORDINAIRE</w:t>
      </w:r>
    </w:p>
    <w:p w:rsidR="009314D8" w:rsidRPr="009314D8" w:rsidRDefault="009314D8" w:rsidP="009314D8">
      <w:pPr>
        <w:spacing w:after="600"/>
        <w:jc w:val="center"/>
        <w:rPr>
          <w:rFonts w:eastAsia="Times New Roman"/>
          <w:b/>
          <w:bCs/>
          <w:lang w:val="fr-FR" w:eastAsia="en-GB"/>
        </w:rPr>
      </w:pPr>
      <w:bookmarkStart w:id="1" w:name="IJABS"/>
      <w:r w:rsidRPr="009314D8">
        <w:rPr>
          <w:rFonts w:eastAsia="Times New Roman"/>
          <w:b/>
          <w:szCs w:val="20"/>
          <w:lang w:val="fr-FR" w:eastAsia="en-GB"/>
        </w:rPr>
        <w:t>Suite donnée à la résolution législative du Parlement européen sur la proposition de règlement du Parlement européen et du Conseil établissant des mesures destinées à assurer un niveau élevé d’interopérabilité du secteur public dans l’ensemble de l’Union (règlement pour une Europe interopérable)</w:t>
      </w:r>
      <w:bookmarkEnd w:id="1"/>
    </w:p>
    <w:p w:rsidR="009314D8" w:rsidRPr="009314D8" w:rsidRDefault="009314D8" w:rsidP="009314D8">
      <w:pPr>
        <w:spacing w:after="240" w:line="240" w:lineRule="atLeast"/>
        <w:ind w:left="567" w:hanging="567"/>
        <w:jc w:val="left"/>
        <w:rPr>
          <w:rFonts w:eastAsia="Times New Roman"/>
          <w:szCs w:val="20"/>
          <w:lang w:val="fr-FR" w:eastAsia="en-GB"/>
        </w:rPr>
      </w:pPr>
      <w:r w:rsidRPr="009314D8">
        <w:rPr>
          <w:rFonts w:eastAsia="Times New Roman"/>
          <w:b/>
          <w:szCs w:val="20"/>
          <w:lang w:val="fr-FR" w:eastAsia="en-GB"/>
        </w:rPr>
        <w:t>1.</w:t>
      </w:r>
      <w:r w:rsidRPr="009314D8">
        <w:rPr>
          <w:rFonts w:eastAsia="Times New Roman"/>
          <w:b/>
          <w:szCs w:val="20"/>
          <w:lang w:val="fr-FR" w:eastAsia="en-GB"/>
        </w:rPr>
        <w:tab/>
        <w:t xml:space="preserve">Rapporteur: </w:t>
      </w:r>
      <w:r w:rsidRPr="009314D8">
        <w:rPr>
          <w:rFonts w:eastAsia="Times New Roman"/>
          <w:szCs w:val="20"/>
          <w:lang w:val="fr-FR" w:eastAsia="en-GB"/>
        </w:rPr>
        <w:t>Ivars IJABS (Renew / LV)</w:t>
      </w:r>
    </w:p>
    <w:p w:rsidR="009314D8" w:rsidRPr="009314D8" w:rsidRDefault="009314D8" w:rsidP="009314D8">
      <w:pPr>
        <w:spacing w:after="240" w:line="240" w:lineRule="atLeast"/>
        <w:ind w:left="567" w:hanging="567"/>
        <w:rPr>
          <w:rFonts w:eastAsia="Times New Roman"/>
          <w:szCs w:val="20"/>
          <w:lang w:val="fr-FR" w:eastAsia="en-GB"/>
        </w:rPr>
      </w:pPr>
      <w:r w:rsidRPr="009314D8">
        <w:rPr>
          <w:rFonts w:eastAsia="Times New Roman"/>
          <w:b/>
          <w:szCs w:val="20"/>
          <w:lang w:val="fr-FR" w:eastAsia="en-GB"/>
        </w:rPr>
        <w:t>2.</w:t>
      </w:r>
      <w:r w:rsidRPr="009314D8">
        <w:rPr>
          <w:rFonts w:eastAsia="Times New Roman"/>
          <w:b/>
          <w:szCs w:val="20"/>
          <w:lang w:val="fr-FR" w:eastAsia="en-GB"/>
        </w:rPr>
        <w:tab/>
        <w:t>Numéros de référence:</w:t>
      </w:r>
      <w:r w:rsidRPr="009314D8">
        <w:rPr>
          <w:rFonts w:eastAsia="Times New Roman"/>
          <w:szCs w:val="20"/>
          <w:lang w:val="fr-FR" w:eastAsia="en-GB"/>
        </w:rPr>
        <w:t xml:space="preserve"> 2022/0379 (COD) / A9-0254/2023 / P9_TA(2024)0060</w:t>
      </w:r>
    </w:p>
    <w:p w:rsidR="009314D8" w:rsidRPr="009314D8" w:rsidRDefault="009314D8" w:rsidP="009314D8">
      <w:pPr>
        <w:spacing w:after="240" w:line="240" w:lineRule="atLeast"/>
        <w:ind w:left="567" w:hanging="567"/>
        <w:jc w:val="left"/>
        <w:rPr>
          <w:rFonts w:eastAsia="Times New Roman"/>
          <w:szCs w:val="20"/>
          <w:lang w:val="fr-FR" w:eastAsia="en-GB"/>
        </w:rPr>
      </w:pPr>
      <w:r w:rsidRPr="009314D8">
        <w:rPr>
          <w:rFonts w:eastAsia="Times New Roman"/>
          <w:b/>
          <w:szCs w:val="20"/>
          <w:lang w:val="fr-FR" w:eastAsia="en-GB"/>
        </w:rPr>
        <w:t>3.</w:t>
      </w:r>
      <w:r w:rsidRPr="009314D8">
        <w:rPr>
          <w:rFonts w:eastAsia="Times New Roman"/>
          <w:b/>
          <w:szCs w:val="20"/>
          <w:lang w:val="fr-FR" w:eastAsia="en-GB"/>
        </w:rPr>
        <w:tab/>
        <w:t xml:space="preserve">Date d’adoption de la résolution: </w:t>
      </w:r>
      <w:r w:rsidRPr="009314D8">
        <w:rPr>
          <w:rFonts w:eastAsia="Times New Roman"/>
          <w:szCs w:val="20"/>
          <w:lang w:val="fr-FR" w:eastAsia="en-GB"/>
        </w:rPr>
        <w:t>6 février 2024</w:t>
      </w:r>
    </w:p>
    <w:p w:rsidR="009314D8" w:rsidRPr="009314D8" w:rsidRDefault="009314D8" w:rsidP="009314D8">
      <w:pPr>
        <w:spacing w:after="240" w:line="240" w:lineRule="atLeast"/>
        <w:ind w:left="567" w:hanging="567"/>
        <w:rPr>
          <w:rFonts w:eastAsia="Times New Roman"/>
          <w:szCs w:val="20"/>
          <w:lang w:val="fr-FR" w:eastAsia="en-GB"/>
        </w:rPr>
      </w:pPr>
      <w:r w:rsidRPr="009314D8">
        <w:rPr>
          <w:rFonts w:eastAsia="Times New Roman"/>
          <w:b/>
          <w:szCs w:val="20"/>
          <w:lang w:val="fr-FR" w:eastAsia="en-GB"/>
        </w:rPr>
        <w:t>4.</w:t>
      </w:r>
      <w:r w:rsidRPr="009314D8">
        <w:rPr>
          <w:rFonts w:eastAsia="Times New Roman"/>
          <w:b/>
          <w:szCs w:val="20"/>
          <w:lang w:val="fr-FR" w:eastAsia="en-GB"/>
        </w:rPr>
        <w:tab/>
        <w:t xml:space="preserve">Base juridique: </w:t>
      </w:r>
      <w:r w:rsidRPr="009314D8">
        <w:rPr>
          <w:rFonts w:eastAsia="Times New Roman"/>
          <w:szCs w:val="20"/>
          <w:lang w:val="fr-FR" w:eastAsia="en-GB"/>
        </w:rPr>
        <w:t>article 172 du traité sur le fonctionnement de l’Union européenne</w:t>
      </w:r>
    </w:p>
    <w:p w:rsidR="009314D8" w:rsidRPr="009314D8" w:rsidRDefault="009314D8" w:rsidP="009314D8">
      <w:pPr>
        <w:spacing w:after="240" w:line="240" w:lineRule="atLeast"/>
        <w:ind w:left="567" w:hanging="567"/>
        <w:rPr>
          <w:rFonts w:eastAsia="Times New Roman"/>
          <w:lang w:val="fr-FR" w:eastAsia="en-GB"/>
        </w:rPr>
      </w:pPr>
      <w:r w:rsidRPr="009314D8">
        <w:rPr>
          <w:rFonts w:eastAsia="Times New Roman"/>
          <w:b/>
          <w:szCs w:val="20"/>
          <w:lang w:val="fr-FR" w:eastAsia="en-GB"/>
        </w:rPr>
        <w:t>5.</w:t>
      </w:r>
      <w:r w:rsidRPr="009314D8">
        <w:rPr>
          <w:rFonts w:eastAsia="Times New Roman"/>
          <w:b/>
          <w:szCs w:val="20"/>
          <w:lang w:val="fr-FR" w:eastAsia="en-GB"/>
        </w:rPr>
        <w:tab/>
        <w:t>Commission parlementaire compétente:</w:t>
      </w:r>
      <w:r w:rsidRPr="009314D8">
        <w:rPr>
          <w:rFonts w:eastAsia="Times New Roman"/>
          <w:szCs w:val="20"/>
          <w:lang w:val="fr-FR" w:eastAsia="en-GB"/>
        </w:rPr>
        <w:t xml:space="preserve"> commission de l’industrie, de la recherche et de l’énergie (ITRE)</w:t>
      </w:r>
    </w:p>
    <w:p w:rsidR="008765BE" w:rsidRDefault="009314D8" w:rsidP="009314D8">
      <w:r w:rsidRPr="009314D8">
        <w:rPr>
          <w:rFonts w:eastAsia="Times New Roman"/>
          <w:b/>
          <w:szCs w:val="20"/>
          <w:lang w:val="fr-FR" w:eastAsia="en-GB"/>
        </w:rPr>
        <w:t>6.</w:t>
      </w:r>
      <w:r w:rsidRPr="009314D8">
        <w:rPr>
          <w:rFonts w:eastAsia="Times New Roman"/>
          <w:b/>
          <w:szCs w:val="20"/>
          <w:lang w:val="fr-FR" w:eastAsia="en-GB"/>
        </w:rPr>
        <w:tab/>
        <w:t>Position de la Commission:</w:t>
      </w:r>
      <w:r w:rsidRPr="009314D8">
        <w:rPr>
          <w:rFonts w:eastAsia="Times New Roman"/>
          <w:color w:val="000000"/>
          <w:sz w:val="22"/>
          <w:szCs w:val="20"/>
          <w:lang w:val="fr-FR" w:eastAsia="en-GB"/>
        </w:rPr>
        <w:t xml:space="preserve"> </w:t>
      </w:r>
      <w:r w:rsidRPr="009314D8">
        <w:rPr>
          <w:rFonts w:eastAsia="Times New Roman"/>
          <w:color w:val="000000"/>
          <w:szCs w:val="20"/>
          <w:lang w:val="fr-FR" w:eastAsia="en-GB"/>
        </w:rPr>
        <w:t>la Commission accepte tous les amendements.</w:t>
      </w:r>
    </w:p>
    <w:sectPr w:rsidR="008765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4D8"/>
    <w:rsid w:val="005762E3"/>
    <w:rsid w:val="008765BE"/>
    <w:rsid w:val="00931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772368-B801-4C2B-B6BC-C6A58CF04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2E3"/>
    <w:pPr>
      <w:jc w:val="both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62E3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62E3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2E3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62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62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62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62E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62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62E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62E3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62E3"/>
    <w:rPr>
      <w:rFonts w:ascii="Arial" w:eastAsiaTheme="majorEastAsia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2E3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62E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62E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62E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62E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62E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62E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762E3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762E3"/>
    <w:rPr>
      <w:rFonts w:ascii="Arial" w:eastAsiaTheme="majorEastAsia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62E3"/>
    <w:pPr>
      <w:spacing w:after="60"/>
      <w:jc w:val="center"/>
      <w:outlineLvl w:val="1"/>
    </w:pPr>
    <w:rPr>
      <w:rFonts w:ascii="Arial" w:eastAsiaTheme="majorEastAsia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rsid w:val="005762E3"/>
    <w:rPr>
      <w:rFonts w:ascii="Arial" w:eastAsiaTheme="majorEastAsia" w:hAnsi="Arial" w:cs="Arial"/>
      <w:sz w:val="24"/>
      <w:szCs w:val="24"/>
    </w:rPr>
  </w:style>
  <w:style w:type="character" w:styleId="Strong">
    <w:name w:val="Strong"/>
    <w:basedOn w:val="DefaultParagraphFont"/>
    <w:uiPriority w:val="22"/>
    <w:qFormat/>
    <w:rsid w:val="005762E3"/>
    <w:rPr>
      <w:b/>
      <w:bCs/>
    </w:rPr>
  </w:style>
  <w:style w:type="character" w:styleId="Emphasis">
    <w:name w:val="Emphasis"/>
    <w:basedOn w:val="DefaultParagraphFont"/>
    <w:uiPriority w:val="20"/>
    <w:qFormat/>
    <w:rsid w:val="005762E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762E3"/>
    <w:rPr>
      <w:szCs w:val="32"/>
    </w:rPr>
  </w:style>
  <w:style w:type="paragraph" w:styleId="ListParagraph">
    <w:name w:val="List Paragraph"/>
    <w:basedOn w:val="Normal"/>
    <w:uiPriority w:val="34"/>
    <w:qFormat/>
    <w:rsid w:val="005762E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762E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762E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62E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62E3"/>
    <w:rPr>
      <w:b/>
      <w:i/>
      <w:sz w:val="24"/>
    </w:rPr>
  </w:style>
  <w:style w:type="character" w:styleId="SubtleEmphasis">
    <w:name w:val="Subtle Emphasis"/>
    <w:uiPriority w:val="19"/>
    <w:qFormat/>
    <w:rsid w:val="005762E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762E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762E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762E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762E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62E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>European Parliament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BRABANDER Liesbet</dc:creator>
  <cp:keywords/>
  <dc:description/>
  <cp:lastModifiedBy>DE BRABANDER Liesbet</cp:lastModifiedBy>
  <cp:revision>1</cp:revision>
  <dcterms:created xsi:type="dcterms:W3CDTF">2024-05-07T14:53:00Z</dcterms:created>
  <dcterms:modified xsi:type="dcterms:W3CDTF">2024-05-07T14:53:00Z</dcterms:modified>
</cp:coreProperties>
</file>