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2B" w:rsidRPr="00C73C2B" w:rsidRDefault="00C73C2B" w:rsidP="00C73C2B">
      <w:pPr>
        <w:spacing w:after="240"/>
        <w:jc w:val="center"/>
        <w:rPr>
          <w:rFonts w:eastAsia="Times New Roman"/>
          <w:szCs w:val="20"/>
          <w:lang w:val="fr-FR" w:eastAsia="en-GB"/>
        </w:rPr>
      </w:pPr>
      <w:bookmarkStart w:id="0" w:name="_GoBack"/>
      <w:bookmarkEnd w:id="0"/>
      <w:r w:rsidRPr="00C73C2B">
        <w:rPr>
          <w:rFonts w:eastAsia="Times New Roman"/>
          <w:b/>
          <w:szCs w:val="20"/>
          <w:lang w:val="fr-FR" w:eastAsia="en-GB"/>
        </w:rPr>
        <w:t>PROCÉDURE LÉGISLATIVE ORDINAIRE</w:t>
      </w:r>
    </w:p>
    <w:p w:rsidR="00C73C2B" w:rsidRPr="00C73C2B" w:rsidRDefault="00C73C2B" w:rsidP="00C73C2B">
      <w:pPr>
        <w:spacing w:after="600"/>
        <w:jc w:val="center"/>
        <w:rPr>
          <w:rFonts w:eastAsia="Times New Roman"/>
          <w:b/>
          <w:bCs/>
          <w:lang w:val="fr-FR" w:eastAsia="en-GB"/>
        </w:rPr>
      </w:pPr>
      <w:bookmarkStart w:id="1" w:name="VITANOV"/>
      <w:r w:rsidRPr="00C73C2B">
        <w:rPr>
          <w:rFonts w:eastAsia="Times New Roman"/>
          <w:b/>
          <w:szCs w:val="20"/>
          <w:lang w:val="fr-FR" w:eastAsia="en-GB"/>
        </w:rPr>
        <w:t>Suite donnée à la résolution législative du Parlement européen sur la proposition de décision du Parlement européen et du Conseil habilitant la République française à négocier, à signer et à conclure un accord international sur les exigences en matière de sécurité et d’interopérabilité sur la liaison fixe transmanche</w:t>
      </w:r>
      <w:bookmarkEnd w:id="1"/>
    </w:p>
    <w:p w:rsidR="00C73C2B" w:rsidRPr="00C73C2B" w:rsidRDefault="00C73C2B" w:rsidP="00C73C2B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C73C2B">
        <w:rPr>
          <w:rFonts w:eastAsia="Times New Roman"/>
          <w:b/>
          <w:szCs w:val="20"/>
          <w:lang w:val="fr-FR" w:eastAsia="en-GB"/>
        </w:rPr>
        <w:t>1.</w:t>
      </w:r>
      <w:r w:rsidRPr="00C73C2B">
        <w:rPr>
          <w:rFonts w:eastAsia="Times New Roman"/>
          <w:b/>
          <w:szCs w:val="20"/>
          <w:lang w:val="fr-FR" w:eastAsia="en-GB"/>
        </w:rPr>
        <w:tab/>
        <w:t xml:space="preserve">Rapporteur: </w:t>
      </w:r>
      <w:r w:rsidRPr="00C73C2B">
        <w:rPr>
          <w:rFonts w:eastAsia="Times New Roman"/>
          <w:szCs w:val="20"/>
          <w:lang w:val="fr-FR" w:eastAsia="en-GB"/>
        </w:rPr>
        <w:t>Petar VITANOV (S&amp;D / BG)</w:t>
      </w:r>
    </w:p>
    <w:p w:rsidR="00C73C2B" w:rsidRPr="00C73C2B" w:rsidRDefault="00C73C2B" w:rsidP="00C73C2B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C73C2B">
        <w:rPr>
          <w:rFonts w:eastAsia="Times New Roman"/>
          <w:b/>
          <w:szCs w:val="20"/>
          <w:lang w:val="fr-FR" w:eastAsia="en-GB"/>
        </w:rPr>
        <w:t>2.</w:t>
      </w:r>
      <w:r w:rsidRPr="00C73C2B">
        <w:rPr>
          <w:rFonts w:eastAsia="Times New Roman"/>
          <w:b/>
          <w:szCs w:val="20"/>
          <w:lang w:val="fr-FR" w:eastAsia="en-GB"/>
        </w:rPr>
        <w:tab/>
        <w:t>Numéros de référence:</w:t>
      </w:r>
      <w:r w:rsidRPr="00C73C2B">
        <w:rPr>
          <w:rFonts w:eastAsia="Times New Roman"/>
          <w:szCs w:val="20"/>
          <w:lang w:val="fr-FR" w:eastAsia="en-GB"/>
        </w:rPr>
        <w:t xml:space="preserve"> 2023/0192 (COD) / A9-0018/2024 / P9_TA(2024)0062</w:t>
      </w:r>
    </w:p>
    <w:p w:rsidR="00C73C2B" w:rsidRPr="00C73C2B" w:rsidRDefault="00C73C2B" w:rsidP="00C73C2B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C73C2B">
        <w:rPr>
          <w:rFonts w:eastAsia="Times New Roman"/>
          <w:b/>
          <w:szCs w:val="20"/>
          <w:lang w:val="fr-FR" w:eastAsia="en-GB"/>
        </w:rPr>
        <w:t>3.</w:t>
      </w:r>
      <w:r w:rsidRPr="00C73C2B">
        <w:rPr>
          <w:rFonts w:eastAsia="Times New Roman"/>
          <w:b/>
          <w:szCs w:val="20"/>
          <w:lang w:val="fr-FR" w:eastAsia="en-GB"/>
        </w:rPr>
        <w:tab/>
        <w:t xml:space="preserve">Date d’adoption de la résolution: </w:t>
      </w:r>
      <w:r w:rsidRPr="00C73C2B">
        <w:rPr>
          <w:rFonts w:eastAsia="Times New Roman"/>
          <w:szCs w:val="20"/>
          <w:lang w:val="fr-FR" w:eastAsia="en-GB"/>
        </w:rPr>
        <w:t>7 février 2024</w:t>
      </w:r>
    </w:p>
    <w:p w:rsidR="00C73C2B" w:rsidRPr="00C73C2B" w:rsidRDefault="00C73C2B" w:rsidP="00C73C2B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C73C2B">
        <w:rPr>
          <w:rFonts w:eastAsia="Times New Roman"/>
          <w:b/>
          <w:szCs w:val="20"/>
          <w:lang w:val="fr-FR" w:eastAsia="en-GB"/>
        </w:rPr>
        <w:t>4.</w:t>
      </w:r>
      <w:r w:rsidRPr="00C73C2B">
        <w:rPr>
          <w:rFonts w:eastAsia="Times New Roman"/>
          <w:b/>
          <w:szCs w:val="20"/>
          <w:lang w:val="fr-FR" w:eastAsia="en-GB"/>
        </w:rPr>
        <w:tab/>
        <w:t xml:space="preserve">Base juridique: </w:t>
      </w:r>
      <w:r w:rsidRPr="00C73C2B">
        <w:rPr>
          <w:rFonts w:eastAsia="Times New Roman"/>
          <w:szCs w:val="20"/>
          <w:lang w:val="fr-FR" w:eastAsia="en-GB"/>
        </w:rPr>
        <w:t>article 91 du traité sur le fonctionnement de l’Union européenne</w:t>
      </w:r>
    </w:p>
    <w:p w:rsidR="00C73C2B" w:rsidRPr="00C73C2B" w:rsidRDefault="00C73C2B" w:rsidP="00C73C2B">
      <w:pPr>
        <w:spacing w:after="240" w:line="240" w:lineRule="atLeast"/>
        <w:ind w:left="567" w:hanging="567"/>
        <w:rPr>
          <w:rFonts w:eastAsia="Times New Roman"/>
          <w:lang w:val="fr-FR" w:eastAsia="en-GB"/>
        </w:rPr>
      </w:pPr>
      <w:r w:rsidRPr="00C73C2B">
        <w:rPr>
          <w:rFonts w:eastAsia="Times New Roman"/>
          <w:b/>
          <w:szCs w:val="20"/>
          <w:lang w:val="fr-FR" w:eastAsia="en-GB"/>
        </w:rPr>
        <w:t>5.</w:t>
      </w:r>
      <w:r w:rsidRPr="00C73C2B">
        <w:rPr>
          <w:rFonts w:eastAsia="Times New Roman"/>
          <w:b/>
          <w:szCs w:val="20"/>
          <w:lang w:val="fr-FR" w:eastAsia="en-GB"/>
        </w:rPr>
        <w:tab/>
        <w:t>Commission parlementaire compétente:</w:t>
      </w:r>
      <w:r w:rsidRPr="00C73C2B">
        <w:rPr>
          <w:rFonts w:eastAsia="Times New Roman"/>
          <w:szCs w:val="20"/>
          <w:lang w:val="fr-FR" w:eastAsia="en-GB"/>
        </w:rPr>
        <w:t xml:space="preserve"> commission des transports et du tourisme (TRAN)</w:t>
      </w:r>
    </w:p>
    <w:p w:rsidR="008765BE" w:rsidRDefault="00C73C2B" w:rsidP="00C73C2B">
      <w:r w:rsidRPr="00C73C2B">
        <w:rPr>
          <w:rFonts w:eastAsia="Times New Roman"/>
          <w:b/>
          <w:szCs w:val="20"/>
          <w:lang w:val="fr-FR" w:eastAsia="en-GB"/>
        </w:rPr>
        <w:t>6.</w:t>
      </w:r>
      <w:r w:rsidRPr="00C73C2B">
        <w:rPr>
          <w:rFonts w:eastAsia="Times New Roman"/>
          <w:b/>
          <w:szCs w:val="20"/>
          <w:lang w:val="fr-FR" w:eastAsia="en-GB"/>
        </w:rPr>
        <w:tab/>
        <w:t>Position de la Commission:</w:t>
      </w:r>
      <w:r w:rsidRPr="00C73C2B">
        <w:rPr>
          <w:rFonts w:eastAsia="Times New Roman"/>
          <w:color w:val="000000"/>
          <w:sz w:val="22"/>
          <w:szCs w:val="20"/>
          <w:lang w:val="fr-FR" w:eastAsia="en-GB"/>
        </w:rPr>
        <w:t xml:space="preserve"> </w:t>
      </w:r>
      <w:r w:rsidRPr="00C73C2B">
        <w:rPr>
          <w:rFonts w:eastAsia="Times New Roman"/>
          <w:color w:val="000000"/>
          <w:szCs w:val="20"/>
          <w:lang w:val="fr-FR" w:eastAsia="en-GB"/>
        </w:rPr>
        <w:t>la Commission accepte tous les amendements.</w:t>
      </w:r>
    </w:p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2B"/>
    <w:rsid w:val="005762E3"/>
    <w:rsid w:val="008765BE"/>
    <w:rsid w:val="00C7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449F5-BA41-4727-B156-BED53DAD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European Parliament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2024-05-07T14:53:00Z</dcterms:created>
  <dcterms:modified xsi:type="dcterms:W3CDTF">2024-05-07T14:53:00Z</dcterms:modified>
</cp:coreProperties>
</file>