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E9F37A" w14:textId="32627F1F" w:rsidR="00963420" w:rsidRPr="00C33439" w:rsidRDefault="00963420" w:rsidP="00D36D72">
      <w:pPr>
        <w:spacing w:after="600"/>
        <w:jc w:val="center"/>
        <w:rPr>
          <w:rFonts w:ascii="Times New Roman" w:hAnsi="Times New Roman"/>
          <w:b/>
          <w:bCs/>
          <w:szCs w:val="24"/>
        </w:rPr>
      </w:pPr>
      <w:bookmarkStart w:id="0" w:name="_Hlk160810389"/>
      <w:r w:rsidRPr="00C33439">
        <w:rPr>
          <w:rFonts w:ascii="Times New Roman" w:hAnsi="Times New Roman"/>
          <w:b/>
          <w:szCs w:val="24"/>
        </w:rPr>
        <w:t xml:space="preserve">Follow-up to the European Parliament non-legislative resolution </w:t>
      </w:r>
      <w:r w:rsidRPr="00C33439">
        <w:rPr>
          <w:rFonts w:ascii="Times New Roman" w:hAnsi="Times New Roman"/>
          <w:b/>
          <w:bCs/>
          <w:szCs w:val="24"/>
        </w:rPr>
        <w:t>on</w:t>
      </w:r>
      <w:r w:rsidR="001F0B89" w:rsidRPr="00331DB9">
        <w:rPr>
          <w:rFonts w:ascii="Times New Roman" w:hAnsi="Times New Roman"/>
          <w:b/>
        </w:rPr>
        <w:t xml:space="preserve"> </w:t>
      </w:r>
      <w:bookmarkStart w:id="1" w:name="_Hlk160810324"/>
      <w:r w:rsidR="00A602B8">
        <w:rPr>
          <w:rFonts w:ascii="Times New Roman" w:hAnsi="Times New Roman"/>
          <w:b/>
        </w:rPr>
        <w:t>p</w:t>
      </w:r>
      <w:r w:rsidR="001D4EEA" w:rsidRPr="001D4EEA">
        <w:rPr>
          <w:rFonts w:ascii="Times New Roman" w:hAnsi="Times New Roman"/>
          <w:b/>
        </w:rPr>
        <w:t>ublic access to documents – annual report for the years 2019-2021</w:t>
      </w:r>
      <w:bookmarkEnd w:id="1"/>
    </w:p>
    <w:p w14:paraId="222E65B7" w14:textId="708B441A" w:rsidR="00963420" w:rsidRPr="001D4EEA" w:rsidRDefault="00963420" w:rsidP="0084310E">
      <w:pPr>
        <w:numPr>
          <w:ilvl w:val="0"/>
          <w:numId w:val="34"/>
        </w:numPr>
        <w:ind w:left="567" w:hanging="567"/>
        <w:rPr>
          <w:rFonts w:ascii="Times New Roman" w:hAnsi="Times New Roman"/>
          <w:szCs w:val="24"/>
          <w:lang w:val="fr-BE"/>
        </w:rPr>
      </w:pPr>
      <w:r w:rsidRPr="001D4EEA">
        <w:rPr>
          <w:rFonts w:ascii="Times New Roman" w:hAnsi="Times New Roman"/>
          <w:b/>
          <w:szCs w:val="24"/>
          <w:lang w:val="fr-BE"/>
        </w:rPr>
        <w:t>Rapporteur:</w:t>
      </w:r>
      <w:r w:rsidRPr="001D4EEA">
        <w:rPr>
          <w:rFonts w:ascii="Times New Roman" w:hAnsi="Times New Roman"/>
          <w:szCs w:val="24"/>
          <w:lang w:val="fr-BE"/>
        </w:rPr>
        <w:t xml:space="preserve"> </w:t>
      </w:r>
      <w:r w:rsidR="001D4EEA" w:rsidRPr="001D4EEA">
        <w:rPr>
          <w:rFonts w:ascii="Times New Roman" w:hAnsi="Times New Roman"/>
          <w:szCs w:val="24"/>
          <w:lang w:val="fr-BE"/>
        </w:rPr>
        <w:t>Evin I</w:t>
      </w:r>
      <w:r w:rsidR="00A602B8">
        <w:rPr>
          <w:rFonts w:ascii="Times New Roman" w:hAnsi="Times New Roman"/>
          <w:szCs w:val="24"/>
          <w:lang w:val="fr-BE"/>
        </w:rPr>
        <w:t>NCIR</w:t>
      </w:r>
      <w:r w:rsidR="001D4EEA" w:rsidRPr="001D4EEA">
        <w:rPr>
          <w:rFonts w:ascii="Times New Roman" w:hAnsi="Times New Roman"/>
          <w:szCs w:val="24"/>
          <w:lang w:val="fr-BE"/>
        </w:rPr>
        <w:t xml:space="preserve"> (S&amp;D / SE)</w:t>
      </w:r>
    </w:p>
    <w:p w14:paraId="6900E183" w14:textId="29C0977A" w:rsidR="00963420" w:rsidRPr="001D4EEA" w:rsidRDefault="00063DCE" w:rsidP="0084310E">
      <w:pPr>
        <w:pStyle w:val="Default"/>
        <w:numPr>
          <w:ilvl w:val="0"/>
          <w:numId w:val="34"/>
        </w:numPr>
        <w:spacing w:after="240"/>
        <w:ind w:left="567" w:hanging="567"/>
        <w:jc w:val="both"/>
        <w:rPr>
          <w:color w:val="auto"/>
          <w:lang w:val="en-IE"/>
        </w:rPr>
      </w:pPr>
      <w:r w:rsidRPr="001D4EEA">
        <w:rPr>
          <w:b/>
          <w:color w:val="auto"/>
          <w:lang w:val="en-IE"/>
        </w:rPr>
        <w:t>R</w:t>
      </w:r>
      <w:r w:rsidR="00963420" w:rsidRPr="001D4EEA">
        <w:rPr>
          <w:b/>
          <w:color w:val="auto"/>
          <w:lang w:val="en-IE"/>
        </w:rPr>
        <w:t xml:space="preserve">eference number: </w:t>
      </w:r>
      <w:r w:rsidR="001D4EEA" w:rsidRPr="001D4EEA">
        <w:rPr>
          <w:color w:val="auto"/>
          <w:lang w:val="en-IE"/>
        </w:rPr>
        <w:t>2022/2015</w:t>
      </w:r>
      <w:r w:rsidR="00A602B8">
        <w:rPr>
          <w:color w:val="auto"/>
          <w:lang w:val="en-IE"/>
        </w:rPr>
        <w:t xml:space="preserve"> </w:t>
      </w:r>
      <w:r w:rsidR="001D4EEA" w:rsidRPr="001D4EEA">
        <w:rPr>
          <w:color w:val="auto"/>
          <w:lang w:val="en-IE"/>
        </w:rPr>
        <w:t>(INI) / A9-0179/2023 / P9_TA(2023)0295</w:t>
      </w:r>
    </w:p>
    <w:p w14:paraId="61D85C18" w14:textId="2A6650FB" w:rsidR="001F0B89" w:rsidRPr="001D4EEA" w:rsidRDefault="00963420" w:rsidP="0084310E">
      <w:pPr>
        <w:numPr>
          <w:ilvl w:val="0"/>
          <w:numId w:val="34"/>
        </w:numPr>
        <w:ind w:left="567" w:hanging="567"/>
        <w:rPr>
          <w:rFonts w:ascii="Times New Roman" w:hAnsi="Times New Roman"/>
          <w:szCs w:val="24"/>
        </w:rPr>
      </w:pPr>
      <w:r w:rsidRPr="001D4EEA">
        <w:rPr>
          <w:rFonts w:ascii="Times New Roman" w:hAnsi="Times New Roman"/>
          <w:b/>
          <w:szCs w:val="24"/>
        </w:rPr>
        <w:t>Date of adoption of the resolution:</w:t>
      </w:r>
      <w:r w:rsidRPr="001D4EEA">
        <w:rPr>
          <w:rFonts w:ascii="Times New Roman" w:hAnsi="Times New Roman"/>
          <w:szCs w:val="24"/>
        </w:rPr>
        <w:t xml:space="preserve"> </w:t>
      </w:r>
      <w:r w:rsidR="001D4EEA" w:rsidRPr="001D4EEA">
        <w:rPr>
          <w:rFonts w:ascii="Times New Roman" w:hAnsi="Times New Roman"/>
          <w:szCs w:val="24"/>
        </w:rPr>
        <w:t>13 July 2023</w:t>
      </w:r>
    </w:p>
    <w:p w14:paraId="4451E813" w14:textId="1D86ED7D" w:rsidR="00963420" w:rsidRPr="001D4EEA" w:rsidRDefault="00963420" w:rsidP="0084310E">
      <w:pPr>
        <w:numPr>
          <w:ilvl w:val="0"/>
          <w:numId w:val="34"/>
        </w:numPr>
        <w:ind w:left="567" w:hanging="567"/>
        <w:rPr>
          <w:rFonts w:ascii="Times New Roman" w:hAnsi="Times New Roman"/>
          <w:szCs w:val="24"/>
        </w:rPr>
      </w:pPr>
      <w:r w:rsidRPr="001D4EEA">
        <w:rPr>
          <w:rFonts w:ascii="Times New Roman" w:hAnsi="Times New Roman"/>
          <w:b/>
          <w:szCs w:val="24"/>
        </w:rPr>
        <w:t xml:space="preserve">Competent Parliamentary Committee: </w:t>
      </w:r>
      <w:r w:rsidR="00EA2741" w:rsidRPr="001D4EEA">
        <w:rPr>
          <w:rFonts w:ascii="Times New Roman" w:hAnsi="Times New Roman"/>
          <w:szCs w:val="24"/>
        </w:rPr>
        <w:t xml:space="preserve">Committee on </w:t>
      </w:r>
      <w:r w:rsidRPr="001D4EEA">
        <w:rPr>
          <w:rFonts w:ascii="Times New Roman" w:hAnsi="Times New Roman"/>
          <w:szCs w:val="24"/>
        </w:rPr>
        <w:t>Civil Liberties, Justice and Home Affairs (LIBE</w:t>
      </w:r>
      <w:r w:rsidR="009E71AF" w:rsidRPr="001D4EEA">
        <w:rPr>
          <w:rFonts w:ascii="Times New Roman" w:hAnsi="Times New Roman"/>
          <w:szCs w:val="24"/>
        </w:rPr>
        <w:t>)</w:t>
      </w:r>
    </w:p>
    <w:p w14:paraId="05DCCF0F" w14:textId="77777777" w:rsidR="00683F4E" w:rsidRDefault="00963420" w:rsidP="007036AA">
      <w:pPr>
        <w:widowControl w:val="0"/>
        <w:numPr>
          <w:ilvl w:val="0"/>
          <w:numId w:val="34"/>
        </w:numPr>
        <w:ind w:left="567" w:hanging="567"/>
        <w:rPr>
          <w:rFonts w:ascii="Times New Roman" w:hAnsi="Times New Roman"/>
          <w:b/>
          <w:szCs w:val="24"/>
        </w:rPr>
      </w:pPr>
      <w:r w:rsidRPr="004F385C">
        <w:rPr>
          <w:rFonts w:ascii="Times New Roman" w:hAnsi="Times New Roman"/>
          <w:b/>
          <w:szCs w:val="24"/>
        </w:rPr>
        <w:t>Brief analysis/</w:t>
      </w:r>
      <w:r w:rsidR="00AB3960" w:rsidRPr="004F385C">
        <w:rPr>
          <w:rFonts w:ascii="Times New Roman" w:hAnsi="Times New Roman"/>
          <w:b/>
          <w:szCs w:val="24"/>
        </w:rPr>
        <w:t xml:space="preserve"> </w:t>
      </w:r>
      <w:r w:rsidRPr="004F385C">
        <w:rPr>
          <w:rFonts w:ascii="Times New Roman" w:hAnsi="Times New Roman"/>
          <w:b/>
          <w:szCs w:val="24"/>
        </w:rPr>
        <w:t>assessment of the resolution and requests made in it:</w:t>
      </w:r>
    </w:p>
    <w:p w14:paraId="1540F533" w14:textId="1023865C" w:rsidR="00963420" w:rsidRPr="007036AA" w:rsidRDefault="001D4EEA" w:rsidP="00A602B8">
      <w:pPr>
        <w:widowControl w:val="0"/>
        <w:spacing w:after="120"/>
        <w:rPr>
          <w:rFonts w:ascii="Times New Roman" w:hAnsi="Times New Roman"/>
          <w:b/>
          <w:szCs w:val="24"/>
        </w:rPr>
      </w:pPr>
      <w:r w:rsidRPr="004F385C">
        <w:rPr>
          <w:rFonts w:ascii="Times New Roman" w:hAnsi="Times New Roman"/>
          <w:bCs/>
          <w:szCs w:val="24"/>
        </w:rPr>
        <w:t xml:space="preserve">The European Parliament adopted a resolution on public access to documents with regard to annual report for the years 2019-2021. </w:t>
      </w:r>
      <w:r w:rsidR="009A5831" w:rsidRPr="004F385C">
        <w:rPr>
          <w:rFonts w:ascii="Times New Roman" w:hAnsi="Times New Roman"/>
          <w:bCs/>
          <w:szCs w:val="24"/>
        </w:rPr>
        <w:t xml:space="preserve">It recalled the basic principles </w:t>
      </w:r>
      <w:r w:rsidR="000912F1">
        <w:rPr>
          <w:rFonts w:ascii="Times New Roman" w:hAnsi="Times New Roman"/>
          <w:bCs/>
          <w:szCs w:val="24"/>
        </w:rPr>
        <w:t xml:space="preserve">enshrined in the Treaties, in </w:t>
      </w:r>
      <w:r w:rsidR="009A5831" w:rsidRPr="004F385C">
        <w:rPr>
          <w:rFonts w:ascii="Times New Roman" w:hAnsi="Times New Roman"/>
          <w:bCs/>
          <w:szCs w:val="24"/>
        </w:rPr>
        <w:t>Regulation (EC) No 1049/20</w:t>
      </w:r>
      <w:r w:rsidR="009A5831" w:rsidRPr="004667BB">
        <w:rPr>
          <w:rFonts w:ascii="Times New Roman" w:hAnsi="Times New Roman"/>
          <w:bCs/>
          <w:szCs w:val="24"/>
        </w:rPr>
        <w:t>01</w:t>
      </w:r>
      <w:r w:rsidR="006E70DA" w:rsidRPr="004667BB">
        <w:rPr>
          <w:rStyle w:val="FootnoteReference"/>
          <w:rFonts w:ascii="Times New Roman" w:hAnsi="Times New Roman"/>
        </w:rPr>
        <w:footnoteReference w:id="2"/>
      </w:r>
      <w:r w:rsidR="009A5831" w:rsidRPr="004667BB">
        <w:rPr>
          <w:rFonts w:ascii="Times New Roman" w:hAnsi="Times New Roman"/>
          <w:bCs/>
          <w:szCs w:val="24"/>
        </w:rPr>
        <w:t xml:space="preserve"> on access to documents, the findings of the European Ombudsman and the recent case-law of the EU Courts. </w:t>
      </w:r>
      <w:r w:rsidR="004F385C" w:rsidRPr="004667BB">
        <w:rPr>
          <w:rFonts w:ascii="Times New Roman" w:hAnsi="Times New Roman"/>
          <w:bCs/>
          <w:szCs w:val="24"/>
        </w:rPr>
        <w:t>T</w:t>
      </w:r>
      <w:r w:rsidR="009A5831" w:rsidRPr="004667BB">
        <w:rPr>
          <w:rFonts w:ascii="Times New Roman" w:hAnsi="Times New Roman"/>
          <w:bCs/>
          <w:szCs w:val="24"/>
        </w:rPr>
        <w:t>he Parliament stressed that the EU institutions adhere to the</w:t>
      </w:r>
      <w:r w:rsidR="009A5831" w:rsidRPr="004F385C">
        <w:rPr>
          <w:rFonts w:ascii="Times New Roman" w:hAnsi="Times New Roman"/>
          <w:bCs/>
          <w:szCs w:val="24"/>
        </w:rPr>
        <w:t xml:space="preserve"> principle of transparency laid down in the Treaties and Regulation (EC) No 1049/2001.</w:t>
      </w:r>
      <w:r w:rsidR="004F385C" w:rsidRPr="004F385C">
        <w:rPr>
          <w:rFonts w:ascii="Times New Roman" w:hAnsi="Times New Roman"/>
          <w:bCs/>
          <w:szCs w:val="24"/>
        </w:rPr>
        <w:t xml:space="preserve"> In this respect, it took account </w:t>
      </w:r>
      <w:r w:rsidR="000912F1">
        <w:rPr>
          <w:rFonts w:ascii="Times New Roman" w:hAnsi="Times New Roman"/>
          <w:bCs/>
          <w:szCs w:val="24"/>
        </w:rPr>
        <w:t xml:space="preserve">of </w:t>
      </w:r>
      <w:r w:rsidR="004F385C" w:rsidRPr="004F385C">
        <w:rPr>
          <w:rFonts w:ascii="Times New Roman" w:hAnsi="Times New Roman"/>
          <w:bCs/>
          <w:szCs w:val="24"/>
        </w:rPr>
        <w:t xml:space="preserve">the statistics on access to documents applications among EU institutions and expressed its concerns regarding the </w:t>
      </w:r>
      <w:r w:rsidR="000912F1">
        <w:rPr>
          <w:rFonts w:ascii="Times New Roman" w:hAnsi="Times New Roman"/>
          <w:bCs/>
          <w:szCs w:val="24"/>
        </w:rPr>
        <w:t xml:space="preserve">delays and </w:t>
      </w:r>
      <w:r w:rsidR="004F385C" w:rsidRPr="004F385C">
        <w:rPr>
          <w:rFonts w:ascii="Times New Roman" w:hAnsi="Times New Roman"/>
          <w:bCs/>
          <w:szCs w:val="24"/>
        </w:rPr>
        <w:t>frequent use of the exceptions in Article 4 of Regulation (EC) No 1049/2001</w:t>
      </w:r>
      <w:r w:rsidR="000912F1">
        <w:rPr>
          <w:rFonts w:ascii="Times New Roman" w:hAnsi="Times New Roman"/>
          <w:bCs/>
          <w:szCs w:val="24"/>
        </w:rPr>
        <w:t>. It also</w:t>
      </w:r>
      <w:r w:rsidR="004F385C">
        <w:rPr>
          <w:rFonts w:ascii="Times New Roman" w:hAnsi="Times New Roman"/>
          <w:bCs/>
          <w:szCs w:val="24"/>
        </w:rPr>
        <w:t xml:space="preserve"> </w:t>
      </w:r>
      <w:r w:rsidR="000912F1" w:rsidRPr="004F385C">
        <w:rPr>
          <w:rFonts w:ascii="Times New Roman" w:hAnsi="Times New Roman"/>
          <w:bCs/>
          <w:szCs w:val="24"/>
        </w:rPr>
        <w:t>expressed its concerns regarding</w:t>
      </w:r>
      <w:r w:rsidR="000912F1">
        <w:rPr>
          <w:rFonts w:ascii="Times New Roman" w:hAnsi="Times New Roman"/>
          <w:bCs/>
          <w:szCs w:val="24"/>
        </w:rPr>
        <w:t xml:space="preserve"> </w:t>
      </w:r>
      <w:r w:rsidR="004F385C">
        <w:rPr>
          <w:rFonts w:ascii="Times New Roman" w:hAnsi="Times New Roman"/>
          <w:bCs/>
          <w:szCs w:val="24"/>
        </w:rPr>
        <w:t xml:space="preserve">the </w:t>
      </w:r>
      <w:r w:rsidR="004F385C" w:rsidRPr="007036AA">
        <w:rPr>
          <w:rFonts w:ascii="Times New Roman" w:hAnsi="Times New Roman"/>
          <w:bCs/>
          <w:szCs w:val="24"/>
        </w:rPr>
        <w:t xml:space="preserve">Commission’s handling of a request for public access to text messages between the Commission’s President and the CEO of a pharmaceutical company </w:t>
      </w:r>
      <w:r w:rsidR="000912F1">
        <w:rPr>
          <w:rFonts w:ascii="Times New Roman" w:hAnsi="Times New Roman"/>
          <w:bCs/>
          <w:szCs w:val="24"/>
        </w:rPr>
        <w:t xml:space="preserve">on </w:t>
      </w:r>
      <w:r w:rsidR="004F385C" w:rsidRPr="007036AA">
        <w:rPr>
          <w:rFonts w:ascii="Times New Roman" w:hAnsi="Times New Roman"/>
          <w:bCs/>
          <w:szCs w:val="24"/>
        </w:rPr>
        <w:t>the Commission’s purchase of COVID-19 vaccines.</w:t>
      </w:r>
      <w:r w:rsidR="00BC1F72" w:rsidRPr="007036AA">
        <w:rPr>
          <w:rFonts w:ascii="Times New Roman" w:hAnsi="Times New Roman"/>
          <w:bCs/>
          <w:szCs w:val="24"/>
        </w:rPr>
        <w:t xml:space="preserve"> Furthermore, the Parliament regretted </w:t>
      </w:r>
      <w:r w:rsidR="007036AA" w:rsidRPr="007036AA">
        <w:rPr>
          <w:rFonts w:ascii="Times New Roman" w:hAnsi="Times New Roman"/>
          <w:bCs/>
          <w:szCs w:val="24"/>
        </w:rPr>
        <w:t xml:space="preserve">the frequently over-classified documents, </w:t>
      </w:r>
      <w:r w:rsidR="00BC1F72" w:rsidRPr="007036AA">
        <w:rPr>
          <w:rFonts w:ascii="Times New Roman" w:hAnsi="Times New Roman"/>
          <w:bCs/>
          <w:szCs w:val="24"/>
        </w:rPr>
        <w:t xml:space="preserve">the lack of proactive publication and </w:t>
      </w:r>
      <w:r w:rsidR="007036AA" w:rsidRPr="007036AA">
        <w:rPr>
          <w:rFonts w:ascii="Times New Roman" w:hAnsi="Times New Roman"/>
          <w:szCs w:val="24"/>
          <w:lang w:val="en-IE"/>
        </w:rPr>
        <w:t>called for more transparency of</w:t>
      </w:r>
      <w:r w:rsidR="00BC1F72" w:rsidRPr="007036AA">
        <w:rPr>
          <w:rFonts w:ascii="Times New Roman" w:hAnsi="Times New Roman"/>
          <w:bCs/>
          <w:szCs w:val="24"/>
        </w:rPr>
        <w:t xml:space="preserve"> the EU institutions</w:t>
      </w:r>
      <w:r w:rsidR="007036AA" w:rsidRPr="007036AA">
        <w:rPr>
          <w:rFonts w:ascii="Times New Roman" w:hAnsi="Times New Roman"/>
          <w:bCs/>
          <w:szCs w:val="24"/>
        </w:rPr>
        <w:t>, bodies and agencies</w:t>
      </w:r>
      <w:r w:rsidR="00BC1F72" w:rsidRPr="007036AA">
        <w:rPr>
          <w:rFonts w:ascii="Times New Roman" w:hAnsi="Times New Roman"/>
          <w:bCs/>
          <w:szCs w:val="24"/>
        </w:rPr>
        <w:t>.</w:t>
      </w:r>
      <w:r w:rsidR="007036AA" w:rsidRPr="007036AA">
        <w:rPr>
          <w:rFonts w:ascii="Times New Roman" w:hAnsi="Times New Roman"/>
          <w:bCs/>
          <w:szCs w:val="24"/>
        </w:rPr>
        <w:t xml:space="preserve"> On </w:t>
      </w:r>
      <w:r w:rsidR="007036AA" w:rsidRPr="007036AA">
        <w:rPr>
          <w:rFonts w:ascii="Times New Roman" w:hAnsi="Times New Roman"/>
          <w:szCs w:val="24"/>
          <w:lang w:val="en-IE"/>
        </w:rPr>
        <w:t xml:space="preserve">legislative state of play, the Parliament </w:t>
      </w:r>
      <w:r w:rsidR="007036AA" w:rsidRPr="007036AA">
        <w:rPr>
          <w:rFonts w:ascii="Times New Roman" w:hAnsi="Times New Roman"/>
          <w:szCs w:val="24"/>
        </w:rPr>
        <w:t>noted that any revision of Regulation (EC) No 1049/2001 should not lower the current level of transparency</w:t>
      </w:r>
      <w:r w:rsidR="007036AA">
        <w:rPr>
          <w:rFonts w:ascii="Times New Roman" w:hAnsi="Times New Roman"/>
          <w:szCs w:val="24"/>
        </w:rPr>
        <w:t xml:space="preserve">, </w:t>
      </w:r>
      <w:r w:rsidR="007036AA" w:rsidRPr="007036AA">
        <w:rPr>
          <w:rFonts w:ascii="Times New Roman" w:hAnsi="Times New Roman"/>
          <w:szCs w:val="24"/>
        </w:rPr>
        <w:t>deplored that negotiations have long been at a standstill and urged the Council and the Commission to resume negotiations with the other institutions on the basis of the Commission’s proposals from 2008 and 2011</w:t>
      </w:r>
      <w:r w:rsidR="000912F1">
        <w:rPr>
          <w:rFonts w:ascii="Times New Roman" w:hAnsi="Times New Roman"/>
          <w:szCs w:val="24"/>
        </w:rPr>
        <w:t>.</w:t>
      </w:r>
    </w:p>
    <w:p w14:paraId="43E84470" w14:textId="77777777" w:rsidR="003A5A87" w:rsidRPr="003A5A87" w:rsidRDefault="00963420" w:rsidP="00FC44A5">
      <w:pPr>
        <w:widowControl w:val="0"/>
        <w:numPr>
          <w:ilvl w:val="0"/>
          <w:numId w:val="34"/>
        </w:numPr>
        <w:ind w:left="567" w:hanging="567"/>
        <w:rPr>
          <w:rFonts w:ascii="Times New Roman" w:hAnsi="Times New Roman"/>
          <w:szCs w:val="24"/>
        </w:rPr>
      </w:pPr>
      <w:r w:rsidRPr="00C33439">
        <w:rPr>
          <w:rFonts w:ascii="Times New Roman" w:hAnsi="Times New Roman"/>
          <w:b/>
          <w:szCs w:val="24"/>
        </w:rPr>
        <w:t>Response to requests and overview of action</w:t>
      </w:r>
      <w:r w:rsidR="001946EE">
        <w:rPr>
          <w:rFonts w:ascii="Times New Roman" w:hAnsi="Times New Roman"/>
          <w:b/>
          <w:szCs w:val="24"/>
        </w:rPr>
        <w:t>s</w:t>
      </w:r>
      <w:r w:rsidRPr="00C33439">
        <w:rPr>
          <w:rFonts w:ascii="Times New Roman" w:hAnsi="Times New Roman"/>
          <w:b/>
          <w:szCs w:val="24"/>
        </w:rPr>
        <w:t xml:space="preserve"> taken, or intended to be taken, by the Commission:</w:t>
      </w:r>
    </w:p>
    <w:p w14:paraId="2F7309DF" w14:textId="3A41F910" w:rsidR="00B92979" w:rsidRPr="00B92979" w:rsidRDefault="003A5A87" w:rsidP="00683F4E">
      <w:pPr>
        <w:widowControl w:val="0"/>
        <w:spacing w:after="120"/>
        <w:rPr>
          <w:rFonts w:ascii="Times New Roman" w:hAnsi="Times New Roman"/>
          <w:bCs/>
          <w:szCs w:val="24"/>
        </w:rPr>
      </w:pPr>
      <w:r w:rsidRPr="00B92979">
        <w:rPr>
          <w:rFonts w:ascii="Times New Roman" w:hAnsi="Times New Roman"/>
          <w:szCs w:val="24"/>
        </w:rPr>
        <w:t>Regarding paragraph</w:t>
      </w:r>
      <w:r w:rsidR="00A22CC1" w:rsidRPr="00B92979">
        <w:rPr>
          <w:rFonts w:ascii="Times New Roman" w:hAnsi="Times New Roman"/>
          <w:szCs w:val="24"/>
        </w:rPr>
        <w:t>s</w:t>
      </w:r>
      <w:r w:rsidRPr="00B92979">
        <w:rPr>
          <w:rFonts w:ascii="Times New Roman" w:hAnsi="Times New Roman"/>
          <w:szCs w:val="24"/>
        </w:rPr>
        <w:t xml:space="preserve"> </w:t>
      </w:r>
      <w:r w:rsidR="004A3C5D" w:rsidRPr="00B92979">
        <w:rPr>
          <w:rFonts w:ascii="Times New Roman" w:hAnsi="Times New Roman"/>
          <w:szCs w:val="24"/>
        </w:rPr>
        <w:t>2</w:t>
      </w:r>
      <w:r w:rsidR="00A22CC1" w:rsidRPr="00B92979">
        <w:rPr>
          <w:rFonts w:ascii="Times New Roman" w:hAnsi="Times New Roman"/>
          <w:szCs w:val="24"/>
        </w:rPr>
        <w:t>, 3, 4</w:t>
      </w:r>
      <w:r w:rsidR="00F803B8" w:rsidRPr="00B92979">
        <w:rPr>
          <w:rFonts w:ascii="Times New Roman" w:hAnsi="Times New Roman"/>
          <w:szCs w:val="24"/>
        </w:rPr>
        <w:t>,</w:t>
      </w:r>
      <w:r w:rsidR="00A22CC1" w:rsidRPr="00B92979">
        <w:rPr>
          <w:rFonts w:ascii="Times New Roman" w:hAnsi="Times New Roman"/>
          <w:szCs w:val="24"/>
        </w:rPr>
        <w:t xml:space="preserve"> 5</w:t>
      </w:r>
      <w:r w:rsidR="004B3BE1" w:rsidRPr="00B92979">
        <w:rPr>
          <w:rFonts w:ascii="Times New Roman" w:hAnsi="Times New Roman"/>
          <w:szCs w:val="24"/>
        </w:rPr>
        <w:t xml:space="preserve">, </w:t>
      </w:r>
      <w:r w:rsidR="00F803B8" w:rsidRPr="00B92979">
        <w:rPr>
          <w:rFonts w:ascii="Times New Roman" w:hAnsi="Times New Roman"/>
          <w:szCs w:val="24"/>
        </w:rPr>
        <w:t>32</w:t>
      </w:r>
      <w:r w:rsidR="004B3BE1" w:rsidRPr="00B92979">
        <w:rPr>
          <w:rFonts w:ascii="Times New Roman" w:hAnsi="Times New Roman"/>
          <w:szCs w:val="24"/>
        </w:rPr>
        <w:t>, 40 and 42</w:t>
      </w:r>
      <w:r w:rsidR="002F0F04" w:rsidRPr="00B92979">
        <w:rPr>
          <w:rFonts w:ascii="Times New Roman" w:hAnsi="Times New Roman"/>
          <w:szCs w:val="24"/>
        </w:rPr>
        <w:t xml:space="preserve"> on the implementation of Regulation (EC) No 1049/2001</w:t>
      </w:r>
      <w:r w:rsidRPr="00B92979">
        <w:rPr>
          <w:rFonts w:ascii="Times New Roman" w:hAnsi="Times New Roman"/>
          <w:szCs w:val="24"/>
        </w:rPr>
        <w:t>,</w:t>
      </w:r>
      <w:r w:rsidR="004A3C5D" w:rsidRPr="00B92979">
        <w:rPr>
          <w:rFonts w:ascii="Times New Roman" w:hAnsi="Times New Roman"/>
          <w:szCs w:val="24"/>
        </w:rPr>
        <w:t xml:space="preserve"> the Commission indeed receives the highest number of applications for public access to documents</w:t>
      </w:r>
      <w:r w:rsidR="00B177E3" w:rsidRPr="00B92979">
        <w:rPr>
          <w:rFonts w:ascii="Times New Roman" w:hAnsi="Times New Roman"/>
          <w:szCs w:val="24"/>
        </w:rPr>
        <w:t xml:space="preserve"> of all the institutions</w:t>
      </w:r>
      <w:r w:rsidR="004A3C5D" w:rsidRPr="00B92979">
        <w:rPr>
          <w:rFonts w:ascii="Times New Roman" w:hAnsi="Times New Roman"/>
          <w:szCs w:val="24"/>
        </w:rPr>
        <w:t xml:space="preserve">. </w:t>
      </w:r>
      <w:r w:rsidR="00247930" w:rsidRPr="00B92979">
        <w:rPr>
          <w:rFonts w:ascii="Times New Roman" w:hAnsi="Times New Roman"/>
          <w:szCs w:val="24"/>
        </w:rPr>
        <w:t>T</w:t>
      </w:r>
      <w:r w:rsidR="004A3C5D" w:rsidRPr="00B92979">
        <w:rPr>
          <w:rFonts w:ascii="Times New Roman" w:hAnsi="Times New Roman"/>
          <w:szCs w:val="24"/>
        </w:rPr>
        <w:t>his trend is confirmed in the latest annual report for the year 2022</w:t>
      </w:r>
      <w:r w:rsidR="00B177E3" w:rsidRPr="00B92979">
        <w:rPr>
          <w:rFonts w:ascii="Times New Roman" w:hAnsi="Times New Roman"/>
          <w:szCs w:val="24"/>
        </w:rPr>
        <w:t>. The number of initial applications received by the Commission in 2022 reached 7410.</w:t>
      </w:r>
      <w:r w:rsidR="0054483C" w:rsidRPr="00B92979">
        <w:rPr>
          <w:rFonts w:ascii="Times New Roman" w:hAnsi="Times New Roman"/>
          <w:szCs w:val="24"/>
        </w:rPr>
        <w:t xml:space="preserve"> </w:t>
      </w:r>
      <w:r w:rsidR="00B177E3" w:rsidRPr="00B92979">
        <w:rPr>
          <w:rFonts w:ascii="Times New Roman" w:hAnsi="Times New Roman"/>
          <w:szCs w:val="24"/>
        </w:rPr>
        <w:t>As regards confirmatory applications requesting a review by the Commission of initial replies fully or partially refusing access, their number reached 418 in 2022, which reflects a striking increase of almost 17.8% in comparison with 2021 and is the highest ever recorded.</w:t>
      </w:r>
      <w:r w:rsidR="0054483C" w:rsidRPr="00B92979">
        <w:rPr>
          <w:rFonts w:ascii="Times New Roman" w:hAnsi="Times New Roman"/>
          <w:szCs w:val="24"/>
        </w:rPr>
        <w:t xml:space="preserve"> The statistics </w:t>
      </w:r>
      <w:r w:rsidR="004B3BE1" w:rsidRPr="00B92979">
        <w:rPr>
          <w:rFonts w:ascii="Times New Roman" w:hAnsi="Times New Roman"/>
          <w:szCs w:val="24"/>
        </w:rPr>
        <w:t xml:space="preserve">confirm the strict interpretation of the exceptions by the Commission, as </w:t>
      </w:r>
      <w:r w:rsidR="0054483C" w:rsidRPr="00B92979">
        <w:rPr>
          <w:rFonts w:ascii="Times New Roman" w:hAnsi="Times New Roman"/>
          <w:szCs w:val="24"/>
        </w:rPr>
        <w:t xml:space="preserve">the requested documents were fully or partially disclosed in more than 77% of the cases at the initial stage and that wider or even full access was granted in more than a half of the cases reviewed at the confirmatory stage. The data not only confirm the openness of the Commission, but also the commitment of the institution to the right of access to documents as part of its overall transparency policy. </w:t>
      </w:r>
      <w:r w:rsidR="00C73474" w:rsidRPr="00B92979">
        <w:rPr>
          <w:rFonts w:ascii="Times New Roman" w:hAnsi="Times New Roman"/>
          <w:szCs w:val="24"/>
        </w:rPr>
        <w:t xml:space="preserve">Furthermore, the Commission would </w:t>
      </w:r>
      <w:r w:rsidR="00C73474" w:rsidRPr="00B92979">
        <w:rPr>
          <w:rFonts w:ascii="Times New Roman" w:hAnsi="Times New Roman"/>
          <w:szCs w:val="24"/>
        </w:rPr>
        <w:lastRenderedPageBreak/>
        <w:t xml:space="preserve">like to stress that the applicants are duly notified regarding the available remedies. In this respect, it is noteworthy that, in 2022, the European Ombudsman found instances of maladministration in only two of the 44 closed cases. In the same vein, in 2022, the General Court handed down 26 judgments or orders in proceedings to which the Commission was a party in relation to decisions concerning the right of public access to documents and it ordered the full or partial annulment in only three cases. </w:t>
      </w:r>
      <w:r w:rsidR="00247930" w:rsidRPr="00B92979">
        <w:rPr>
          <w:rFonts w:ascii="Times New Roman" w:hAnsi="Times New Roman"/>
          <w:szCs w:val="24"/>
        </w:rPr>
        <w:t xml:space="preserve">This further confirms high standards </w:t>
      </w:r>
      <w:r w:rsidR="00EE1C01" w:rsidRPr="00B92979">
        <w:rPr>
          <w:rFonts w:ascii="Times New Roman" w:hAnsi="Times New Roman"/>
          <w:szCs w:val="24"/>
        </w:rPr>
        <w:t>of</w:t>
      </w:r>
      <w:r w:rsidR="00247930" w:rsidRPr="00B92979">
        <w:rPr>
          <w:rFonts w:ascii="Times New Roman" w:hAnsi="Times New Roman"/>
          <w:szCs w:val="24"/>
        </w:rPr>
        <w:t xml:space="preserve"> the Commission’s implementation of Regulation (EC) No 1049/2001. </w:t>
      </w:r>
      <w:r w:rsidR="00E51FE4" w:rsidRPr="00B92979">
        <w:rPr>
          <w:rFonts w:ascii="Times New Roman" w:hAnsi="Times New Roman"/>
          <w:szCs w:val="24"/>
        </w:rPr>
        <w:t>With respect to the statistics and delays, t</w:t>
      </w:r>
      <w:r w:rsidR="004A3C5D" w:rsidRPr="00B92979">
        <w:rPr>
          <w:rFonts w:ascii="Times New Roman" w:hAnsi="Times New Roman"/>
          <w:szCs w:val="24"/>
        </w:rPr>
        <w:t>he Commission has already provided detailed elements in response to the European Ombudsman’s strategic inquiry with reference number OI/2/2022/OAM</w:t>
      </w:r>
      <w:r w:rsidR="0054483C" w:rsidRPr="00B92979">
        <w:rPr>
          <w:rFonts w:ascii="Times New Roman" w:hAnsi="Times New Roman"/>
          <w:szCs w:val="24"/>
        </w:rPr>
        <w:t>. The statistics on the delays provided to the European Ombudsman in the framework of this strategic inquiry are available to the public</w:t>
      </w:r>
      <w:r w:rsidR="00AE0E89">
        <w:rPr>
          <w:rFonts w:ascii="Times New Roman" w:hAnsi="Times New Roman"/>
          <w:szCs w:val="24"/>
        </w:rPr>
        <w:t xml:space="preserve"> on </w:t>
      </w:r>
      <w:r w:rsidR="00AE0E89" w:rsidRPr="00B92979">
        <w:rPr>
          <w:rFonts w:ascii="Times New Roman" w:hAnsi="Times New Roman"/>
          <w:szCs w:val="24"/>
        </w:rPr>
        <w:t>the European Ombudsman’s</w:t>
      </w:r>
      <w:r w:rsidR="00AE0E89">
        <w:rPr>
          <w:rFonts w:ascii="Times New Roman" w:hAnsi="Times New Roman"/>
          <w:szCs w:val="24"/>
        </w:rPr>
        <w:t xml:space="preserve"> website</w:t>
      </w:r>
      <w:r w:rsidR="00AE0E89">
        <w:rPr>
          <w:rStyle w:val="FootnoteReference"/>
          <w:rFonts w:ascii="Times New Roman" w:hAnsi="Times New Roman"/>
          <w:szCs w:val="24"/>
        </w:rPr>
        <w:footnoteReference w:id="3"/>
      </w:r>
      <w:r w:rsidR="004A3C5D" w:rsidRPr="00B92979">
        <w:rPr>
          <w:rFonts w:ascii="Times New Roman" w:hAnsi="Times New Roman"/>
          <w:szCs w:val="24"/>
        </w:rPr>
        <w:t xml:space="preserve">. The Commission would like to reiterate that </w:t>
      </w:r>
      <w:r w:rsidR="00A22CC1" w:rsidRPr="00B92979">
        <w:rPr>
          <w:rFonts w:ascii="Times New Roman" w:hAnsi="Times New Roman"/>
          <w:szCs w:val="24"/>
        </w:rPr>
        <w:t>the European Ombudsman’s finding of maladministration concerns the confirmatory stage of the access to documents procedure, which represents only a limited part of the total applications received by the Commission, 4% in 2021 and 5% in 2022.</w:t>
      </w:r>
    </w:p>
    <w:p w14:paraId="6FF96C35" w14:textId="719F3668" w:rsidR="00B92979" w:rsidRDefault="00247930" w:rsidP="00683F4E">
      <w:pPr>
        <w:widowControl w:val="0"/>
        <w:spacing w:after="120"/>
        <w:rPr>
          <w:rFonts w:ascii="Times New Roman" w:hAnsi="Times New Roman"/>
          <w:szCs w:val="24"/>
        </w:rPr>
      </w:pPr>
      <w:r w:rsidRPr="00B92979">
        <w:rPr>
          <w:rFonts w:ascii="Times New Roman" w:hAnsi="Times New Roman"/>
          <w:szCs w:val="24"/>
        </w:rPr>
        <w:t xml:space="preserve">Regarding paragraphs </w:t>
      </w:r>
      <w:r w:rsidR="00A464E6" w:rsidRPr="00B92979">
        <w:rPr>
          <w:rFonts w:ascii="Times New Roman" w:hAnsi="Times New Roman"/>
          <w:szCs w:val="24"/>
        </w:rPr>
        <w:t>6</w:t>
      </w:r>
      <w:r w:rsidR="00C45EA3" w:rsidRPr="00B92979">
        <w:rPr>
          <w:rFonts w:ascii="Times New Roman" w:hAnsi="Times New Roman"/>
          <w:szCs w:val="24"/>
        </w:rPr>
        <w:t>,</w:t>
      </w:r>
      <w:r w:rsidR="00A464E6" w:rsidRPr="00B92979">
        <w:rPr>
          <w:rFonts w:ascii="Times New Roman" w:hAnsi="Times New Roman"/>
          <w:szCs w:val="24"/>
        </w:rPr>
        <w:t xml:space="preserve"> 7</w:t>
      </w:r>
      <w:r w:rsidR="00C45EA3" w:rsidRPr="00B92979">
        <w:rPr>
          <w:rFonts w:ascii="Times New Roman" w:hAnsi="Times New Roman"/>
          <w:szCs w:val="24"/>
        </w:rPr>
        <w:t xml:space="preserve"> and 29</w:t>
      </w:r>
      <w:r w:rsidR="00E3546D" w:rsidRPr="00B92979">
        <w:rPr>
          <w:rFonts w:ascii="Times New Roman" w:hAnsi="Times New Roman"/>
          <w:szCs w:val="24"/>
        </w:rPr>
        <w:t xml:space="preserve"> </w:t>
      </w:r>
      <w:r w:rsidR="00C45EA3" w:rsidRPr="00B92979">
        <w:rPr>
          <w:rFonts w:ascii="Times New Roman" w:hAnsi="Times New Roman"/>
          <w:szCs w:val="24"/>
        </w:rPr>
        <w:t xml:space="preserve">on recording text and instant messages in general and </w:t>
      </w:r>
      <w:r w:rsidR="00E3546D" w:rsidRPr="00B92979">
        <w:rPr>
          <w:rFonts w:ascii="Times New Roman" w:hAnsi="Times New Roman"/>
          <w:szCs w:val="24"/>
        </w:rPr>
        <w:t xml:space="preserve">on </w:t>
      </w:r>
      <w:r w:rsidR="00E3546D" w:rsidRPr="00B92979">
        <w:rPr>
          <w:rFonts w:ascii="Times New Roman" w:hAnsi="Times New Roman"/>
          <w:bCs/>
          <w:szCs w:val="24"/>
        </w:rPr>
        <w:t>the text messages between the Commission’s President and the CEO of a pharmaceutical company</w:t>
      </w:r>
      <w:r w:rsidR="00A464E6" w:rsidRPr="00B92979">
        <w:rPr>
          <w:rFonts w:ascii="Times New Roman" w:hAnsi="Times New Roman"/>
          <w:szCs w:val="24"/>
        </w:rPr>
        <w:t xml:space="preserve">, </w:t>
      </w:r>
      <w:r w:rsidR="00E3546D" w:rsidRPr="00B92979">
        <w:rPr>
          <w:rFonts w:ascii="Times New Roman" w:hAnsi="Times New Roman"/>
          <w:bCs/>
          <w:szCs w:val="24"/>
        </w:rPr>
        <w:t>the Commission</w:t>
      </w:r>
      <w:r w:rsidR="00AC6FDE" w:rsidRPr="00B92979">
        <w:rPr>
          <w:rFonts w:ascii="Times New Roman" w:hAnsi="Times New Roman"/>
          <w:bCs/>
          <w:szCs w:val="24"/>
        </w:rPr>
        <w:t>’s</w:t>
      </w:r>
      <w:r w:rsidR="00E3546D" w:rsidRPr="00B92979">
        <w:rPr>
          <w:rFonts w:ascii="Times New Roman" w:hAnsi="Times New Roman"/>
          <w:bCs/>
          <w:szCs w:val="24"/>
        </w:rPr>
        <w:t xml:space="preserve"> </w:t>
      </w:r>
      <w:r w:rsidR="00B2145F" w:rsidRPr="00B92979">
        <w:rPr>
          <w:rFonts w:ascii="Times New Roman" w:hAnsi="Times New Roman"/>
          <w:bCs/>
          <w:szCs w:val="24"/>
          <w:lang w:val="en-US"/>
        </w:rPr>
        <w:t xml:space="preserve">record-keeping policy is stated in </w:t>
      </w:r>
      <w:r w:rsidR="00787927">
        <w:rPr>
          <w:rFonts w:ascii="Times New Roman" w:hAnsi="Times New Roman"/>
          <w:bCs/>
          <w:szCs w:val="24"/>
          <w:lang w:val="en-US"/>
        </w:rPr>
        <w:t>its</w:t>
      </w:r>
      <w:r w:rsidR="00B2145F" w:rsidRPr="00B92979">
        <w:rPr>
          <w:rFonts w:ascii="Times New Roman" w:hAnsi="Times New Roman"/>
          <w:bCs/>
          <w:szCs w:val="24"/>
          <w:lang w:val="en-US"/>
        </w:rPr>
        <w:t xml:space="preserve"> Decision C(2020) 4482 on records management and internal guidelines which provide for cumulative criteria for registration, amongst which the fact that a document drawn up or received by the Commission must be registered if it contains important information that is not short-lived and/or may involve action or follow-up by the Commission or one of its departments. </w:t>
      </w:r>
      <w:r w:rsidR="00B64BBD" w:rsidRPr="00B92979">
        <w:rPr>
          <w:rFonts w:ascii="Times New Roman" w:hAnsi="Times New Roman"/>
          <w:szCs w:val="24"/>
        </w:rPr>
        <w:t>The Commission is of the opinion that</w:t>
      </w:r>
      <w:r w:rsidR="00063505" w:rsidRPr="00B92979">
        <w:rPr>
          <w:rFonts w:ascii="Times New Roman" w:hAnsi="Times New Roman"/>
          <w:szCs w:val="24"/>
        </w:rPr>
        <w:t xml:space="preserve"> its internal guidelines on document registration are fully in line with Regulation (EC) No 1049/2001</w:t>
      </w:r>
      <w:r w:rsidR="00AE0E89">
        <w:rPr>
          <w:rFonts w:ascii="Times New Roman" w:hAnsi="Times New Roman"/>
          <w:szCs w:val="24"/>
        </w:rPr>
        <w:t xml:space="preserve">. </w:t>
      </w:r>
      <w:r w:rsidR="007140D6">
        <w:rPr>
          <w:rFonts w:ascii="Times New Roman" w:hAnsi="Times New Roman"/>
          <w:bCs/>
          <w:szCs w:val="24"/>
        </w:rPr>
        <w:t xml:space="preserve">The Commission </w:t>
      </w:r>
      <w:r w:rsidR="00D07528">
        <w:rPr>
          <w:rFonts w:ascii="Times New Roman" w:hAnsi="Times New Roman"/>
          <w:bCs/>
          <w:szCs w:val="24"/>
        </w:rPr>
        <w:t xml:space="preserve">also refers to </w:t>
      </w:r>
      <w:r w:rsidR="007140D6">
        <w:rPr>
          <w:rFonts w:ascii="Times New Roman" w:hAnsi="Times New Roman"/>
          <w:bCs/>
          <w:szCs w:val="24"/>
        </w:rPr>
        <w:t>its reply to the European Ombudsman of 27 June 2022</w:t>
      </w:r>
      <w:r w:rsidR="004B4930">
        <w:rPr>
          <w:rStyle w:val="FootnoteReference"/>
          <w:rFonts w:ascii="Times New Roman" w:hAnsi="Times New Roman"/>
          <w:bCs/>
          <w:szCs w:val="24"/>
        </w:rPr>
        <w:footnoteReference w:id="4"/>
      </w:r>
      <w:r w:rsidR="00D07528">
        <w:rPr>
          <w:rFonts w:ascii="Times New Roman" w:hAnsi="Times New Roman"/>
          <w:bCs/>
          <w:szCs w:val="24"/>
        </w:rPr>
        <w:t>.</w:t>
      </w:r>
      <w:r w:rsidR="007140D6">
        <w:rPr>
          <w:rFonts w:ascii="Times New Roman" w:hAnsi="Times New Roman"/>
          <w:bCs/>
          <w:szCs w:val="24"/>
        </w:rPr>
        <w:t xml:space="preserve"> </w:t>
      </w:r>
      <w:r w:rsidR="00E95C86">
        <w:rPr>
          <w:rFonts w:ascii="Times New Roman" w:hAnsi="Times New Roman"/>
          <w:bCs/>
          <w:szCs w:val="24"/>
        </w:rPr>
        <w:t xml:space="preserve">In </w:t>
      </w:r>
      <w:r w:rsidR="00D07528">
        <w:rPr>
          <w:rFonts w:ascii="Times New Roman" w:hAnsi="Times New Roman"/>
          <w:bCs/>
          <w:szCs w:val="24"/>
        </w:rPr>
        <w:t>addition,</w:t>
      </w:r>
      <w:r w:rsidR="00E95C86">
        <w:rPr>
          <w:rFonts w:ascii="Times New Roman" w:hAnsi="Times New Roman"/>
          <w:bCs/>
          <w:szCs w:val="24"/>
        </w:rPr>
        <w:t xml:space="preserve"> t</w:t>
      </w:r>
      <w:r w:rsidR="00FC5C8E" w:rsidRPr="00B92979">
        <w:rPr>
          <w:rFonts w:ascii="Times New Roman" w:hAnsi="Times New Roman"/>
          <w:bCs/>
          <w:szCs w:val="24"/>
        </w:rPr>
        <w:t xml:space="preserve">he Commission reached out to other EU Institutions and bodies to ensure the coherent approach regarding different tools of communication. </w:t>
      </w:r>
      <w:r w:rsidR="006D1772" w:rsidRPr="006D1772">
        <w:rPr>
          <w:rFonts w:ascii="Times New Roman" w:hAnsi="Times New Roman"/>
          <w:bCs/>
          <w:szCs w:val="24"/>
        </w:rPr>
        <w:t>Following the meeting on 9 December 2022, the Commission launched a consultation of other EU</w:t>
      </w:r>
      <w:r w:rsidR="006D1772">
        <w:rPr>
          <w:rFonts w:ascii="Times New Roman" w:hAnsi="Times New Roman"/>
          <w:bCs/>
          <w:szCs w:val="24"/>
        </w:rPr>
        <w:t xml:space="preserve"> </w:t>
      </w:r>
      <w:r w:rsidR="006D1772" w:rsidRPr="006D1772">
        <w:rPr>
          <w:rFonts w:ascii="Times New Roman" w:hAnsi="Times New Roman"/>
          <w:bCs/>
          <w:szCs w:val="24"/>
        </w:rPr>
        <w:t xml:space="preserve">institutions and bodies (7 in total) </w:t>
      </w:r>
      <w:r w:rsidR="006D1772">
        <w:rPr>
          <w:rFonts w:ascii="Times New Roman" w:hAnsi="Times New Roman"/>
          <w:bCs/>
          <w:szCs w:val="24"/>
        </w:rPr>
        <w:t>in</w:t>
      </w:r>
      <w:r w:rsidR="006D1772" w:rsidRPr="006D1772">
        <w:rPr>
          <w:rFonts w:ascii="Times New Roman" w:hAnsi="Times New Roman"/>
          <w:bCs/>
          <w:szCs w:val="24"/>
        </w:rPr>
        <w:t xml:space="preserve"> the beginning of March 2023. So far, </w:t>
      </w:r>
      <w:r w:rsidR="00787927">
        <w:rPr>
          <w:rFonts w:ascii="Times New Roman" w:hAnsi="Times New Roman"/>
          <w:bCs/>
          <w:szCs w:val="24"/>
        </w:rPr>
        <w:t>it</w:t>
      </w:r>
      <w:r w:rsidR="006D1772" w:rsidRPr="006D1772">
        <w:rPr>
          <w:rFonts w:ascii="Times New Roman" w:hAnsi="Times New Roman"/>
          <w:bCs/>
          <w:szCs w:val="24"/>
        </w:rPr>
        <w:t xml:space="preserve"> has received 3 replies (</w:t>
      </w:r>
      <w:r w:rsidR="006D1772">
        <w:rPr>
          <w:rFonts w:ascii="Times New Roman" w:hAnsi="Times New Roman"/>
          <w:bCs/>
          <w:szCs w:val="24"/>
        </w:rPr>
        <w:t xml:space="preserve">from the </w:t>
      </w:r>
      <w:r w:rsidR="006D1772" w:rsidRPr="006D1772">
        <w:rPr>
          <w:rFonts w:ascii="Times New Roman" w:hAnsi="Times New Roman"/>
          <w:bCs/>
          <w:szCs w:val="24"/>
        </w:rPr>
        <w:t xml:space="preserve">European Ombudsman, </w:t>
      </w:r>
      <w:r w:rsidR="006D1772">
        <w:rPr>
          <w:rFonts w:ascii="Times New Roman" w:hAnsi="Times New Roman"/>
          <w:bCs/>
          <w:szCs w:val="24"/>
        </w:rPr>
        <w:t xml:space="preserve">the </w:t>
      </w:r>
      <w:r w:rsidR="006D1772" w:rsidRPr="006D1772">
        <w:rPr>
          <w:rFonts w:ascii="Times New Roman" w:hAnsi="Times New Roman"/>
          <w:bCs/>
          <w:szCs w:val="24"/>
        </w:rPr>
        <w:t xml:space="preserve">European Court of Auditors and </w:t>
      </w:r>
      <w:r w:rsidR="006D1772">
        <w:rPr>
          <w:rFonts w:ascii="Times New Roman" w:hAnsi="Times New Roman"/>
          <w:bCs/>
          <w:szCs w:val="24"/>
        </w:rPr>
        <w:t xml:space="preserve">the </w:t>
      </w:r>
      <w:r w:rsidR="006D1772" w:rsidRPr="006D1772">
        <w:rPr>
          <w:rFonts w:ascii="Times New Roman" w:hAnsi="Times New Roman"/>
          <w:bCs/>
          <w:szCs w:val="24"/>
        </w:rPr>
        <w:t>European External Action Service) that are currently under assessmen</w:t>
      </w:r>
      <w:r w:rsidR="006D1772">
        <w:rPr>
          <w:rFonts w:ascii="Times New Roman" w:hAnsi="Times New Roman"/>
          <w:bCs/>
          <w:szCs w:val="24"/>
        </w:rPr>
        <w:t>t</w:t>
      </w:r>
      <w:r w:rsidR="00FC5C8E" w:rsidRPr="00B92979">
        <w:rPr>
          <w:rFonts w:ascii="Times New Roman" w:hAnsi="Times New Roman"/>
          <w:bCs/>
          <w:szCs w:val="24"/>
        </w:rPr>
        <w:t>.</w:t>
      </w:r>
      <w:r w:rsidR="00557A6D" w:rsidRPr="00B92979">
        <w:rPr>
          <w:rFonts w:ascii="Times New Roman" w:hAnsi="Times New Roman"/>
          <w:bCs/>
          <w:szCs w:val="24"/>
        </w:rPr>
        <w:t xml:space="preserve"> </w:t>
      </w:r>
      <w:r w:rsidR="00557A6D" w:rsidRPr="00B92979">
        <w:rPr>
          <w:rFonts w:ascii="Times New Roman" w:hAnsi="Times New Roman"/>
          <w:szCs w:val="24"/>
        </w:rPr>
        <w:t xml:space="preserve">In </w:t>
      </w:r>
      <w:r w:rsidR="00557A6D" w:rsidRPr="00B92979">
        <w:rPr>
          <w:rFonts w:ascii="Times New Roman" w:hAnsi="Times New Roman"/>
          <w:bCs/>
          <w:szCs w:val="24"/>
        </w:rPr>
        <w:t>case T-36/23</w:t>
      </w:r>
      <w:r w:rsidR="00F90A2B" w:rsidRPr="00B92979">
        <w:rPr>
          <w:rFonts w:ascii="Times New Roman" w:hAnsi="Times New Roman"/>
          <w:bCs/>
          <w:szCs w:val="24"/>
        </w:rPr>
        <w:t xml:space="preserve">, </w:t>
      </w:r>
      <w:r w:rsidR="00F90A2B" w:rsidRPr="00B92979">
        <w:rPr>
          <w:rFonts w:ascii="Times New Roman" w:hAnsi="Times New Roman"/>
          <w:i/>
          <w:iCs/>
        </w:rPr>
        <w:t xml:space="preserve">Stevi and The New York Times </w:t>
      </w:r>
      <w:r w:rsidR="00F90A2B" w:rsidRPr="004667BB">
        <w:rPr>
          <w:rFonts w:ascii="Times New Roman" w:hAnsi="Times New Roman"/>
        </w:rPr>
        <w:t>v</w:t>
      </w:r>
      <w:r w:rsidR="00F90A2B" w:rsidRPr="00B92979">
        <w:rPr>
          <w:rFonts w:ascii="Times New Roman" w:hAnsi="Times New Roman"/>
          <w:i/>
          <w:iCs/>
        </w:rPr>
        <w:t xml:space="preserve"> Commission</w:t>
      </w:r>
      <w:r w:rsidR="00557A6D" w:rsidRPr="00B92979">
        <w:rPr>
          <w:rFonts w:ascii="Times New Roman" w:hAnsi="Times New Roman"/>
          <w:bCs/>
          <w:szCs w:val="24"/>
        </w:rPr>
        <w:t xml:space="preserve"> (still pending), the applicants are challenging a confirmatory decision in which the Commission states that it does not hold any text messages between the Commission’s President and the CEO of a pharmaceutical company.</w:t>
      </w:r>
    </w:p>
    <w:p w14:paraId="30F93897" w14:textId="644D478A" w:rsidR="00B92979" w:rsidRPr="004667BB" w:rsidRDefault="00B2145F" w:rsidP="00683F4E">
      <w:pPr>
        <w:widowControl w:val="0"/>
        <w:spacing w:after="120"/>
        <w:rPr>
          <w:rFonts w:ascii="Times New Roman" w:hAnsi="Times New Roman"/>
          <w:szCs w:val="24"/>
        </w:rPr>
      </w:pPr>
      <w:r w:rsidRPr="00B92979">
        <w:rPr>
          <w:rFonts w:ascii="Times New Roman" w:hAnsi="Times New Roman"/>
          <w:szCs w:val="24"/>
        </w:rPr>
        <w:t xml:space="preserve">Regarding paragraph 8, the Commission </w:t>
      </w:r>
      <w:r w:rsidR="00CE073F" w:rsidRPr="00B92979">
        <w:rPr>
          <w:rFonts w:ascii="Times New Roman" w:hAnsi="Times New Roman"/>
          <w:szCs w:val="24"/>
        </w:rPr>
        <w:t>rejects</w:t>
      </w:r>
      <w:r w:rsidRPr="00B92979">
        <w:rPr>
          <w:rFonts w:ascii="Times New Roman" w:hAnsi="Times New Roman"/>
          <w:szCs w:val="24"/>
        </w:rPr>
        <w:t xml:space="preserve"> </w:t>
      </w:r>
      <w:r w:rsidR="00BD1463" w:rsidRPr="00B92979">
        <w:rPr>
          <w:rFonts w:ascii="Times New Roman" w:hAnsi="Times New Roman"/>
          <w:szCs w:val="24"/>
        </w:rPr>
        <w:t xml:space="preserve">the </w:t>
      </w:r>
      <w:r w:rsidRPr="00B92979">
        <w:rPr>
          <w:rFonts w:ascii="Times New Roman" w:hAnsi="Times New Roman"/>
          <w:szCs w:val="24"/>
        </w:rPr>
        <w:t>allegation</w:t>
      </w:r>
      <w:r w:rsidR="002F0F04" w:rsidRPr="00B92979">
        <w:rPr>
          <w:rFonts w:ascii="Times New Roman" w:hAnsi="Times New Roman"/>
          <w:szCs w:val="24"/>
        </w:rPr>
        <w:t xml:space="preserve"> laid down therein</w:t>
      </w:r>
      <w:r w:rsidRPr="00B92979">
        <w:rPr>
          <w:rFonts w:ascii="Times New Roman" w:hAnsi="Times New Roman"/>
          <w:szCs w:val="24"/>
        </w:rPr>
        <w:t xml:space="preserve"> that it has been deleting documents. As explained above, the Commission’s record-keeping policy is stated in </w:t>
      </w:r>
      <w:r w:rsidR="00227603" w:rsidRPr="00B92979">
        <w:rPr>
          <w:rFonts w:ascii="Times New Roman" w:hAnsi="Times New Roman"/>
          <w:szCs w:val="24"/>
        </w:rPr>
        <w:t>its d</w:t>
      </w:r>
      <w:r w:rsidRPr="00B92979">
        <w:rPr>
          <w:rFonts w:ascii="Times New Roman" w:hAnsi="Times New Roman"/>
          <w:szCs w:val="24"/>
        </w:rPr>
        <w:t xml:space="preserve">ecision on records management. Documents registered in accordance with this decision are stored in the Commission document management systems on a permanent basis. </w:t>
      </w:r>
      <w:r w:rsidR="00A9466D" w:rsidRPr="00B92979">
        <w:rPr>
          <w:rFonts w:ascii="Times New Roman" w:hAnsi="Times New Roman"/>
          <w:szCs w:val="24"/>
        </w:rPr>
        <w:t>Therefore, the Commission considers that it has fully put in place the systematic registration and archiving policy. Furthermore, as explained in case 211/2022/TM, the Commission has a document retention policy whereby written content such as emails that are not permanently registered</w:t>
      </w:r>
      <w:r w:rsidR="00A23177" w:rsidRPr="00B92979">
        <w:rPr>
          <w:rFonts w:ascii="Times New Roman" w:hAnsi="Times New Roman"/>
          <w:szCs w:val="24"/>
        </w:rPr>
        <w:t>,</w:t>
      </w:r>
      <w:r w:rsidR="00227603" w:rsidRPr="00B92979">
        <w:rPr>
          <w:rFonts w:ascii="Times New Roman" w:hAnsi="Times New Roman"/>
          <w:szCs w:val="24"/>
        </w:rPr>
        <w:t xml:space="preserve"> in </w:t>
      </w:r>
      <w:r w:rsidR="00CE073F" w:rsidRPr="00B92979">
        <w:rPr>
          <w:rFonts w:ascii="Times New Roman" w:hAnsi="Times New Roman"/>
          <w:szCs w:val="24"/>
        </w:rPr>
        <w:t>case</w:t>
      </w:r>
      <w:r w:rsidR="00227603" w:rsidRPr="00B92979">
        <w:rPr>
          <w:rFonts w:ascii="Times New Roman" w:hAnsi="Times New Roman"/>
          <w:szCs w:val="24"/>
        </w:rPr>
        <w:t xml:space="preserve"> they do not fulfil the registration criteria</w:t>
      </w:r>
      <w:r w:rsidR="00A23177" w:rsidRPr="00B92979">
        <w:rPr>
          <w:rFonts w:ascii="Times New Roman" w:hAnsi="Times New Roman"/>
          <w:szCs w:val="24"/>
        </w:rPr>
        <w:t>,</w:t>
      </w:r>
      <w:r w:rsidR="00A9466D" w:rsidRPr="00B92979">
        <w:rPr>
          <w:rFonts w:ascii="Times New Roman" w:hAnsi="Times New Roman"/>
          <w:szCs w:val="24"/>
        </w:rPr>
        <w:t xml:space="preserve"> are automatically deleted from </w:t>
      </w:r>
      <w:r w:rsidR="00227603" w:rsidRPr="00B92979">
        <w:rPr>
          <w:rFonts w:ascii="Times New Roman" w:hAnsi="Times New Roman"/>
          <w:szCs w:val="24"/>
        </w:rPr>
        <w:t xml:space="preserve">Commission </w:t>
      </w:r>
      <w:r w:rsidR="00A9466D" w:rsidRPr="00B92979">
        <w:rPr>
          <w:rFonts w:ascii="Times New Roman" w:hAnsi="Times New Roman"/>
          <w:szCs w:val="24"/>
        </w:rPr>
        <w:t>email accounts after six</w:t>
      </w:r>
      <w:r w:rsidR="00AE0E89">
        <w:rPr>
          <w:rFonts w:ascii="Times New Roman" w:hAnsi="Times New Roman"/>
          <w:szCs w:val="24"/>
        </w:rPr>
        <w:t xml:space="preserve"> </w:t>
      </w:r>
      <w:r w:rsidR="00A9466D" w:rsidRPr="00B92979">
        <w:rPr>
          <w:rFonts w:ascii="Times New Roman" w:hAnsi="Times New Roman"/>
          <w:szCs w:val="24"/>
        </w:rPr>
        <w:t>months.</w:t>
      </w:r>
    </w:p>
    <w:p w14:paraId="349AA2FF" w14:textId="2FA76734" w:rsidR="00C20F77" w:rsidRPr="00230A06" w:rsidRDefault="00CD34D5" w:rsidP="00683F4E">
      <w:pPr>
        <w:widowControl w:val="0"/>
        <w:spacing w:after="120"/>
        <w:rPr>
          <w:rFonts w:ascii="Times New Roman" w:hAnsi="Times New Roman"/>
          <w:szCs w:val="24"/>
        </w:rPr>
      </w:pPr>
      <w:r w:rsidRPr="00B92979">
        <w:rPr>
          <w:rFonts w:ascii="Times New Roman" w:hAnsi="Times New Roman"/>
          <w:szCs w:val="24"/>
        </w:rPr>
        <w:t>Regarding paragraph 9</w:t>
      </w:r>
      <w:r w:rsidR="00CA20F7" w:rsidRPr="00B92979">
        <w:rPr>
          <w:rFonts w:ascii="Times New Roman" w:hAnsi="Times New Roman"/>
          <w:szCs w:val="24"/>
        </w:rPr>
        <w:t xml:space="preserve"> on the accessibility of information on the implementation and enforcement of EU law</w:t>
      </w:r>
      <w:r w:rsidRPr="00B92979">
        <w:rPr>
          <w:rFonts w:ascii="Times New Roman" w:hAnsi="Times New Roman"/>
          <w:szCs w:val="24"/>
        </w:rPr>
        <w:t xml:space="preserve">, the Commission attaches great importance to transparency on its policy and actions to enforce EU law. The Commission considers that transparency helps </w:t>
      </w:r>
      <w:r w:rsidRPr="00B92979">
        <w:rPr>
          <w:rFonts w:ascii="Times New Roman" w:hAnsi="Times New Roman"/>
          <w:szCs w:val="24"/>
        </w:rPr>
        <w:lastRenderedPageBreak/>
        <w:t xml:space="preserve">the wider public engage in the shared responsibility on enforcement and promotes faster compliance by Member States. This is why the Commission has, over time, increased the information made public concerning its enforcement activities. </w:t>
      </w:r>
      <w:r w:rsidR="00932504" w:rsidRPr="00B92979">
        <w:rPr>
          <w:rFonts w:ascii="Times New Roman" w:hAnsi="Times New Roman"/>
          <w:szCs w:val="24"/>
          <w:lang w:val="en-US"/>
        </w:rPr>
        <w:t>The Commission maintains a public register on the Europa webpage</w:t>
      </w:r>
      <w:r w:rsidR="00B72F17">
        <w:rPr>
          <w:rStyle w:val="FootnoteReference"/>
          <w:rFonts w:ascii="Times New Roman" w:hAnsi="Times New Roman"/>
          <w:szCs w:val="24"/>
          <w:lang w:val="en-US"/>
        </w:rPr>
        <w:footnoteReference w:id="5"/>
      </w:r>
      <w:r w:rsidR="00932504" w:rsidRPr="00B92979">
        <w:rPr>
          <w:rFonts w:ascii="Times New Roman" w:hAnsi="Times New Roman"/>
          <w:szCs w:val="24"/>
          <w:lang w:val="en-US"/>
        </w:rPr>
        <w:t xml:space="preserve"> that provides information on every decision taken in an infringement case. This public register is updated in real-time, which means that Members of the European Parliament, and indeed the wider public, </w:t>
      </w:r>
      <w:r w:rsidR="00787927" w:rsidRPr="00B92979">
        <w:rPr>
          <w:rFonts w:ascii="Times New Roman" w:hAnsi="Times New Roman"/>
          <w:szCs w:val="24"/>
          <w:lang w:val="en-US"/>
        </w:rPr>
        <w:t>can</w:t>
      </w:r>
      <w:r w:rsidR="00932504" w:rsidRPr="00B92979">
        <w:rPr>
          <w:rFonts w:ascii="Times New Roman" w:hAnsi="Times New Roman"/>
          <w:szCs w:val="24"/>
          <w:lang w:val="en-US"/>
        </w:rPr>
        <w:t xml:space="preserve"> verify, at any time, the current stage of any infringement case. The public register also includes links to press releases on decisions in infringement cases and other information explaining the nature of the infringement and the policy context of the issue at stake. The Commission publishes press releases</w:t>
      </w:r>
      <w:r w:rsidR="007140D6">
        <w:rPr>
          <w:rFonts w:ascii="Times New Roman" w:hAnsi="Times New Roman"/>
          <w:szCs w:val="24"/>
          <w:lang w:val="en-US"/>
        </w:rPr>
        <w:t>, memos and</w:t>
      </w:r>
      <w:r w:rsidR="00932504" w:rsidRPr="00B92979">
        <w:rPr>
          <w:rFonts w:ascii="Times New Roman" w:hAnsi="Times New Roman"/>
          <w:szCs w:val="24"/>
          <w:lang w:val="en-US"/>
        </w:rPr>
        <w:t xml:space="preserve"> infringement decisions taken, with additional information on the most important decisions.</w:t>
      </w:r>
    </w:p>
    <w:p w14:paraId="789B8C6B" w14:textId="7AA9C22E" w:rsidR="00C20F77" w:rsidRPr="00230A06" w:rsidRDefault="00C20F77" w:rsidP="00683F4E">
      <w:pPr>
        <w:widowControl w:val="0"/>
        <w:spacing w:after="120"/>
        <w:rPr>
          <w:rFonts w:ascii="Times New Roman" w:hAnsi="Times New Roman"/>
          <w:szCs w:val="24"/>
        </w:rPr>
      </w:pPr>
      <w:r>
        <w:rPr>
          <w:rFonts w:ascii="Times New Roman" w:hAnsi="Times New Roman"/>
          <w:szCs w:val="24"/>
        </w:rPr>
        <w:t>Moreover</w:t>
      </w:r>
      <w:r w:rsidRPr="00B92979">
        <w:rPr>
          <w:rFonts w:ascii="Times New Roman" w:hAnsi="Times New Roman"/>
          <w:szCs w:val="24"/>
        </w:rPr>
        <w:t xml:space="preserve">, regarding paragraph </w:t>
      </w:r>
      <w:r>
        <w:rPr>
          <w:rFonts w:ascii="Times New Roman" w:hAnsi="Times New Roman"/>
          <w:szCs w:val="24"/>
        </w:rPr>
        <w:t>9, t</w:t>
      </w:r>
      <w:r w:rsidR="00932504" w:rsidRPr="00B92979">
        <w:rPr>
          <w:rFonts w:ascii="Times New Roman" w:hAnsi="Times New Roman"/>
          <w:szCs w:val="24"/>
          <w:lang w:val="en-US"/>
        </w:rPr>
        <w:t>he Commission also publishes an extensive annual report on monitoring the application of EU law</w:t>
      </w:r>
      <w:r w:rsidR="00B72F17">
        <w:rPr>
          <w:rStyle w:val="FootnoteReference"/>
          <w:rFonts w:ascii="Times New Roman" w:hAnsi="Times New Roman"/>
          <w:szCs w:val="24"/>
          <w:lang w:val="en-US"/>
        </w:rPr>
        <w:footnoteReference w:id="6"/>
      </w:r>
      <w:r w:rsidR="00932504" w:rsidRPr="00B92979">
        <w:rPr>
          <w:rFonts w:ascii="Times New Roman" w:hAnsi="Times New Roman"/>
          <w:szCs w:val="24"/>
          <w:lang w:val="en-US"/>
        </w:rPr>
        <w:t>, which sets out key trends, details the cooperation with Member States and explains major infringement decisions. It provides specific information per policy area and per Member State, including the launch or closure of pre-infringement processes (‘EU Pilot’). It also includes a dedicated section on complaints handling and the follow-up given to petitions that alleged a breach of EU law. These publications ensure transparency on the type of infringement pursued, the main issues of an infringement case and on benefits that the resolution of these cases can bring to citizens and businesses. While these publications are already far-reaching, the Commission committed, in its 2022 Communication ‘Enforcing EU law for a Europe that delivers’ (COM(2022) 518 final), to continu</w:t>
      </w:r>
      <w:r w:rsidR="007140D6">
        <w:rPr>
          <w:rFonts w:ascii="Times New Roman" w:hAnsi="Times New Roman"/>
          <w:szCs w:val="24"/>
          <w:lang w:val="en-US"/>
        </w:rPr>
        <w:t>e</w:t>
      </w:r>
      <w:r w:rsidR="00932504" w:rsidRPr="00B92979">
        <w:rPr>
          <w:rFonts w:ascii="Times New Roman" w:hAnsi="Times New Roman"/>
          <w:szCs w:val="24"/>
          <w:lang w:val="en-US"/>
        </w:rPr>
        <w:t xml:space="preserve"> to improve and increase the information made publicly available, in a systematic and easily accessible manner. A stocktaking exercise carried out between 2022 and 2023 (SWD(2023) 254 final) identified concrete areas for improvement, for example to make the existing publications more user-friendly and to strengthen the information made public on EU Pilot cases. The Commission is currently working on the implementation of these recommendations.</w:t>
      </w:r>
    </w:p>
    <w:p w14:paraId="785693C0" w14:textId="199480EA" w:rsidR="00B92979" w:rsidRDefault="00C20F77" w:rsidP="00683F4E">
      <w:pPr>
        <w:widowControl w:val="0"/>
        <w:spacing w:after="120"/>
        <w:rPr>
          <w:rFonts w:ascii="Times New Roman" w:hAnsi="Times New Roman"/>
          <w:szCs w:val="24"/>
        </w:rPr>
      </w:pPr>
      <w:r w:rsidRPr="00B92979">
        <w:rPr>
          <w:rFonts w:ascii="Times New Roman" w:hAnsi="Times New Roman"/>
          <w:szCs w:val="24"/>
        </w:rPr>
        <w:t xml:space="preserve">Furthermore, regarding paragraph </w:t>
      </w:r>
      <w:r>
        <w:rPr>
          <w:rFonts w:ascii="Times New Roman" w:hAnsi="Times New Roman"/>
          <w:szCs w:val="24"/>
        </w:rPr>
        <w:t>9, t</w:t>
      </w:r>
      <w:r w:rsidR="00932504" w:rsidRPr="00B92979">
        <w:rPr>
          <w:rFonts w:ascii="Times New Roman" w:hAnsi="Times New Roman"/>
          <w:szCs w:val="24"/>
          <w:lang w:val="en-US"/>
        </w:rPr>
        <w:t>he Commission’s objective is to resolve infringements and achieve compliance of EU law by Member States as soon as possible. Nevertheless, it must be acknowledged that there are some infringement procedures that are ongoing for a longer period. This may be due to the complexity of the case, parallel proceedings, or to the need to ensure equal treatment where an issue involves several Member States. The Commission is making efforts to advance and, where appropriate, close these procedures. If the case is opened following a complaint, the Commission keeps the complainant informed of the progress of the Commission’s investigations. The Commission also provides information in replies to parliamentary questions about the state of play of specific cases</w:t>
      </w:r>
      <w:r w:rsidR="007140D6">
        <w:rPr>
          <w:rFonts w:ascii="Times New Roman" w:hAnsi="Times New Roman"/>
          <w:szCs w:val="24"/>
          <w:lang w:val="en-US"/>
        </w:rPr>
        <w:t>.</w:t>
      </w:r>
      <w:r w:rsidR="00932504" w:rsidRPr="00B92979">
        <w:rPr>
          <w:rFonts w:ascii="Times New Roman" w:hAnsi="Times New Roman"/>
          <w:szCs w:val="24"/>
          <w:lang w:val="en-US"/>
        </w:rPr>
        <w:t xml:space="preserve"> The principle of sincere cooperation is a guiding principle for the Commission’s relations with the European Parliament. The Commission fully respects the rules and guarantees in relation to the information of the European Parliament on ongoing infringement procedures under the Interinstitutional Agreement. It can provide additional information and documents on a case-by-case basis where necessary to allow European Parliament bodies to exercise their scrutiny on</w:t>
      </w:r>
      <w:r w:rsidR="00B72F17">
        <w:rPr>
          <w:rFonts w:ascii="Times New Roman" w:hAnsi="Times New Roman"/>
          <w:szCs w:val="24"/>
          <w:lang w:val="en-US"/>
        </w:rPr>
        <w:t xml:space="preserve"> </w:t>
      </w:r>
      <w:r w:rsidR="00932504" w:rsidRPr="00B92979">
        <w:rPr>
          <w:rFonts w:ascii="Times New Roman" w:hAnsi="Times New Roman"/>
          <w:szCs w:val="24"/>
          <w:lang w:val="en-US"/>
        </w:rPr>
        <w:t>infringements and investigations carried out by the European Commission.</w:t>
      </w:r>
    </w:p>
    <w:p w14:paraId="64847E0E" w14:textId="451A1577" w:rsidR="00C20F77" w:rsidRDefault="00766E84" w:rsidP="00683F4E">
      <w:pPr>
        <w:widowControl w:val="0"/>
        <w:spacing w:after="120"/>
        <w:rPr>
          <w:rFonts w:ascii="Times New Roman" w:hAnsi="Times New Roman"/>
          <w:szCs w:val="24"/>
        </w:rPr>
      </w:pPr>
      <w:r w:rsidRPr="00B92979">
        <w:rPr>
          <w:rFonts w:ascii="Times New Roman" w:hAnsi="Times New Roman"/>
          <w:szCs w:val="24"/>
        </w:rPr>
        <w:t>Regarding paragraph 10</w:t>
      </w:r>
      <w:r w:rsidR="00CA20F7" w:rsidRPr="00B92979">
        <w:rPr>
          <w:rFonts w:ascii="Times New Roman" w:hAnsi="Times New Roman"/>
          <w:szCs w:val="24"/>
        </w:rPr>
        <w:t xml:space="preserve"> on proactive publication of statistics indicating the effectiveness of EU policies, in particular those relating to justice and home affairs</w:t>
      </w:r>
      <w:r w:rsidRPr="00B92979">
        <w:rPr>
          <w:rFonts w:ascii="Times New Roman" w:hAnsi="Times New Roman"/>
          <w:szCs w:val="24"/>
        </w:rPr>
        <w:t xml:space="preserve">, Eurostat regularly collects statistics on asylum and managed migration, in accordance with Regulation (EC) No 862/2007. This </w:t>
      </w:r>
      <w:r w:rsidR="003E7754">
        <w:rPr>
          <w:rFonts w:ascii="Times New Roman" w:hAnsi="Times New Roman"/>
          <w:szCs w:val="24"/>
        </w:rPr>
        <w:t>r</w:t>
      </w:r>
      <w:r w:rsidRPr="00B92979">
        <w:rPr>
          <w:rFonts w:ascii="Times New Roman" w:hAnsi="Times New Roman"/>
          <w:szCs w:val="24"/>
        </w:rPr>
        <w:t xml:space="preserve">egulation and Commission Regulation (EU) No 216/2010, which </w:t>
      </w:r>
      <w:r w:rsidRPr="00B92979">
        <w:rPr>
          <w:rFonts w:ascii="Times New Roman" w:hAnsi="Times New Roman"/>
          <w:szCs w:val="24"/>
        </w:rPr>
        <w:lastRenderedPageBreak/>
        <w:t xml:space="preserve">defines the various categories of reasons for issuing residence permits, are currently the main instruments for mandatory statistics on asylum and managed migration. In addition, Eurostat collects statistics on migration-related administrative events </w:t>
      </w:r>
      <w:r w:rsidR="003E7754" w:rsidRPr="00B92979">
        <w:rPr>
          <w:rFonts w:ascii="Times New Roman" w:hAnsi="Times New Roman"/>
          <w:szCs w:val="24"/>
        </w:rPr>
        <w:t>based on</w:t>
      </w:r>
      <w:r w:rsidRPr="00B92979">
        <w:rPr>
          <w:rFonts w:ascii="Times New Roman" w:hAnsi="Times New Roman"/>
          <w:szCs w:val="24"/>
        </w:rPr>
        <w:t xml:space="preserve"> other legal instruments, under which data collection is mandatory (EU Blue Card, single permits, seasonal workers, intra-corporate transfers, researchers, students, trainees, volunteers, pupils and au pairs, etc.). In 2018</w:t>
      </w:r>
      <w:r w:rsidR="003E7754">
        <w:rPr>
          <w:rFonts w:ascii="Times New Roman" w:hAnsi="Times New Roman"/>
          <w:szCs w:val="24"/>
        </w:rPr>
        <w:t>,</w:t>
      </w:r>
      <w:r w:rsidRPr="00B92979">
        <w:rPr>
          <w:rFonts w:ascii="Times New Roman" w:hAnsi="Times New Roman"/>
          <w:szCs w:val="24"/>
        </w:rPr>
        <w:t xml:space="preserve"> the Commission proposed a limited amendment to Regulation (EC) No 862/2007, the Migration Statistics Regulation, based on policy developments and on needs expressed by stakeholders during the open consultations. The amendment included the introduction of an “unaccompanied minor” disaggregation, the introduction of new statistics on Dublin “re-examination requests” and “first-time asylum applicants”, and the introduction of requested disaggregations by 'country of residence' and 'type of asylum decision' for persons subject to a resettlement scheme. Also, with this amendment more information became available on returns concerning third-country nationals found to be illegally present in the territory of the Member States.</w:t>
      </w:r>
    </w:p>
    <w:p w14:paraId="257456E5" w14:textId="01CBE64B" w:rsidR="00B92979" w:rsidRDefault="003E7754" w:rsidP="00683F4E">
      <w:pPr>
        <w:widowControl w:val="0"/>
        <w:spacing w:after="120"/>
        <w:rPr>
          <w:rFonts w:ascii="Times New Roman" w:hAnsi="Times New Roman"/>
          <w:szCs w:val="24"/>
        </w:rPr>
      </w:pPr>
      <w:r>
        <w:rPr>
          <w:rFonts w:ascii="Times New Roman" w:hAnsi="Times New Roman"/>
          <w:szCs w:val="24"/>
        </w:rPr>
        <w:t>Moreover</w:t>
      </w:r>
      <w:r w:rsidR="00C20F77" w:rsidRPr="00B92979">
        <w:rPr>
          <w:rFonts w:ascii="Times New Roman" w:hAnsi="Times New Roman"/>
          <w:szCs w:val="24"/>
        </w:rPr>
        <w:t xml:space="preserve">, regarding paragraph </w:t>
      </w:r>
      <w:r w:rsidR="00C20F77">
        <w:rPr>
          <w:rFonts w:ascii="Times New Roman" w:hAnsi="Times New Roman"/>
          <w:szCs w:val="24"/>
        </w:rPr>
        <w:t>10, i</w:t>
      </w:r>
      <w:r w:rsidR="00766E84" w:rsidRPr="00B92979">
        <w:rPr>
          <w:rFonts w:ascii="Times New Roman" w:hAnsi="Times New Roman"/>
          <w:szCs w:val="24"/>
        </w:rPr>
        <w:t>n June 2020</w:t>
      </w:r>
      <w:r w:rsidR="009379CE" w:rsidRPr="00B92979">
        <w:rPr>
          <w:rFonts w:ascii="Times New Roman" w:hAnsi="Times New Roman"/>
          <w:szCs w:val="24"/>
        </w:rPr>
        <w:t>,</w:t>
      </w:r>
      <w:r w:rsidR="00766E84" w:rsidRPr="00B92979">
        <w:rPr>
          <w:rFonts w:ascii="Times New Roman" w:hAnsi="Times New Roman"/>
          <w:szCs w:val="24"/>
        </w:rPr>
        <w:t xml:space="preserve"> the European Parliament adopted the proposal on the reform of the Migration Statistics Regulation, thus providing a legal basis for statistics that are currently collected voluntarily, while providing the necessary flexibility to adapt to future data needs. In addition, according to the new rules</w:t>
      </w:r>
      <w:r w:rsidR="009379CE" w:rsidRPr="00B92979">
        <w:rPr>
          <w:rFonts w:ascii="Times New Roman" w:hAnsi="Times New Roman"/>
          <w:szCs w:val="24"/>
        </w:rPr>
        <w:t>,</w:t>
      </w:r>
      <w:r w:rsidR="00766E84" w:rsidRPr="00B92979">
        <w:rPr>
          <w:rFonts w:ascii="Times New Roman" w:hAnsi="Times New Roman"/>
          <w:szCs w:val="24"/>
        </w:rPr>
        <w:t xml:space="preserve"> Eurostat will collect data on accelerated procedures, on persons receiving material reception conditions, and on implicit withdrawals of asylum applications. The reform also introduced a framework for Eurostat to launch pilot studies with voluntary participation from Member States in order to test the feasibility of data collection on other areas of asylum systems. Among other topics, pilot studies to cover statistics on border procedures, detention and alternatives to detention, legal assistance, inadmissibility decisions, and applications for family reunification permits. The results of these pilot studies are to be made publicly available. Any further change to the current level of information published regarding the implementation of migration and asylum policies, would necessitate prior agreement on the purpose for which such data would be needed and their collection would have to meet certain standards of impartiality, reliability, objectivity, scientific independence, cost-effectiveness and statistical confidentiality without entailing excessive burdens on economic operators, as stipulated in the Treaties.</w:t>
      </w:r>
      <w:bookmarkStart w:id="2" w:name="_Hlk150879077"/>
    </w:p>
    <w:p w14:paraId="24C5B429" w14:textId="7717F439" w:rsidR="00B92979" w:rsidRPr="004667BB" w:rsidRDefault="00FC7346" w:rsidP="00683F4E">
      <w:pPr>
        <w:widowControl w:val="0"/>
        <w:spacing w:after="120"/>
        <w:rPr>
          <w:rFonts w:ascii="Times New Roman" w:hAnsi="Times New Roman"/>
          <w:szCs w:val="24"/>
        </w:rPr>
      </w:pPr>
      <w:r w:rsidRPr="00B92979">
        <w:rPr>
          <w:rFonts w:ascii="Times New Roman" w:hAnsi="Times New Roman"/>
          <w:szCs w:val="24"/>
        </w:rPr>
        <w:t>Regarding paragraph 11</w:t>
      </w:r>
      <w:r w:rsidR="00CA20F7" w:rsidRPr="00B92979">
        <w:rPr>
          <w:rFonts w:ascii="Times New Roman" w:hAnsi="Times New Roman"/>
          <w:szCs w:val="24"/>
        </w:rPr>
        <w:t xml:space="preserve"> on the alleged over-classification of documents by the EU institutions</w:t>
      </w:r>
      <w:r w:rsidR="00CD34D5" w:rsidRPr="00B92979">
        <w:rPr>
          <w:rFonts w:ascii="Times New Roman" w:hAnsi="Times New Roman"/>
          <w:szCs w:val="24"/>
        </w:rPr>
        <w:t>,</w:t>
      </w:r>
      <w:r w:rsidRPr="00B92979">
        <w:rPr>
          <w:rFonts w:ascii="Times New Roman" w:hAnsi="Times New Roman"/>
          <w:szCs w:val="24"/>
        </w:rPr>
        <w:t xml:space="preserve"> the Commission underlines that well defined rules on EU classified information exist</w:t>
      </w:r>
      <w:r w:rsidR="00A2100F" w:rsidRPr="00B92979">
        <w:rPr>
          <w:rFonts w:ascii="Times New Roman" w:hAnsi="Times New Roman"/>
          <w:szCs w:val="24"/>
        </w:rPr>
        <w:t xml:space="preserve"> and </w:t>
      </w:r>
      <w:r w:rsidRPr="00B92979">
        <w:rPr>
          <w:rFonts w:ascii="Times New Roman" w:hAnsi="Times New Roman"/>
          <w:szCs w:val="24"/>
        </w:rPr>
        <w:t>clearly limit the use of classification, in Commission (EU, Euratom) Decision 2015/444, as well as in several implementing rules and guidance papers.</w:t>
      </w:r>
      <w:r w:rsidR="00CD34D5" w:rsidRPr="00B92979">
        <w:rPr>
          <w:rFonts w:ascii="Times New Roman" w:hAnsi="Times New Roman"/>
          <w:szCs w:val="24"/>
        </w:rPr>
        <w:t xml:space="preserve"> </w:t>
      </w:r>
      <w:r w:rsidRPr="00B92979">
        <w:rPr>
          <w:rFonts w:ascii="Times New Roman" w:hAnsi="Times New Roman"/>
          <w:szCs w:val="24"/>
        </w:rPr>
        <w:t>The Commission has no indication of overclassification as the E</w:t>
      </w:r>
      <w:r w:rsidR="00CD34D5" w:rsidRPr="00B92979">
        <w:rPr>
          <w:rFonts w:ascii="Times New Roman" w:hAnsi="Times New Roman"/>
          <w:szCs w:val="24"/>
        </w:rPr>
        <w:t xml:space="preserve">uropean </w:t>
      </w:r>
      <w:r w:rsidRPr="00B92979">
        <w:rPr>
          <w:rFonts w:ascii="Times New Roman" w:hAnsi="Times New Roman"/>
          <w:szCs w:val="24"/>
        </w:rPr>
        <w:t>P</w:t>
      </w:r>
      <w:r w:rsidR="00CD34D5" w:rsidRPr="00B92979">
        <w:rPr>
          <w:rFonts w:ascii="Times New Roman" w:hAnsi="Times New Roman"/>
          <w:szCs w:val="24"/>
        </w:rPr>
        <w:t>arliament</w:t>
      </w:r>
      <w:r w:rsidRPr="00B92979">
        <w:rPr>
          <w:rFonts w:ascii="Times New Roman" w:hAnsi="Times New Roman"/>
          <w:szCs w:val="24"/>
        </w:rPr>
        <w:t xml:space="preserve"> states.</w:t>
      </w:r>
      <w:r w:rsidR="00CD34D5" w:rsidRPr="00B92979">
        <w:rPr>
          <w:rFonts w:ascii="Times New Roman" w:hAnsi="Times New Roman"/>
          <w:szCs w:val="24"/>
        </w:rPr>
        <w:t xml:space="preserve"> </w:t>
      </w:r>
      <w:r w:rsidRPr="00B92979">
        <w:rPr>
          <w:rFonts w:ascii="Times New Roman" w:hAnsi="Times New Roman"/>
          <w:szCs w:val="24"/>
        </w:rPr>
        <w:t>The Commission has also followed up the previous reports received from the European Parliament and has proposed in March 2022 a Regulation on information security in the institutions, bodies, offices and agencies of the Union which aims at creating a single set of high-level information security rules for all institutions, bodies, offices and agencies of the Union. This proposal is on the table of the co-legislators</w:t>
      </w:r>
      <w:r w:rsidR="00CD34D5" w:rsidRPr="00B92979">
        <w:rPr>
          <w:rFonts w:ascii="Times New Roman" w:hAnsi="Times New Roman"/>
          <w:szCs w:val="24"/>
        </w:rPr>
        <w:t xml:space="preserve"> </w:t>
      </w:r>
      <w:r w:rsidRPr="00B92979">
        <w:rPr>
          <w:rFonts w:ascii="Times New Roman" w:hAnsi="Times New Roman"/>
          <w:szCs w:val="24"/>
        </w:rPr>
        <w:t>with LIBE as leading Committee.</w:t>
      </w:r>
      <w:bookmarkEnd w:id="2"/>
    </w:p>
    <w:p w14:paraId="1B0E0013" w14:textId="34079064" w:rsidR="00C20F77" w:rsidRPr="00230A06" w:rsidRDefault="00BC5462" w:rsidP="003E7754">
      <w:pPr>
        <w:widowControl w:val="0"/>
        <w:spacing w:after="120"/>
        <w:rPr>
          <w:rFonts w:ascii="Times New Roman" w:hAnsi="Times New Roman"/>
          <w:szCs w:val="24"/>
          <w:lang w:val="en-US"/>
        </w:rPr>
      </w:pPr>
      <w:r w:rsidRPr="00B92979">
        <w:rPr>
          <w:rFonts w:ascii="Times New Roman" w:hAnsi="Times New Roman"/>
          <w:szCs w:val="24"/>
        </w:rPr>
        <w:t>Regarding paragraph 16</w:t>
      </w:r>
      <w:r w:rsidR="00CA20F7" w:rsidRPr="00B92979">
        <w:rPr>
          <w:rFonts w:ascii="Times New Roman" w:hAnsi="Times New Roman"/>
          <w:szCs w:val="24"/>
        </w:rPr>
        <w:t xml:space="preserve"> concerning access to the</w:t>
      </w:r>
      <w:r w:rsidR="003E7754">
        <w:rPr>
          <w:rFonts w:ascii="Times New Roman" w:hAnsi="Times New Roman"/>
          <w:szCs w:val="24"/>
        </w:rPr>
        <w:t xml:space="preserve"> </w:t>
      </w:r>
      <w:r w:rsidR="003E7754" w:rsidRPr="003E7754">
        <w:rPr>
          <w:rFonts w:ascii="Times New Roman" w:hAnsi="Times New Roman"/>
          <w:szCs w:val="24"/>
        </w:rPr>
        <w:t>European Anti-Fraud Office</w:t>
      </w:r>
      <w:r w:rsidR="00CA20F7" w:rsidRPr="00B92979">
        <w:rPr>
          <w:rFonts w:ascii="Times New Roman" w:hAnsi="Times New Roman"/>
          <w:szCs w:val="24"/>
        </w:rPr>
        <w:t xml:space="preserve"> </w:t>
      </w:r>
      <w:r w:rsidR="003E7754">
        <w:rPr>
          <w:rFonts w:ascii="Times New Roman" w:hAnsi="Times New Roman"/>
          <w:szCs w:val="24"/>
        </w:rPr>
        <w:t>(</w:t>
      </w:r>
      <w:r w:rsidR="00CA20F7" w:rsidRPr="00B92979">
        <w:rPr>
          <w:rFonts w:ascii="Times New Roman" w:hAnsi="Times New Roman"/>
          <w:szCs w:val="24"/>
        </w:rPr>
        <w:t>OLAF</w:t>
      </w:r>
      <w:r w:rsidR="003E7754">
        <w:rPr>
          <w:rFonts w:ascii="Times New Roman" w:hAnsi="Times New Roman"/>
          <w:szCs w:val="24"/>
        </w:rPr>
        <w:t>)</w:t>
      </w:r>
      <w:r w:rsidR="00CA20F7" w:rsidRPr="00B92979">
        <w:rPr>
          <w:rFonts w:ascii="Times New Roman" w:hAnsi="Times New Roman"/>
          <w:szCs w:val="24"/>
        </w:rPr>
        <w:t xml:space="preserve"> report on the misconduct of several employees</w:t>
      </w:r>
      <w:r w:rsidR="003E7754">
        <w:rPr>
          <w:rFonts w:ascii="Times New Roman" w:hAnsi="Times New Roman"/>
          <w:szCs w:val="24"/>
        </w:rPr>
        <w:t xml:space="preserve"> from the </w:t>
      </w:r>
      <w:r w:rsidR="003E7754" w:rsidRPr="003E7754">
        <w:rPr>
          <w:rFonts w:ascii="Times New Roman" w:hAnsi="Times New Roman"/>
          <w:szCs w:val="24"/>
        </w:rPr>
        <w:t>European Border and Coast Guard Agency</w:t>
      </w:r>
      <w:r w:rsidR="003E7754">
        <w:rPr>
          <w:rFonts w:ascii="Times New Roman" w:hAnsi="Times New Roman"/>
          <w:szCs w:val="24"/>
        </w:rPr>
        <w:t xml:space="preserve"> (Frontex)</w:t>
      </w:r>
      <w:r w:rsidRPr="00B92979">
        <w:rPr>
          <w:rFonts w:ascii="Times New Roman" w:hAnsi="Times New Roman"/>
          <w:szCs w:val="24"/>
        </w:rPr>
        <w:t>, OLAF conducts administrative investigations concerning fraud, corruption and other offen</w:t>
      </w:r>
      <w:r w:rsidRPr="004667BB">
        <w:rPr>
          <w:rFonts w:ascii="Times New Roman" w:hAnsi="Times New Roman"/>
          <w:szCs w:val="24"/>
        </w:rPr>
        <w:t>ces affecting the EU’s financial interests pursuant to Regulation (EU, Euratom) No 883/2013</w:t>
      </w:r>
      <w:r w:rsidR="00E66EE4" w:rsidRPr="004667BB">
        <w:rPr>
          <w:rStyle w:val="FootnoteReference"/>
          <w:rFonts w:ascii="Times New Roman" w:hAnsi="Times New Roman"/>
        </w:rPr>
        <w:footnoteReference w:id="7"/>
      </w:r>
      <w:r w:rsidRPr="004667BB">
        <w:rPr>
          <w:rFonts w:ascii="Times New Roman" w:hAnsi="Times New Roman"/>
          <w:szCs w:val="24"/>
        </w:rPr>
        <w:t>. Although</w:t>
      </w:r>
      <w:r w:rsidRPr="00B92979">
        <w:rPr>
          <w:rFonts w:ascii="Times New Roman" w:hAnsi="Times New Roman"/>
          <w:szCs w:val="24"/>
        </w:rPr>
        <w:t xml:space="preserve"> administratively attached to the Commission, in its </w:t>
      </w:r>
      <w:r w:rsidRPr="00B92979">
        <w:rPr>
          <w:rFonts w:ascii="Times New Roman" w:hAnsi="Times New Roman"/>
          <w:szCs w:val="24"/>
        </w:rPr>
        <w:lastRenderedPageBreak/>
        <w:t xml:space="preserve">investigative functions and operations, OLAF is independent and does not take instructions from any other EU institution, body, office or agency either, </w:t>
      </w:r>
      <w:r w:rsidR="003E7754" w:rsidRPr="00B92979">
        <w:rPr>
          <w:rFonts w:ascii="Times New Roman" w:hAnsi="Times New Roman"/>
          <w:szCs w:val="24"/>
        </w:rPr>
        <w:t>or</w:t>
      </w:r>
      <w:r w:rsidRPr="00B92979">
        <w:rPr>
          <w:rFonts w:ascii="Times New Roman" w:hAnsi="Times New Roman"/>
          <w:szCs w:val="24"/>
        </w:rPr>
        <w:t xml:space="preserve"> from any government. Investigations are subject to the confidentiality</w:t>
      </w:r>
      <w:r w:rsidR="001C2847" w:rsidRPr="00B92979">
        <w:rPr>
          <w:rFonts w:ascii="Times New Roman" w:hAnsi="Times New Roman"/>
          <w:szCs w:val="24"/>
        </w:rPr>
        <w:t>, data protection</w:t>
      </w:r>
      <w:r w:rsidRPr="00B92979">
        <w:rPr>
          <w:rFonts w:ascii="Times New Roman" w:hAnsi="Times New Roman"/>
          <w:szCs w:val="24"/>
        </w:rPr>
        <w:t xml:space="preserve"> and professional secrecy requirements laid down in Article 10 of the OLAF Regulation. This means that any information relating to an OLAF investigation should be communicated strictly in line with its legal framework, this is on a need-to-know basis and governed by the principle of proportionality (Regulation (EU, Euratom) No 883/2013, Recital 23). Before sharing information on an investigation, OLAF must verify whether a recipient has the appropriate competence to obtain that information and the transmission of the information is necessary (Regulation (EU, Euratom) No 883/2013, Recital 35). Finally, the exchange of information </w:t>
      </w:r>
      <w:r w:rsidR="00C6305A" w:rsidRPr="00B92979">
        <w:rPr>
          <w:rFonts w:ascii="Times New Roman" w:hAnsi="Times New Roman"/>
          <w:szCs w:val="24"/>
        </w:rPr>
        <w:t>within the context of coo</w:t>
      </w:r>
      <w:r w:rsidR="00BE283F" w:rsidRPr="00B92979">
        <w:rPr>
          <w:rFonts w:ascii="Times New Roman" w:hAnsi="Times New Roman"/>
          <w:szCs w:val="24"/>
        </w:rPr>
        <w:t>peration</w:t>
      </w:r>
      <w:r w:rsidR="00C6305A" w:rsidRPr="00B92979">
        <w:rPr>
          <w:rFonts w:ascii="Times New Roman" w:hAnsi="Times New Roman"/>
          <w:szCs w:val="24"/>
        </w:rPr>
        <w:t xml:space="preserve"> activities </w:t>
      </w:r>
      <w:r w:rsidRPr="00B92979">
        <w:rPr>
          <w:rFonts w:ascii="Times New Roman" w:hAnsi="Times New Roman"/>
          <w:szCs w:val="24"/>
        </w:rPr>
        <w:t>must serve the purpose of protecting the financial interests of the Union (Regulation (EU, Euratom) No 883/2013, Article 12b, to be read together with article 4). Only when these conditions are satisfied, OLAF may provide information to the Members of the European Parliament.</w:t>
      </w:r>
    </w:p>
    <w:p w14:paraId="7D7408F3" w14:textId="53213E48" w:rsidR="00B92979" w:rsidRDefault="00C20F77" w:rsidP="00683F4E">
      <w:pPr>
        <w:widowControl w:val="0"/>
        <w:spacing w:after="120"/>
        <w:rPr>
          <w:rFonts w:ascii="Times New Roman" w:hAnsi="Times New Roman"/>
          <w:szCs w:val="24"/>
          <w:lang w:val="en-US"/>
        </w:rPr>
      </w:pPr>
      <w:r w:rsidRPr="00B92979">
        <w:rPr>
          <w:rFonts w:ascii="Times New Roman" w:hAnsi="Times New Roman"/>
          <w:szCs w:val="24"/>
        </w:rPr>
        <w:t xml:space="preserve">Furthermore, regarding paragraph </w:t>
      </w:r>
      <w:r>
        <w:rPr>
          <w:rFonts w:ascii="Times New Roman" w:hAnsi="Times New Roman"/>
          <w:szCs w:val="24"/>
        </w:rPr>
        <w:t>16, i</w:t>
      </w:r>
      <w:r w:rsidR="00BC5462" w:rsidRPr="00B92979">
        <w:rPr>
          <w:rFonts w:ascii="Times New Roman" w:hAnsi="Times New Roman"/>
          <w:szCs w:val="24"/>
          <w:lang w:val="en-US"/>
        </w:rPr>
        <w:t xml:space="preserve">n the case of FRONTEX, the Parliament justified the request on its need to take an informed decision in the framework of the agency’s discharge procedure for the financial year 2020. The legal basis for the transmission of the information to the Parliament was, therefore, Article 17(4a) of the OLAF Regulation, which allows OLAF to share information in the context of Parliament’s budgetary control rights. The Director General of OLAF provided the Committee </w:t>
      </w:r>
      <w:r w:rsidR="000F4D16" w:rsidRPr="000F4D16">
        <w:rPr>
          <w:rFonts w:ascii="Times New Roman" w:hAnsi="Times New Roman"/>
          <w:szCs w:val="24"/>
          <w:lang w:val="en-US"/>
        </w:rPr>
        <w:t>on Budgetary Control</w:t>
      </w:r>
      <w:r w:rsidR="000F4D16">
        <w:rPr>
          <w:rFonts w:ascii="Times New Roman" w:hAnsi="Times New Roman"/>
          <w:szCs w:val="24"/>
          <w:lang w:val="en-US"/>
        </w:rPr>
        <w:t xml:space="preserve"> (</w:t>
      </w:r>
      <w:r w:rsidR="000F4D16" w:rsidRPr="00B92979">
        <w:rPr>
          <w:rFonts w:ascii="Times New Roman" w:hAnsi="Times New Roman"/>
          <w:szCs w:val="24"/>
          <w:lang w:val="en-US"/>
        </w:rPr>
        <w:t>CONT</w:t>
      </w:r>
      <w:r w:rsidR="000F4D16">
        <w:rPr>
          <w:rFonts w:ascii="Times New Roman" w:hAnsi="Times New Roman"/>
          <w:szCs w:val="24"/>
          <w:lang w:val="en-US"/>
        </w:rPr>
        <w:t>)</w:t>
      </w:r>
      <w:r w:rsidR="000F4D16" w:rsidRPr="00B92979">
        <w:rPr>
          <w:rFonts w:ascii="Times New Roman" w:hAnsi="Times New Roman"/>
          <w:szCs w:val="24"/>
          <w:lang w:val="en-US"/>
        </w:rPr>
        <w:t xml:space="preserve"> </w:t>
      </w:r>
      <w:r w:rsidR="00BC5462" w:rsidRPr="00B92979">
        <w:rPr>
          <w:rFonts w:ascii="Times New Roman" w:hAnsi="Times New Roman"/>
          <w:szCs w:val="24"/>
          <w:lang w:val="en-US"/>
        </w:rPr>
        <w:t>with information on the results of the investigation, during an in-camera meeting, shortly after Parliament requested the information and the investigation was closed. As soon as the FRONTEX Management Board had decided on the follow-up to be given to OLAF’s final report and the necessary conditions in Article 17(4a) were met, OLAF transmitted</w:t>
      </w:r>
      <w:r w:rsidR="000D0E5A">
        <w:rPr>
          <w:rFonts w:ascii="Times New Roman" w:hAnsi="Times New Roman"/>
          <w:szCs w:val="24"/>
          <w:lang w:val="en-US"/>
        </w:rPr>
        <w:t xml:space="preserve"> a copy of</w:t>
      </w:r>
      <w:r w:rsidR="00BC5462" w:rsidRPr="00B92979">
        <w:rPr>
          <w:rFonts w:ascii="Times New Roman" w:hAnsi="Times New Roman"/>
          <w:szCs w:val="24"/>
          <w:lang w:val="en-US"/>
        </w:rPr>
        <w:t xml:space="preserve"> the final report</w:t>
      </w:r>
      <w:r w:rsidR="000D0E5A">
        <w:rPr>
          <w:rFonts w:ascii="Times New Roman" w:hAnsi="Times New Roman"/>
          <w:szCs w:val="24"/>
          <w:lang w:val="en-US"/>
        </w:rPr>
        <w:t xml:space="preserve">, </w:t>
      </w:r>
      <w:r w:rsidR="000D0E5A" w:rsidRPr="000D0E5A">
        <w:rPr>
          <w:rFonts w:ascii="Times New Roman" w:hAnsi="Times New Roman"/>
          <w:szCs w:val="24"/>
          <w:lang w:val="en-US"/>
        </w:rPr>
        <w:t>expunged of personal data and of operational information</w:t>
      </w:r>
      <w:r w:rsidR="000D0E5A">
        <w:rPr>
          <w:rFonts w:ascii="Times New Roman" w:hAnsi="Times New Roman"/>
          <w:szCs w:val="24"/>
          <w:lang w:val="en-US"/>
        </w:rPr>
        <w:t>, to</w:t>
      </w:r>
      <w:r w:rsidR="000D0E5A" w:rsidRPr="000D0E5A">
        <w:rPr>
          <w:rFonts w:ascii="Times New Roman" w:hAnsi="Times New Roman"/>
          <w:szCs w:val="24"/>
          <w:lang w:val="en-US"/>
        </w:rPr>
        <w:t xml:space="preserve"> the C</w:t>
      </w:r>
      <w:r w:rsidR="000F4D16">
        <w:rPr>
          <w:rFonts w:ascii="Times New Roman" w:hAnsi="Times New Roman"/>
          <w:szCs w:val="24"/>
          <w:lang w:val="en-US"/>
        </w:rPr>
        <w:t xml:space="preserve">ONT </w:t>
      </w:r>
      <w:r w:rsidR="000D0E5A" w:rsidRPr="000D0E5A">
        <w:rPr>
          <w:rFonts w:ascii="Times New Roman" w:hAnsi="Times New Roman"/>
          <w:szCs w:val="24"/>
          <w:lang w:val="en-US"/>
        </w:rPr>
        <w:t xml:space="preserve">and </w:t>
      </w:r>
      <w:r w:rsidR="000F4D16">
        <w:rPr>
          <w:rFonts w:ascii="Times New Roman" w:hAnsi="Times New Roman"/>
          <w:szCs w:val="24"/>
          <w:lang w:val="en-US"/>
        </w:rPr>
        <w:t xml:space="preserve">LIBE </w:t>
      </w:r>
      <w:r w:rsidR="000D0E5A" w:rsidRPr="000D0E5A">
        <w:rPr>
          <w:rFonts w:ascii="Times New Roman" w:hAnsi="Times New Roman"/>
          <w:szCs w:val="24"/>
          <w:lang w:val="en-US"/>
        </w:rPr>
        <w:t>Committee</w:t>
      </w:r>
      <w:r w:rsidR="000F4D16">
        <w:rPr>
          <w:rFonts w:ascii="Times New Roman" w:hAnsi="Times New Roman"/>
          <w:szCs w:val="24"/>
          <w:lang w:val="en-US"/>
        </w:rPr>
        <w:t>s</w:t>
      </w:r>
      <w:r w:rsidR="00BC5462" w:rsidRPr="00B92979">
        <w:rPr>
          <w:rFonts w:ascii="Times New Roman" w:hAnsi="Times New Roman"/>
          <w:szCs w:val="24"/>
          <w:lang w:val="en-US"/>
        </w:rPr>
        <w:t>. Therefore, OLAF provided information in good time and as soon as it was legally possible</w:t>
      </w:r>
      <w:r w:rsidR="00931397" w:rsidRPr="00B92979">
        <w:rPr>
          <w:rFonts w:ascii="Times New Roman" w:hAnsi="Times New Roman"/>
          <w:szCs w:val="24"/>
          <w:lang w:val="en-US"/>
        </w:rPr>
        <w:t xml:space="preserve"> while fully respecting the confidentiality of investigation and data protection rules</w:t>
      </w:r>
      <w:r w:rsidR="00BC5462" w:rsidRPr="00B92979">
        <w:rPr>
          <w:rFonts w:ascii="Times New Roman" w:hAnsi="Times New Roman"/>
          <w:szCs w:val="24"/>
          <w:lang w:val="en-US"/>
        </w:rPr>
        <w:t xml:space="preserve">. </w:t>
      </w:r>
      <w:r w:rsidR="00BD31D7" w:rsidRPr="00B92979">
        <w:rPr>
          <w:rFonts w:ascii="Times New Roman" w:hAnsi="Times New Roman"/>
          <w:szCs w:val="24"/>
          <w:lang w:val="en-US"/>
        </w:rPr>
        <w:t>Proactively m</w:t>
      </w:r>
      <w:r w:rsidR="00BC5462" w:rsidRPr="00B92979">
        <w:rPr>
          <w:rFonts w:ascii="Times New Roman" w:hAnsi="Times New Roman"/>
          <w:szCs w:val="24"/>
          <w:lang w:val="en-US"/>
        </w:rPr>
        <w:t>aking OLAF’s reports and recommendations publicly available is not in line with the legal framework nor the case law applicable to OLAF’s investigations. In case of a request for public access to documents under Regulation (EC) No 1049/2001, OLAF is obliged to examine the requested documents in line with this Regulation and the exceptions provided in its Article 4. Only when none of the exceptions apply, in particular the one concerning the protection of investigations, can OLAF give (partial) access to its final report to the public.</w:t>
      </w:r>
    </w:p>
    <w:p w14:paraId="582DB698" w14:textId="77777777" w:rsidR="00DA349D" w:rsidRDefault="004F362B" w:rsidP="00683F4E">
      <w:pPr>
        <w:widowControl w:val="0"/>
        <w:spacing w:after="120"/>
        <w:rPr>
          <w:rFonts w:ascii="Times New Roman" w:hAnsi="Times New Roman"/>
          <w:szCs w:val="24"/>
          <w:lang w:val="en-US"/>
        </w:rPr>
      </w:pPr>
      <w:r w:rsidRPr="00B92979">
        <w:rPr>
          <w:rFonts w:ascii="Times New Roman" w:hAnsi="Times New Roman"/>
          <w:szCs w:val="24"/>
          <w:lang w:val="en-US"/>
        </w:rPr>
        <w:t>Regarding paragraph 19</w:t>
      </w:r>
      <w:r w:rsidR="00CA20F7" w:rsidRPr="00B92979">
        <w:rPr>
          <w:rFonts w:ascii="Times New Roman" w:hAnsi="Times New Roman"/>
          <w:szCs w:val="24"/>
          <w:lang w:val="en-US"/>
        </w:rPr>
        <w:t xml:space="preserve"> on transparency of EU</w:t>
      </w:r>
      <w:r w:rsidR="00412FF7" w:rsidRPr="00B92979">
        <w:rPr>
          <w:rFonts w:ascii="Times New Roman" w:hAnsi="Times New Roman"/>
          <w:szCs w:val="24"/>
          <w:lang w:val="en-US"/>
        </w:rPr>
        <w:t xml:space="preserve"> </w:t>
      </w:r>
      <w:r w:rsidR="00CA20F7" w:rsidRPr="00B92979">
        <w:rPr>
          <w:rFonts w:ascii="Times New Roman" w:hAnsi="Times New Roman"/>
          <w:szCs w:val="24"/>
          <w:lang w:val="en-US"/>
        </w:rPr>
        <w:t>funding</w:t>
      </w:r>
      <w:r w:rsidR="00412FF7" w:rsidRPr="00B92979">
        <w:rPr>
          <w:rFonts w:ascii="Times New Roman" w:hAnsi="Times New Roman"/>
          <w:szCs w:val="24"/>
          <w:lang w:val="en-US"/>
        </w:rPr>
        <w:t xml:space="preserve"> in the Member States</w:t>
      </w:r>
      <w:r w:rsidRPr="00B92979">
        <w:rPr>
          <w:rFonts w:ascii="Times New Roman" w:hAnsi="Times New Roman"/>
          <w:szCs w:val="24"/>
          <w:lang w:val="en-US"/>
        </w:rPr>
        <w:t xml:space="preserve">, in accordance with the principle and rules of shared management, and in particular under </w:t>
      </w:r>
      <w:r w:rsidR="00B965FB" w:rsidRPr="00B92979">
        <w:rPr>
          <w:rFonts w:ascii="Times New Roman" w:hAnsi="Times New Roman"/>
          <w:szCs w:val="24"/>
          <w:lang w:val="en-US"/>
        </w:rPr>
        <w:t xml:space="preserve">the legislation applicable to </w:t>
      </w:r>
      <w:r w:rsidRPr="00B92979">
        <w:rPr>
          <w:rFonts w:ascii="Times New Roman" w:hAnsi="Times New Roman"/>
          <w:szCs w:val="24"/>
          <w:lang w:val="en-US"/>
        </w:rPr>
        <w:t xml:space="preserve">cohesion policy </w:t>
      </w:r>
      <w:r w:rsidR="00B965FB" w:rsidRPr="00B92979">
        <w:rPr>
          <w:rFonts w:ascii="Times New Roman" w:hAnsi="Times New Roman"/>
          <w:szCs w:val="24"/>
          <w:lang w:val="en-US"/>
        </w:rPr>
        <w:t>Funds</w:t>
      </w:r>
      <w:r w:rsidRPr="00B92979">
        <w:rPr>
          <w:rFonts w:ascii="Times New Roman" w:hAnsi="Times New Roman"/>
          <w:szCs w:val="24"/>
          <w:lang w:val="en-US"/>
        </w:rPr>
        <w:t>, Member States have the primary responsibility for the management and control of the Funds and should ensure that operations supported by the Funds comply with applicable law, including with relevant visibility and transparency obligations. In accordance with the provisions of Regulation (EU) 2021/</w:t>
      </w:r>
      <w:r w:rsidRPr="004667BB">
        <w:rPr>
          <w:rFonts w:ascii="Times New Roman" w:hAnsi="Times New Roman"/>
          <w:szCs w:val="24"/>
          <w:lang w:val="en-US"/>
        </w:rPr>
        <w:t>1060</w:t>
      </w:r>
      <w:r w:rsidR="009A2F71" w:rsidRPr="004667BB">
        <w:rPr>
          <w:rStyle w:val="FootnoteReference"/>
          <w:rFonts w:ascii="Times New Roman" w:hAnsi="Times New Roman"/>
        </w:rPr>
        <w:footnoteReference w:id="8"/>
      </w:r>
      <w:r w:rsidRPr="004667BB">
        <w:rPr>
          <w:rFonts w:ascii="Times New Roman" w:hAnsi="Times New Roman"/>
          <w:szCs w:val="24"/>
          <w:lang w:val="en-US"/>
        </w:rPr>
        <w:t>, each</w:t>
      </w:r>
      <w:r w:rsidRPr="00B92979">
        <w:rPr>
          <w:rFonts w:ascii="Times New Roman" w:hAnsi="Times New Roman"/>
          <w:szCs w:val="24"/>
          <w:lang w:val="en-US"/>
        </w:rPr>
        <w:t xml:space="preserve"> Member State has to ensure the visibility of support in all activities relating to operations supported by the Funds and communication to Union citizens of the </w:t>
      </w:r>
      <w:r w:rsidRPr="003E7754">
        <w:rPr>
          <w:rFonts w:ascii="Times New Roman" w:hAnsi="Times New Roman"/>
          <w:szCs w:val="24"/>
          <w:lang w:val="en-IE"/>
        </w:rPr>
        <w:lastRenderedPageBreak/>
        <w:t>role and achievements of the Funds through a single website portal providing access to all programmes involving that Member State. Within the Member States, the managing authorities shall in fact ensure that there is a website where information on programmes under their responsibility is available, covering the programme’s objectives, activities, available funding opportunities and achievements. The managing authorities shall also make the list of operations selected for support by the Funds publicly available on the website, while taking account of requirements for data protection of personal data</w:t>
      </w:r>
      <w:r w:rsidRPr="004667BB">
        <w:rPr>
          <w:rFonts w:ascii="Times New Roman" w:hAnsi="Times New Roman"/>
          <w:szCs w:val="24"/>
          <w:lang w:val="en-US"/>
        </w:rPr>
        <w:t xml:space="preserve"> in accordance with Regulation (EU) 2016/679</w:t>
      </w:r>
      <w:r w:rsidR="003F5D51" w:rsidRPr="004667BB">
        <w:rPr>
          <w:rStyle w:val="FootnoteReference"/>
          <w:rFonts w:ascii="Times New Roman" w:hAnsi="Times New Roman"/>
        </w:rPr>
        <w:footnoteReference w:id="9"/>
      </w:r>
      <w:r w:rsidR="003F5D51" w:rsidRPr="004667BB">
        <w:rPr>
          <w:rFonts w:ascii="Times New Roman" w:hAnsi="Times New Roman"/>
          <w:szCs w:val="24"/>
          <w:lang w:val="en-US"/>
        </w:rPr>
        <w:t xml:space="preserve"> </w:t>
      </w:r>
      <w:r w:rsidRPr="004667BB">
        <w:rPr>
          <w:rFonts w:ascii="Times New Roman" w:hAnsi="Times New Roman"/>
          <w:szCs w:val="24"/>
          <w:lang w:val="en-US"/>
        </w:rPr>
        <w:t>of</w:t>
      </w:r>
      <w:r w:rsidRPr="00B92979">
        <w:rPr>
          <w:rFonts w:ascii="Times New Roman" w:hAnsi="Times New Roman"/>
          <w:szCs w:val="24"/>
          <w:lang w:val="en-US"/>
        </w:rPr>
        <w:t xml:space="preserve"> the European Parliament and of the Council.</w:t>
      </w:r>
    </w:p>
    <w:p w14:paraId="53E98A44" w14:textId="5296A9AC" w:rsidR="00B92979" w:rsidRDefault="00DA349D" w:rsidP="00683F4E">
      <w:pPr>
        <w:widowControl w:val="0"/>
        <w:spacing w:after="120"/>
        <w:rPr>
          <w:rFonts w:ascii="Times New Roman" w:hAnsi="Times New Roman"/>
          <w:szCs w:val="24"/>
          <w:lang w:val="en-US"/>
        </w:rPr>
      </w:pPr>
      <w:r w:rsidRPr="00B92979">
        <w:rPr>
          <w:rFonts w:ascii="Times New Roman" w:hAnsi="Times New Roman"/>
          <w:szCs w:val="24"/>
        </w:rPr>
        <w:t xml:space="preserve">Furthermore, regarding paragraph </w:t>
      </w:r>
      <w:r>
        <w:rPr>
          <w:rFonts w:ascii="Times New Roman" w:hAnsi="Times New Roman"/>
          <w:szCs w:val="24"/>
        </w:rPr>
        <w:t>19, t</w:t>
      </w:r>
      <w:r w:rsidR="004F362B" w:rsidRPr="00B92979">
        <w:rPr>
          <w:rFonts w:ascii="Times New Roman" w:hAnsi="Times New Roman"/>
          <w:szCs w:val="24"/>
          <w:lang w:val="en-US"/>
        </w:rPr>
        <w:t>he Commission, from i</w:t>
      </w:r>
      <w:r w:rsidR="00766E84" w:rsidRPr="00B92979">
        <w:rPr>
          <w:rFonts w:ascii="Times New Roman" w:hAnsi="Times New Roman"/>
          <w:szCs w:val="24"/>
          <w:lang w:val="en-US"/>
        </w:rPr>
        <w:t>t</w:t>
      </w:r>
      <w:r w:rsidR="004F362B" w:rsidRPr="00B92979">
        <w:rPr>
          <w:rFonts w:ascii="Times New Roman" w:hAnsi="Times New Roman"/>
          <w:szCs w:val="24"/>
          <w:lang w:val="en-US"/>
        </w:rPr>
        <w:t>s part, is committed to deliver greater efficiency in communication to the public by extending the knowledge base about results, in particular through more effective data collection and dissemination, evaluations and reporting, and especially by highlighting the contribution of the Funds to improving the lives of citizens, and by increasing the visibility of support from the Funds as well as by raising awareness about the results and the added value of such support. Under this point it has to be stressed that the Commission has recently launched Kohesio, i.e. a new database that offers easy and transparent access to up-to-date information on projects and beneficiaries co-funded by EU Cohesion policy, as collected from Member States.</w:t>
      </w:r>
    </w:p>
    <w:p w14:paraId="7846C461" w14:textId="289FEAAA" w:rsidR="00B92979" w:rsidRPr="004667BB" w:rsidRDefault="00766E84" w:rsidP="00683F4E">
      <w:pPr>
        <w:widowControl w:val="0"/>
        <w:spacing w:after="120"/>
        <w:rPr>
          <w:rFonts w:ascii="Times New Roman" w:hAnsi="Times New Roman"/>
          <w:szCs w:val="24"/>
        </w:rPr>
      </w:pPr>
      <w:r w:rsidRPr="00B92979">
        <w:rPr>
          <w:rFonts w:ascii="Times New Roman" w:hAnsi="Times New Roman"/>
          <w:szCs w:val="24"/>
          <w:lang w:val="en-US"/>
        </w:rPr>
        <w:t>Regarding paragraph 20</w:t>
      </w:r>
      <w:r w:rsidR="00412FF7" w:rsidRPr="00B92979">
        <w:rPr>
          <w:rFonts w:ascii="Times New Roman" w:hAnsi="Times New Roman"/>
          <w:szCs w:val="24"/>
          <w:lang w:val="en-US"/>
        </w:rPr>
        <w:t xml:space="preserve"> on transparency of EU funding to non-EU countries</w:t>
      </w:r>
      <w:r w:rsidRPr="00B92979">
        <w:rPr>
          <w:rFonts w:ascii="Times New Roman" w:hAnsi="Times New Roman"/>
          <w:szCs w:val="24"/>
          <w:lang w:val="en-US"/>
        </w:rPr>
        <w:t>, the Annual Report on the Implementation of the European Union's External Action Instruments proposes a comprehensive thematic and geographic overview of EU’s external actions. Last report on 2021 spending published in December 2022, clarifies that the</w:t>
      </w:r>
      <w:r w:rsidR="003E7754">
        <w:rPr>
          <w:rFonts w:ascii="Times New Roman" w:hAnsi="Times New Roman"/>
          <w:szCs w:val="24"/>
          <w:lang w:val="en-US"/>
        </w:rPr>
        <w:t xml:space="preserve"> </w:t>
      </w:r>
      <w:r w:rsidR="003E7754" w:rsidRPr="003E7754">
        <w:rPr>
          <w:rFonts w:ascii="Times New Roman" w:hAnsi="Times New Roman"/>
          <w:szCs w:val="24"/>
          <w:lang w:val="en-US"/>
        </w:rPr>
        <w:t>Neighbourhood, Development and International Cooperation Instrument – Global Europe</w:t>
      </w:r>
      <w:r w:rsidRPr="00B92979">
        <w:rPr>
          <w:rFonts w:ascii="Times New Roman" w:hAnsi="Times New Roman"/>
          <w:szCs w:val="24"/>
          <w:lang w:val="en-US"/>
        </w:rPr>
        <w:t xml:space="preserve"> </w:t>
      </w:r>
      <w:r w:rsidR="003E7754">
        <w:rPr>
          <w:rFonts w:ascii="Times New Roman" w:hAnsi="Times New Roman"/>
          <w:szCs w:val="24"/>
          <w:lang w:val="en-US"/>
        </w:rPr>
        <w:t>(</w:t>
      </w:r>
      <w:r w:rsidRPr="00B92979">
        <w:rPr>
          <w:rFonts w:ascii="Times New Roman" w:hAnsi="Times New Roman"/>
          <w:szCs w:val="24"/>
          <w:lang w:val="en-US"/>
        </w:rPr>
        <w:t>NDICI-GE</w:t>
      </w:r>
      <w:r w:rsidR="003E7754">
        <w:rPr>
          <w:rFonts w:ascii="Times New Roman" w:hAnsi="Times New Roman"/>
          <w:szCs w:val="24"/>
          <w:lang w:val="en-US"/>
        </w:rPr>
        <w:t>)</w:t>
      </w:r>
      <w:r w:rsidRPr="00B92979">
        <w:rPr>
          <w:rFonts w:ascii="Times New Roman" w:hAnsi="Times New Roman"/>
          <w:szCs w:val="24"/>
          <w:lang w:val="en-US"/>
        </w:rPr>
        <w:t xml:space="preserve"> programming process undertaken in 2021 resulted in ensuring the indicative at least 10 % migration and forced displacement spending target was met across geographical and thematic multi-annual </w:t>
      </w:r>
      <w:r w:rsidRPr="003E7754">
        <w:rPr>
          <w:rFonts w:ascii="Times New Roman" w:hAnsi="Times New Roman"/>
          <w:szCs w:val="24"/>
          <w:lang w:val="en-IE"/>
        </w:rPr>
        <w:t xml:space="preserve">indicative programmes. </w:t>
      </w:r>
      <w:r w:rsidR="00A610FA" w:rsidRPr="003E7754">
        <w:rPr>
          <w:rFonts w:ascii="Times New Roman" w:hAnsi="Times New Roman"/>
          <w:szCs w:val="24"/>
          <w:lang w:val="en-IE"/>
        </w:rPr>
        <w:t>Regarding</w:t>
      </w:r>
      <w:r w:rsidRPr="00B92979">
        <w:rPr>
          <w:rFonts w:ascii="Times New Roman" w:hAnsi="Times New Roman"/>
          <w:szCs w:val="24"/>
          <w:lang w:val="en-US"/>
        </w:rPr>
        <w:t xml:space="preserve"> the role of and support provided by Justice and Home Affairs Agencies, Frontex </w:t>
      </w:r>
      <w:r w:rsidR="00A610FA" w:rsidRPr="00B92979">
        <w:rPr>
          <w:rFonts w:ascii="Times New Roman" w:hAnsi="Times New Roman"/>
          <w:szCs w:val="24"/>
          <w:lang w:val="en-US"/>
        </w:rPr>
        <w:t xml:space="preserve">for instance </w:t>
      </w:r>
      <w:r w:rsidRPr="00B92979">
        <w:rPr>
          <w:rFonts w:ascii="Times New Roman" w:hAnsi="Times New Roman"/>
          <w:szCs w:val="24"/>
          <w:lang w:val="en-US"/>
        </w:rPr>
        <w:t>provides public information on support measures provided by the Agency to several non-EU countries, such as to Western Balkan partners.</w:t>
      </w:r>
    </w:p>
    <w:p w14:paraId="1AF38C70" w14:textId="266C4972" w:rsidR="00B92979" w:rsidRDefault="00932504" w:rsidP="00683F4E">
      <w:pPr>
        <w:widowControl w:val="0"/>
        <w:spacing w:after="120"/>
        <w:rPr>
          <w:rFonts w:ascii="Times New Roman" w:hAnsi="Times New Roman"/>
          <w:szCs w:val="24"/>
        </w:rPr>
      </w:pPr>
      <w:r w:rsidRPr="00B92979">
        <w:rPr>
          <w:rFonts w:ascii="Times New Roman" w:hAnsi="Times New Roman"/>
          <w:szCs w:val="24"/>
        </w:rPr>
        <w:t>Regarding paragraph 22</w:t>
      </w:r>
      <w:r w:rsidR="00412FF7" w:rsidRPr="00B92979">
        <w:rPr>
          <w:rFonts w:ascii="Times New Roman" w:hAnsi="Times New Roman"/>
          <w:szCs w:val="24"/>
        </w:rPr>
        <w:t xml:space="preserve"> on transparency in infringement procedures</w:t>
      </w:r>
      <w:r w:rsidRPr="00B92979">
        <w:rPr>
          <w:rFonts w:ascii="Times New Roman" w:hAnsi="Times New Roman"/>
          <w:szCs w:val="24"/>
        </w:rPr>
        <w:t xml:space="preserve">, public access to documents concerning infringements and pre-infringement cases (formal infringement procedures and informal ones (‘EU Pilot cases’)) is subject to the rules and conditions set out in Regulation (EC) No 1049/2001. In principle, documents concerning closed infringement cases are accessible to the public upon simple request, unless an exception applies in a specific case. </w:t>
      </w:r>
      <w:r w:rsidR="00756CDA" w:rsidRPr="00B92979">
        <w:rPr>
          <w:rFonts w:ascii="Times New Roman" w:hAnsi="Times New Roman"/>
          <w:szCs w:val="24"/>
        </w:rPr>
        <w:t>However, p</w:t>
      </w:r>
      <w:r w:rsidRPr="00B92979">
        <w:rPr>
          <w:rFonts w:ascii="Times New Roman" w:hAnsi="Times New Roman"/>
          <w:szCs w:val="24"/>
        </w:rPr>
        <w:t>ublic access to documents concerning ongoing infringements is usually not possible. As the Court of Justice of the EU has acknowledged, disclosing Commission or Member States’ documents related to these procedures may undermine the possibility to discuss with national authorities’ potential misunderstandings and the spontaneous compliance with obligations stemming from EU law.</w:t>
      </w:r>
    </w:p>
    <w:p w14:paraId="344452B0" w14:textId="56671C1F" w:rsidR="00B92979" w:rsidRDefault="00C45EA3" w:rsidP="00683F4E">
      <w:pPr>
        <w:widowControl w:val="0"/>
        <w:spacing w:after="120"/>
        <w:rPr>
          <w:rFonts w:ascii="Times New Roman" w:hAnsi="Times New Roman"/>
          <w:szCs w:val="24"/>
        </w:rPr>
      </w:pPr>
      <w:r w:rsidRPr="00B92979">
        <w:rPr>
          <w:rFonts w:ascii="Times New Roman" w:hAnsi="Times New Roman"/>
          <w:szCs w:val="24"/>
        </w:rPr>
        <w:t>Regarding paragraphs 23</w:t>
      </w:r>
      <w:r w:rsidR="00EE1C01" w:rsidRPr="00B92979">
        <w:rPr>
          <w:rFonts w:ascii="Times New Roman" w:hAnsi="Times New Roman"/>
          <w:szCs w:val="24"/>
        </w:rPr>
        <w:t xml:space="preserve"> and</w:t>
      </w:r>
      <w:r w:rsidRPr="00B92979">
        <w:rPr>
          <w:rFonts w:ascii="Times New Roman" w:hAnsi="Times New Roman"/>
          <w:szCs w:val="24"/>
        </w:rPr>
        <w:t xml:space="preserve"> 25</w:t>
      </w:r>
      <w:r w:rsidR="00412FF7" w:rsidRPr="00B92979">
        <w:rPr>
          <w:rFonts w:ascii="Times New Roman" w:hAnsi="Times New Roman"/>
          <w:szCs w:val="24"/>
        </w:rPr>
        <w:t xml:space="preserve"> on the revision of </w:t>
      </w:r>
      <w:bookmarkStart w:id="3" w:name="_Hlk150964776"/>
      <w:r w:rsidR="00412FF7" w:rsidRPr="00B92979">
        <w:rPr>
          <w:rFonts w:ascii="Times New Roman" w:hAnsi="Times New Roman"/>
          <w:szCs w:val="24"/>
        </w:rPr>
        <w:t>Regulation (EC) No 1049/2001</w:t>
      </w:r>
      <w:bookmarkEnd w:id="3"/>
      <w:r w:rsidRPr="00B92979">
        <w:rPr>
          <w:rFonts w:ascii="Times New Roman" w:hAnsi="Times New Roman"/>
          <w:szCs w:val="24"/>
        </w:rPr>
        <w:t>, the Commission reiterates that it submitted long ago two proposals</w:t>
      </w:r>
      <w:r w:rsidR="00FC5C8E" w:rsidRPr="00B92979">
        <w:rPr>
          <w:rFonts w:ascii="Times New Roman" w:hAnsi="Times New Roman"/>
          <w:szCs w:val="24"/>
        </w:rPr>
        <w:t xml:space="preserve"> for recast of Regulation </w:t>
      </w:r>
      <w:r w:rsidR="00593B35" w:rsidRPr="00B92979">
        <w:rPr>
          <w:rFonts w:ascii="Times New Roman" w:hAnsi="Times New Roman"/>
          <w:szCs w:val="24"/>
        </w:rPr>
        <w:t xml:space="preserve">(EC) No </w:t>
      </w:r>
      <w:r w:rsidR="00FC5C8E" w:rsidRPr="00B92979">
        <w:rPr>
          <w:rFonts w:ascii="Times New Roman" w:hAnsi="Times New Roman"/>
          <w:szCs w:val="24"/>
        </w:rPr>
        <w:t>1049/2001</w:t>
      </w:r>
      <w:r w:rsidRPr="00B92979">
        <w:rPr>
          <w:rFonts w:ascii="Times New Roman" w:hAnsi="Times New Roman"/>
          <w:szCs w:val="24"/>
        </w:rPr>
        <w:t xml:space="preserve">. The first proposal dated back to 2008 and consisted in a substantial recast of the Regulation. The second proposal submitted in 2011, aimed at </w:t>
      </w:r>
      <w:r w:rsidR="003E7754">
        <w:rPr>
          <w:rFonts w:ascii="Times New Roman" w:hAnsi="Times New Roman"/>
          <w:szCs w:val="24"/>
        </w:rPr>
        <w:t>updating</w:t>
      </w:r>
      <w:r w:rsidRPr="00B92979">
        <w:rPr>
          <w:rFonts w:ascii="Times New Roman" w:hAnsi="Times New Roman"/>
          <w:szCs w:val="24"/>
        </w:rPr>
        <w:t xml:space="preserve"> the </w:t>
      </w:r>
      <w:r w:rsidR="003E7754">
        <w:rPr>
          <w:rFonts w:ascii="Times New Roman" w:hAnsi="Times New Roman"/>
          <w:szCs w:val="24"/>
        </w:rPr>
        <w:t>r</w:t>
      </w:r>
      <w:r w:rsidRPr="00B92979">
        <w:rPr>
          <w:rFonts w:ascii="Times New Roman" w:hAnsi="Times New Roman"/>
          <w:szCs w:val="24"/>
        </w:rPr>
        <w:t xml:space="preserve">egulation, namely by extending the right of public access to documents of all institutions, bodies, offices and agencies in order to align </w:t>
      </w:r>
      <w:r w:rsidR="003E7754">
        <w:rPr>
          <w:rFonts w:ascii="Times New Roman" w:hAnsi="Times New Roman"/>
          <w:szCs w:val="24"/>
        </w:rPr>
        <w:t>it</w:t>
      </w:r>
      <w:r w:rsidRPr="00B92979">
        <w:rPr>
          <w:rFonts w:ascii="Times New Roman" w:hAnsi="Times New Roman"/>
          <w:szCs w:val="24"/>
        </w:rPr>
        <w:t xml:space="preserve"> with Article 15(3) of the Treaty on the Functioning of the European Union. The Commission proposed to withdraw these two </w:t>
      </w:r>
      <w:r w:rsidRPr="00B92979">
        <w:rPr>
          <w:rFonts w:ascii="Times New Roman" w:hAnsi="Times New Roman"/>
          <w:szCs w:val="24"/>
        </w:rPr>
        <w:lastRenderedPageBreak/>
        <w:t>proposals due to the lack of any significant progress and foreseeable agreement in the 2020 Commission Work Programme. Following the negative opinion of the European Parliament, it decided not to withdraw the proposals. Consequently, both proposals are still pending and remain the basis for any further legislative and political discussions. The Commission does not see for the moment the willingness from co-legislators to engage in a revision process, but it stands ready to continue the legislative work.</w:t>
      </w:r>
    </w:p>
    <w:p w14:paraId="5D2D0358" w14:textId="784A994E" w:rsidR="00B92979" w:rsidRDefault="00932504" w:rsidP="00683F4E">
      <w:pPr>
        <w:widowControl w:val="0"/>
        <w:spacing w:after="120"/>
        <w:rPr>
          <w:rFonts w:ascii="Times New Roman" w:hAnsi="Times New Roman"/>
          <w:szCs w:val="24"/>
        </w:rPr>
      </w:pPr>
      <w:r w:rsidRPr="00B92979">
        <w:rPr>
          <w:rFonts w:ascii="Times New Roman" w:hAnsi="Times New Roman"/>
          <w:szCs w:val="24"/>
        </w:rPr>
        <w:t>Regarding paragraph 27</w:t>
      </w:r>
      <w:r w:rsidR="00412FF7" w:rsidRPr="00B92979">
        <w:rPr>
          <w:rFonts w:ascii="Times New Roman" w:hAnsi="Times New Roman"/>
          <w:szCs w:val="24"/>
        </w:rPr>
        <w:t xml:space="preserve"> on the risks of in camera meetings</w:t>
      </w:r>
      <w:r w:rsidRPr="00B92979">
        <w:rPr>
          <w:rFonts w:ascii="Times New Roman" w:hAnsi="Times New Roman"/>
          <w:szCs w:val="24"/>
        </w:rPr>
        <w:t>, the Commission notes that through dedicated registers, it provides proactively extensive information about its own meetings (meetings of the College of Commissioners), as well as about meetings of its advisory bodies (Commission expert groups) and Comitology committees. In particular, the agendas and minutes of the Commission meetings are published on the Register of Commission documents</w:t>
      </w:r>
      <w:r w:rsidR="00282171">
        <w:rPr>
          <w:rFonts w:ascii="Times New Roman" w:hAnsi="Times New Roman"/>
          <w:szCs w:val="24"/>
        </w:rPr>
        <w:t xml:space="preserve"> </w:t>
      </w:r>
      <w:r w:rsidR="00282171" w:rsidRPr="00282171">
        <w:rPr>
          <w:rFonts w:ascii="Times New Roman" w:hAnsi="Times New Roman"/>
          <w:szCs w:val="24"/>
        </w:rPr>
        <w:t>(‘RegDoc’)</w:t>
      </w:r>
      <w:r w:rsidRPr="00B92979">
        <w:rPr>
          <w:rFonts w:ascii="Times New Roman" w:hAnsi="Times New Roman"/>
          <w:szCs w:val="24"/>
        </w:rPr>
        <w:t xml:space="preserve">. Meetings of the College are followed by press releases. Agendas and minutes of meetings of Commission expert groups as well as all other relevant documents are published on the Register of Commission expert groups and other similar entities. A dedicated section on ‘Meetings’ in the Comitology Register contains information about meetings of comitology committees. </w:t>
      </w:r>
      <w:r w:rsidR="00BC5462" w:rsidRPr="00B92979">
        <w:rPr>
          <w:rFonts w:ascii="Times New Roman" w:hAnsi="Times New Roman"/>
          <w:szCs w:val="24"/>
        </w:rPr>
        <w:t>Finally, information concerning all meetings held between Members of the Commission, members of their Cabinet or Directors-General of the Commission with interest representatives is contained in the Transparency Register.</w:t>
      </w:r>
      <w:r w:rsidR="00C91DFE" w:rsidRPr="00B92979">
        <w:rPr>
          <w:rFonts w:ascii="Times New Roman" w:hAnsi="Times New Roman"/>
          <w:szCs w:val="24"/>
        </w:rPr>
        <w:t xml:space="preserve"> </w:t>
      </w:r>
      <w:r w:rsidR="008B3BB0">
        <w:rPr>
          <w:rFonts w:ascii="Times New Roman" w:hAnsi="Times New Roman"/>
          <w:szCs w:val="24"/>
        </w:rPr>
        <w:t>T</w:t>
      </w:r>
      <w:r w:rsidRPr="00B92979">
        <w:rPr>
          <w:rFonts w:ascii="Times New Roman" w:hAnsi="Times New Roman"/>
          <w:szCs w:val="24"/>
        </w:rPr>
        <w:t xml:space="preserve">hese registers are publicly available and are subject to specific rules and provisions. With reference to the call in paragraph 27 of the </w:t>
      </w:r>
      <w:r w:rsidR="008B3BB0">
        <w:rPr>
          <w:rFonts w:ascii="Times New Roman" w:hAnsi="Times New Roman"/>
          <w:szCs w:val="24"/>
        </w:rPr>
        <w:t>r</w:t>
      </w:r>
      <w:r w:rsidRPr="00B92979">
        <w:rPr>
          <w:rFonts w:ascii="Times New Roman" w:hAnsi="Times New Roman"/>
          <w:szCs w:val="24"/>
        </w:rPr>
        <w:t>esolution for ‘the development of clear criteria and rules governing requests for in camera sessions in the EU institutions’, the Commission therefore finds that it already has put in place the relevant criteria and rules.</w:t>
      </w:r>
    </w:p>
    <w:p w14:paraId="054F2EC0" w14:textId="60E82A90" w:rsidR="009948BC" w:rsidRDefault="00865FC3" w:rsidP="00683F4E">
      <w:pPr>
        <w:widowControl w:val="0"/>
        <w:spacing w:after="120"/>
        <w:rPr>
          <w:rFonts w:ascii="Times New Roman" w:hAnsi="Times New Roman"/>
          <w:szCs w:val="24"/>
        </w:rPr>
      </w:pPr>
      <w:r w:rsidRPr="00B92979">
        <w:rPr>
          <w:rFonts w:ascii="Times New Roman" w:hAnsi="Times New Roman"/>
          <w:szCs w:val="24"/>
        </w:rPr>
        <w:t>Regarding paragraph 28</w:t>
      </w:r>
      <w:r w:rsidR="00412FF7" w:rsidRPr="00B92979">
        <w:rPr>
          <w:rFonts w:ascii="Times New Roman" w:hAnsi="Times New Roman"/>
          <w:szCs w:val="24"/>
        </w:rPr>
        <w:t xml:space="preserve"> on transparency of contracts with third parties</w:t>
      </w:r>
      <w:r w:rsidR="00F55976" w:rsidRPr="00B92979">
        <w:rPr>
          <w:rFonts w:ascii="Times New Roman" w:hAnsi="Times New Roman"/>
          <w:szCs w:val="24"/>
        </w:rPr>
        <w:t xml:space="preserve"> under direct management</w:t>
      </w:r>
      <w:r w:rsidRPr="00B92979">
        <w:rPr>
          <w:rFonts w:ascii="Times New Roman" w:hAnsi="Times New Roman"/>
          <w:szCs w:val="24"/>
        </w:rPr>
        <w:t xml:space="preserve">, the transparency obligations of the Commission as regards the concluded contracts are laid down in Articles 38 and 163 of EU Financial Regulation (2018/1046) and Points 2.3, 2.4, 3.2 and 3.3 of Annex 1 to EU Financial Regulation (2018/1046). To comply with its </w:t>
      </w:r>
      <w:r w:rsidR="00F55976" w:rsidRPr="00B92979">
        <w:rPr>
          <w:rFonts w:ascii="Times New Roman" w:hAnsi="Times New Roman"/>
          <w:szCs w:val="24"/>
        </w:rPr>
        <w:t>transparency</w:t>
      </w:r>
      <w:r w:rsidRPr="00B92979">
        <w:rPr>
          <w:rFonts w:ascii="Times New Roman" w:hAnsi="Times New Roman"/>
          <w:szCs w:val="24"/>
        </w:rPr>
        <w:t xml:space="preserve"> obligation, for any contract above the Public Procurement Directive thresholds a contract award notice is published in the Official Journal of the EU. This publication includes information about the awarded contracts and/</w:t>
      </w:r>
      <w:r w:rsidR="008B3BB0">
        <w:rPr>
          <w:rFonts w:ascii="Times New Roman" w:hAnsi="Times New Roman"/>
          <w:szCs w:val="24"/>
        </w:rPr>
        <w:t xml:space="preserve"> </w:t>
      </w:r>
      <w:r w:rsidRPr="00B92979">
        <w:rPr>
          <w:rFonts w:ascii="Times New Roman" w:hAnsi="Times New Roman"/>
          <w:szCs w:val="24"/>
        </w:rPr>
        <w:t>or any significant modification related to them. As concerns the award of contracts following negotiated procedures without publication of a contract notice</w:t>
      </w:r>
      <w:r w:rsidR="00412FF7" w:rsidRPr="00B92979">
        <w:rPr>
          <w:rFonts w:ascii="Times New Roman" w:hAnsi="Times New Roman"/>
          <w:szCs w:val="24"/>
        </w:rPr>
        <w:t>,</w:t>
      </w:r>
      <w:r w:rsidRPr="00B92979">
        <w:rPr>
          <w:rFonts w:ascii="Times New Roman" w:hAnsi="Times New Roman"/>
          <w:szCs w:val="24"/>
        </w:rPr>
        <w:t xml:space="preserve"> the ex-post publicity is done by the publication in the Annual Activity Report with some exceptions. In addition</w:t>
      </w:r>
      <w:r w:rsidR="004F362B" w:rsidRPr="00B92979">
        <w:rPr>
          <w:rFonts w:ascii="Times New Roman" w:hAnsi="Times New Roman"/>
          <w:szCs w:val="24"/>
        </w:rPr>
        <w:t>,</w:t>
      </w:r>
      <w:r w:rsidRPr="00B92979">
        <w:rPr>
          <w:rFonts w:ascii="Times New Roman" w:hAnsi="Times New Roman"/>
          <w:szCs w:val="24"/>
        </w:rPr>
        <w:t xml:space="preserve"> any awarded or modified contract exceeding EUR 15.000 is also published in the Financial Transparency System (FTS).</w:t>
      </w:r>
    </w:p>
    <w:p w14:paraId="7AF012DB" w14:textId="47F0A4F7" w:rsidR="00B92979" w:rsidRDefault="009948BC" w:rsidP="00715BF9">
      <w:pPr>
        <w:widowControl w:val="0"/>
        <w:spacing w:after="120"/>
        <w:rPr>
          <w:rFonts w:ascii="Times New Roman" w:hAnsi="Times New Roman"/>
          <w:szCs w:val="24"/>
        </w:rPr>
      </w:pPr>
      <w:r>
        <w:rPr>
          <w:rFonts w:ascii="Times New Roman" w:hAnsi="Times New Roman"/>
          <w:szCs w:val="24"/>
        </w:rPr>
        <w:t>Moreover</w:t>
      </w:r>
      <w:r w:rsidRPr="00B92979">
        <w:rPr>
          <w:rFonts w:ascii="Times New Roman" w:hAnsi="Times New Roman"/>
          <w:szCs w:val="24"/>
        </w:rPr>
        <w:t xml:space="preserve">, regarding paragraph </w:t>
      </w:r>
      <w:r>
        <w:rPr>
          <w:rFonts w:ascii="Times New Roman" w:hAnsi="Times New Roman"/>
          <w:szCs w:val="24"/>
        </w:rPr>
        <w:t>28, i</w:t>
      </w:r>
      <w:r w:rsidR="00865FC3" w:rsidRPr="00B92979">
        <w:rPr>
          <w:rFonts w:ascii="Times New Roman" w:hAnsi="Times New Roman"/>
          <w:szCs w:val="24"/>
        </w:rPr>
        <w:t>n order to increase the transparency, the Commission publishes on a user-friendly and interactive dashboard more information than required by Article 38 of the Financial Regulation, namely: 1) in addition to the beneficiaries of the EU budget, the FTS publishes the beneficiaries of the European Development Fund (EDF); 2) the VAT number of the beneficiary; 3) the role of the beneficiary (coordinator or not); 4) the type of beneficiary (e.g. public body, private company, international organization and more); 5) the type of organisation (</w:t>
      </w:r>
      <w:r w:rsidR="008B3BB0">
        <w:rPr>
          <w:rFonts w:ascii="Times New Roman" w:hAnsi="Times New Roman"/>
          <w:szCs w:val="24"/>
        </w:rPr>
        <w:t>non-governmental organisation (</w:t>
      </w:r>
      <w:r w:rsidR="00865FC3" w:rsidRPr="00B92979">
        <w:rPr>
          <w:rFonts w:ascii="Times New Roman" w:hAnsi="Times New Roman"/>
          <w:szCs w:val="24"/>
        </w:rPr>
        <w:t>NGO</w:t>
      </w:r>
      <w:r w:rsidR="008B3BB0">
        <w:rPr>
          <w:rFonts w:ascii="Times New Roman" w:hAnsi="Times New Roman"/>
          <w:szCs w:val="24"/>
        </w:rPr>
        <w:t>)</w:t>
      </w:r>
      <w:r w:rsidR="00865FC3" w:rsidRPr="00B92979">
        <w:rPr>
          <w:rFonts w:ascii="Times New Roman" w:hAnsi="Times New Roman"/>
          <w:szCs w:val="24"/>
        </w:rPr>
        <w:t xml:space="preserve"> or not, </w:t>
      </w:r>
      <w:r w:rsidR="008B3BB0" w:rsidRPr="008B3BB0">
        <w:rPr>
          <w:rFonts w:ascii="Times New Roman" w:hAnsi="Times New Roman"/>
          <w:szCs w:val="24"/>
        </w:rPr>
        <w:t xml:space="preserve">non-public law body </w:t>
      </w:r>
      <w:r w:rsidR="008B3BB0">
        <w:rPr>
          <w:rFonts w:ascii="Times New Roman" w:hAnsi="Times New Roman"/>
          <w:szCs w:val="24"/>
        </w:rPr>
        <w:t>(</w:t>
      </w:r>
      <w:r w:rsidR="00865FC3" w:rsidRPr="00B92979">
        <w:rPr>
          <w:rFonts w:ascii="Times New Roman" w:hAnsi="Times New Roman"/>
          <w:szCs w:val="24"/>
        </w:rPr>
        <w:t>NFPO</w:t>
      </w:r>
      <w:r w:rsidR="008B3BB0">
        <w:rPr>
          <w:rFonts w:ascii="Times New Roman" w:hAnsi="Times New Roman"/>
          <w:szCs w:val="24"/>
        </w:rPr>
        <w:t>)</w:t>
      </w:r>
      <w:r w:rsidR="00865FC3" w:rsidRPr="00B92979">
        <w:rPr>
          <w:rFonts w:ascii="Times New Roman" w:hAnsi="Times New Roman"/>
          <w:szCs w:val="24"/>
        </w:rPr>
        <w:t xml:space="preserve"> or not</w:t>
      </w:r>
      <w:r w:rsidR="008B3BB0">
        <w:rPr>
          <w:rFonts w:ascii="Times New Roman" w:hAnsi="Times New Roman"/>
          <w:szCs w:val="24"/>
        </w:rPr>
        <w:t>).</w:t>
      </w:r>
      <w:r w:rsidR="004F362B" w:rsidRPr="00B92979">
        <w:rPr>
          <w:rFonts w:ascii="Times New Roman" w:hAnsi="Times New Roman"/>
          <w:szCs w:val="24"/>
        </w:rPr>
        <w:t xml:space="preserve"> </w:t>
      </w:r>
      <w:r w:rsidR="00865FC3" w:rsidRPr="00B92979">
        <w:rPr>
          <w:rFonts w:ascii="Times New Roman" w:hAnsi="Times New Roman"/>
          <w:szCs w:val="24"/>
        </w:rPr>
        <w:t xml:space="preserve">In the absence of a universally applied definition of NGO, the Commission considers as NGO any non-profit, non-public law body independent of public authorities, political parties and commercial organisations. The NGO information that the Commission has available is based on self-declarations by entities receiving funding from EU funds through grant agreements or contracts directly managed by the Commission. These self-declarations are mainly requested for statistical purposes and are not subject to a general validation by Commission services. However, the non-profit status of an entity (NFPO), that is practically an essential element of an NGO, is subject to validation as this criterion can be objectively assessed through the non-profit making legal form of the </w:t>
      </w:r>
      <w:r w:rsidR="00865FC3" w:rsidRPr="00B92979">
        <w:rPr>
          <w:rFonts w:ascii="Times New Roman" w:hAnsi="Times New Roman"/>
          <w:szCs w:val="24"/>
        </w:rPr>
        <w:lastRenderedPageBreak/>
        <w:t>entity.</w:t>
      </w:r>
      <w:r w:rsidR="004F362B" w:rsidRPr="00B92979">
        <w:rPr>
          <w:rFonts w:ascii="Times New Roman" w:hAnsi="Times New Roman"/>
          <w:szCs w:val="24"/>
        </w:rPr>
        <w:t xml:space="preserve">); </w:t>
      </w:r>
      <w:r w:rsidR="00865FC3" w:rsidRPr="00B92979">
        <w:rPr>
          <w:rFonts w:ascii="Times New Roman" w:hAnsi="Times New Roman"/>
          <w:szCs w:val="24"/>
        </w:rPr>
        <w:t>6)</w:t>
      </w:r>
      <w:r w:rsidR="004F362B" w:rsidRPr="00B92979">
        <w:rPr>
          <w:rFonts w:ascii="Times New Roman" w:hAnsi="Times New Roman"/>
          <w:szCs w:val="24"/>
        </w:rPr>
        <w:t xml:space="preserve"> </w:t>
      </w:r>
      <w:r w:rsidR="00865FC3" w:rsidRPr="00B92979">
        <w:rPr>
          <w:rFonts w:ascii="Times New Roman" w:hAnsi="Times New Roman"/>
          <w:szCs w:val="24"/>
        </w:rPr>
        <w:t>the action location as well as the benefitting country;</w:t>
      </w:r>
      <w:r w:rsidR="004F362B" w:rsidRPr="00B92979">
        <w:rPr>
          <w:rFonts w:ascii="Times New Roman" w:hAnsi="Times New Roman"/>
          <w:szCs w:val="24"/>
        </w:rPr>
        <w:t xml:space="preserve"> </w:t>
      </w:r>
      <w:r w:rsidR="00865FC3" w:rsidRPr="00B92979">
        <w:rPr>
          <w:rFonts w:ascii="Times New Roman" w:hAnsi="Times New Roman"/>
          <w:szCs w:val="24"/>
        </w:rPr>
        <w:t>7)</w:t>
      </w:r>
      <w:r w:rsidR="004F362B" w:rsidRPr="00B92979">
        <w:rPr>
          <w:rFonts w:ascii="Times New Roman" w:hAnsi="Times New Roman"/>
          <w:szCs w:val="24"/>
        </w:rPr>
        <w:t xml:space="preserve"> </w:t>
      </w:r>
      <w:r w:rsidR="00865FC3" w:rsidRPr="00B92979">
        <w:rPr>
          <w:rFonts w:ascii="Times New Roman" w:hAnsi="Times New Roman"/>
          <w:szCs w:val="24"/>
        </w:rPr>
        <w:t>the type of expenditure (administrative or operational);</w:t>
      </w:r>
      <w:r w:rsidR="004F362B" w:rsidRPr="00B92979">
        <w:rPr>
          <w:rFonts w:ascii="Times New Roman" w:hAnsi="Times New Roman"/>
          <w:szCs w:val="24"/>
        </w:rPr>
        <w:t xml:space="preserve"> </w:t>
      </w:r>
      <w:r w:rsidR="00865FC3" w:rsidRPr="00B92979">
        <w:rPr>
          <w:rFonts w:ascii="Times New Roman" w:hAnsi="Times New Roman"/>
          <w:szCs w:val="24"/>
        </w:rPr>
        <w:t>8)</w:t>
      </w:r>
      <w:r w:rsidR="004F362B" w:rsidRPr="00B92979">
        <w:rPr>
          <w:rFonts w:ascii="Times New Roman" w:hAnsi="Times New Roman"/>
          <w:szCs w:val="24"/>
        </w:rPr>
        <w:t xml:space="preserve"> </w:t>
      </w:r>
      <w:r w:rsidR="00865FC3" w:rsidRPr="00B92979">
        <w:rPr>
          <w:rFonts w:ascii="Times New Roman" w:hAnsi="Times New Roman"/>
          <w:szCs w:val="24"/>
        </w:rPr>
        <w:t>the budget line and the M</w:t>
      </w:r>
      <w:r w:rsidR="00E95B6C">
        <w:rPr>
          <w:rFonts w:ascii="Times New Roman" w:hAnsi="Times New Roman"/>
          <w:szCs w:val="24"/>
        </w:rPr>
        <w:t xml:space="preserve">ultiannual </w:t>
      </w:r>
      <w:r w:rsidR="00865FC3" w:rsidRPr="00B92979">
        <w:rPr>
          <w:rFonts w:ascii="Times New Roman" w:hAnsi="Times New Roman"/>
          <w:szCs w:val="24"/>
        </w:rPr>
        <w:t>F</w:t>
      </w:r>
      <w:r w:rsidR="00E95B6C">
        <w:rPr>
          <w:rFonts w:ascii="Times New Roman" w:hAnsi="Times New Roman"/>
          <w:szCs w:val="24"/>
        </w:rPr>
        <w:t xml:space="preserve">inancial </w:t>
      </w:r>
      <w:r w:rsidR="00865FC3" w:rsidRPr="00B92979">
        <w:rPr>
          <w:rFonts w:ascii="Times New Roman" w:hAnsi="Times New Roman"/>
          <w:szCs w:val="24"/>
        </w:rPr>
        <w:t>F</w:t>
      </w:r>
      <w:r w:rsidR="00E95B6C">
        <w:rPr>
          <w:rFonts w:ascii="Times New Roman" w:hAnsi="Times New Roman"/>
          <w:szCs w:val="24"/>
        </w:rPr>
        <w:t>ramework’s</w:t>
      </w:r>
      <w:r w:rsidR="00865FC3" w:rsidRPr="00B92979">
        <w:rPr>
          <w:rFonts w:ascii="Times New Roman" w:hAnsi="Times New Roman"/>
          <w:szCs w:val="24"/>
        </w:rPr>
        <w:t xml:space="preserve"> programme name;</w:t>
      </w:r>
      <w:r w:rsidR="004F362B" w:rsidRPr="00B92979">
        <w:rPr>
          <w:rFonts w:ascii="Times New Roman" w:hAnsi="Times New Roman"/>
          <w:szCs w:val="24"/>
        </w:rPr>
        <w:t xml:space="preserve"> </w:t>
      </w:r>
      <w:r w:rsidR="00865FC3" w:rsidRPr="00B92979">
        <w:rPr>
          <w:rFonts w:ascii="Times New Roman" w:hAnsi="Times New Roman"/>
          <w:szCs w:val="24"/>
        </w:rPr>
        <w:t>9)</w:t>
      </w:r>
      <w:r w:rsidR="004F362B" w:rsidRPr="00B92979">
        <w:rPr>
          <w:rFonts w:ascii="Times New Roman" w:hAnsi="Times New Roman"/>
          <w:szCs w:val="24"/>
        </w:rPr>
        <w:t xml:space="preserve"> </w:t>
      </w:r>
      <w:r w:rsidR="00865FC3" w:rsidRPr="00B92979">
        <w:rPr>
          <w:rFonts w:ascii="Times New Roman" w:hAnsi="Times New Roman"/>
          <w:szCs w:val="24"/>
        </w:rPr>
        <w:t>the responsible department managing the contract (e.g.</w:t>
      </w:r>
      <w:r w:rsidR="00715BF9">
        <w:rPr>
          <w:rFonts w:ascii="Times New Roman" w:hAnsi="Times New Roman"/>
          <w:szCs w:val="24"/>
        </w:rPr>
        <w:t xml:space="preserve"> the </w:t>
      </w:r>
      <w:r w:rsidR="00715BF9" w:rsidRPr="00715BF9">
        <w:rPr>
          <w:rFonts w:ascii="Times New Roman" w:hAnsi="Times New Roman"/>
          <w:szCs w:val="24"/>
        </w:rPr>
        <w:t>Directorate-</w:t>
      </w:r>
      <w:r w:rsidR="00715BF9">
        <w:rPr>
          <w:rFonts w:ascii="Times New Roman" w:hAnsi="Times New Roman"/>
          <w:szCs w:val="24"/>
        </w:rPr>
        <w:t>G</w:t>
      </w:r>
      <w:r w:rsidR="00715BF9" w:rsidRPr="00715BF9">
        <w:rPr>
          <w:rFonts w:ascii="Times New Roman" w:hAnsi="Times New Roman"/>
          <w:szCs w:val="24"/>
        </w:rPr>
        <w:t>eneral</w:t>
      </w:r>
      <w:r w:rsidR="00715BF9">
        <w:rPr>
          <w:rFonts w:ascii="Times New Roman" w:hAnsi="Times New Roman"/>
          <w:szCs w:val="24"/>
        </w:rPr>
        <w:t xml:space="preserve"> for </w:t>
      </w:r>
      <w:r w:rsidR="00715BF9" w:rsidRPr="00715BF9">
        <w:rPr>
          <w:rFonts w:ascii="Times New Roman" w:hAnsi="Times New Roman"/>
          <w:szCs w:val="24"/>
        </w:rPr>
        <w:t>Budget</w:t>
      </w:r>
      <w:r w:rsidR="00865FC3" w:rsidRPr="00B92979">
        <w:rPr>
          <w:rFonts w:ascii="Times New Roman" w:hAnsi="Times New Roman"/>
          <w:szCs w:val="24"/>
        </w:rPr>
        <w:t xml:space="preserve">, </w:t>
      </w:r>
      <w:r w:rsidR="00715BF9">
        <w:rPr>
          <w:rFonts w:ascii="Times New Roman" w:hAnsi="Times New Roman"/>
          <w:szCs w:val="24"/>
        </w:rPr>
        <w:t xml:space="preserve">the </w:t>
      </w:r>
      <w:r w:rsidR="00715BF9" w:rsidRPr="00715BF9">
        <w:rPr>
          <w:rFonts w:ascii="Times New Roman" w:hAnsi="Times New Roman"/>
          <w:szCs w:val="24"/>
        </w:rPr>
        <w:t>Directorate-</w:t>
      </w:r>
      <w:r w:rsidR="00715BF9">
        <w:rPr>
          <w:rFonts w:ascii="Times New Roman" w:hAnsi="Times New Roman"/>
          <w:szCs w:val="24"/>
        </w:rPr>
        <w:t>G</w:t>
      </w:r>
      <w:r w:rsidR="00715BF9" w:rsidRPr="00715BF9">
        <w:rPr>
          <w:rFonts w:ascii="Times New Roman" w:hAnsi="Times New Roman"/>
          <w:szCs w:val="24"/>
        </w:rPr>
        <w:t>eneral</w:t>
      </w:r>
      <w:r w:rsidR="00715BF9">
        <w:rPr>
          <w:rFonts w:ascii="Times New Roman" w:hAnsi="Times New Roman"/>
          <w:szCs w:val="24"/>
        </w:rPr>
        <w:t xml:space="preserve"> for </w:t>
      </w:r>
      <w:r w:rsidR="00715BF9" w:rsidRPr="00715BF9">
        <w:rPr>
          <w:rFonts w:ascii="Times New Roman" w:hAnsi="Times New Roman"/>
          <w:szCs w:val="24"/>
        </w:rPr>
        <w:t>International Partnerships</w:t>
      </w:r>
      <w:r w:rsidR="00865FC3" w:rsidRPr="00B92979">
        <w:rPr>
          <w:rFonts w:ascii="Times New Roman" w:hAnsi="Times New Roman"/>
          <w:szCs w:val="24"/>
        </w:rPr>
        <w:t xml:space="preserve">, </w:t>
      </w:r>
      <w:r w:rsidR="00715BF9">
        <w:rPr>
          <w:rFonts w:ascii="Times New Roman" w:hAnsi="Times New Roman"/>
          <w:szCs w:val="24"/>
        </w:rPr>
        <w:t xml:space="preserve">the </w:t>
      </w:r>
      <w:r w:rsidR="00715BF9" w:rsidRPr="00715BF9">
        <w:rPr>
          <w:rFonts w:ascii="Times New Roman" w:hAnsi="Times New Roman"/>
          <w:szCs w:val="24"/>
        </w:rPr>
        <w:t>European Climate, Infrastructure and Environment Executive Agency</w:t>
      </w:r>
      <w:r w:rsidR="00865FC3" w:rsidRPr="00B92979">
        <w:rPr>
          <w:rFonts w:ascii="Times New Roman" w:hAnsi="Times New Roman"/>
          <w:szCs w:val="24"/>
        </w:rPr>
        <w:t>, etc.);</w:t>
      </w:r>
      <w:r w:rsidR="004F362B" w:rsidRPr="00B92979">
        <w:rPr>
          <w:rFonts w:ascii="Times New Roman" w:hAnsi="Times New Roman"/>
          <w:szCs w:val="24"/>
        </w:rPr>
        <w:t xml:space="preserve"> </w:t>
      </w:r>
      <w:r w:rsidR="00865FC3" w:rsidRPr="00B92979">
        <w:rPr>
          <w:rFonts w:ascii="Times New Roman" w:hAnsi="Times New Roman"/>
          <w:szCs w:val="24"/>
        </w:rPr>
        <w:t>10)</w:t>
      </w:r>
      <w:r w:rsidR="004F362B" w:rsidRPr="00B92979">
        <w:rPr>
          <w:rFonts w:ascii="Times New Roman" w:hAnsi="Times New Roman"/>
          <w:szCs w:val="24"/>
        </w:rPr>
        <w:t xml:space="preserve"> </w:t>
      </w:r>
      <w:r w:rsidR="00865FC3" w:rsidRPr="00B92979">
        <w:rPr>
          <w:rFonts w:ascii="Times New Roman" w:hAnsi="Times New Roman"/>
          <w:szCs w:val="24"/>
        </w:rPr>
        <w:t>the type of contract (e.g. audit service, translation service, building contract and more);</w:t>
      </w:r>
      <w:r w:rsidR="004F362B" w:rsidRPr="00B92979">
        <w:rPr>
          <w:rFonts w:ascii="Times New Roman" w:hAnsi="Times New Roman"/>
          <w:szCs w:val="24"/>
        </w:rPr>
        <w:t xml:space="preserve"> </w:t>
      </w:r>
      <w:r w:rsidR="00865FC3" w:rsidRPr="00B92979">
        <w:rPr>
          <w:rFonts w:ascii="Times New Roman" w:hAnsi="Times New Roman"/>
          <w:szCs w:val="24"/>
        </w:rPr>
        <w:t>11)</w:t>
      </w:r>
      <w:r w:rsidR="004F362B" w:rsidRPr="00B92979">
        <w:rPr>
          <w:rFonts w:ascii="Times New Roman" w:hAnsi="Times New Roman"/>
          <w:szCs w:val="24"/>
        </w:rPr>
        <w:t xml:space="preserve"> </w:t>
      </w:r>
      <w:r w:rsidR="00865FC3" w:rsidRPr="00B92979">
        <w:rPr>
          <w:rFonts w:ascii="Times New Roman" w:hAnsi="Times New Roman"/>
          <w:szCs w:val="24"/>
        </w:rPr>
        <w:t>the project start and end date;</w:t>
      </w:r>
      <w:r w:rsidR="004F362B" w:rsidRPr="00B92979">
        <w:rPr>
          <w:rFonts w:ascii="Times New Roman" w:hAnsi="Times New Roman"/>
          <w:szCs w:val="24"/>
        </w:rPr>
        <w:t xml:space="preserve"> </w:t>
      </w:r>
      <w:r w:rsidR="00865FC3" w:rsidRPr="00B92979">
        <w:rPr>
          <w:rFonts w:ascii="Times New Roman" w:hAnsi="Times New Roman"/>
          <w:szCs w:val="24"/>
        </w:rPr>
        <w:t>12)</w:t>
      </w:r>
      <w:r w:rsidR="004F362B" w:rsidRPr="00B92979">
        <w:rPr>
          <w:rFonts w:ascii="Times New Roman" w:hAnsi="Times New Roman"/>
          <w:szCs w:val="24"/>
        </w:rPr>
        <w:t xml:space="preserve"> </w:t>
      </w:r>
      <w:r w:rsidR="00865FC3" w:rsidRPr="00B92979">
        <w:rPr>
          <w:rFonts w:ascii="Times New Roman" w:hAnsi="Times New Roman"/>
          <w:szCs w:val="24"/>
        </w:rPr>
        <w:t>the sum of payments as well as any de-committed/complementary amounts made on a given contract till the last updated date.</w:t>
      </w:r>
      <w:r w:rsidR="004F362B" w:rsidRPr="00B92979">
        <w:rPr>
          <w:rFonts w:ascii="Times New Roman" w:hAnsi="Times New Roman"/>
          <w:szCs w:val="24"/>
        </w:rPr>
        <w:t xml:space="preserve"> Points 10, 11, 12, the benefitting country and the user-friendly and interactive dashboard </w:t>
      </w:r>
      <w:r w:rsidR="00865FC3" w:rsidRPr="00B92979">
        <w:rPr>
          <w:rFonts w:ascii="Times New Roman" w:hAnsi="Times New Roman"/>
          <w:szCs w:val="24"/>
        </w:rPr>
        <w:t>have been introduced together with the revamp of the FTS portal in 2021 in order to increase the transparency by including some additional information.</w:t>
      </w:r>
    </w:p>
    <w:p w14:paraId="4FE3579E" w14:textId="78F80F70" w:rsidR="00FD3353" w:rsidRDefault="004F362B" w:rsidP="00683F4E">
      <w:pPr>
        <w:widowControl w:val="0"/>
        <w:spacing w:after="120"/>
        <w:rPr>
          <w:rFonts w:ascii="Times New Roman" w:hAnsi="Times New Roman"/>
          <w:szCs w:val="24"/>
        </w:rPr>
      </w:pPr>
      <w:r w:rsidRPr="00B92979">
        <w:rPr>
          <w:rFonts w:ascii="Times New Roman" w:hAnsi="Times New Roman"/>
          <w:szCs w:val="24"/>
        </w:rPr>
        <w:t>Furthermore, regarding paragraph 28, t</w:t>
      </w:r>
      <w:r w:rsidR="00865FC3" w:rsidRPr="00B92979">
        <w:rPr>
          <w:rFonts w:ascii="Times New Roman" w:hAnsi="Times New Roman"/>
          <w:szCs w:val="24"/>
        </w:rPr>
        <w:t>he Commission publishes information about its tendering procedures in accordance with its transparency obligations laid down in Article 163 EU Financial Regulation (2018/1046), and points 2,3, 5 of Annex I to the EU Financial Regulation (2018/1046). According to the above rules, the Commission publishes all its calls for tenders except those of very low value, i.e. not exceeding EUR 15</w:t>
      </w:r>
      <w:r w:rsidRPr="00B92979">
        <w:rPr>
          <w:rFonts w:ascii="Times New Roman" w:hAnsi="Times New Roman"/>
          <w:szCs w:val="24"/>
        </w:rPr>
        <w:t>.</w:t>
      </w:r>
      <w:r w:rsidR="00865FC3" w:rsidRPr="00B92979">
        <w:rPr>
          <w:rFonts w:ascii="Times New Roman" w:hAnsi="Times New Roman"/>
          <w:szCs w:val="24"/>
        </w:rPr>
        <w:t xml:space="preserve">000 and in the exceptional situations where a negotiated procedure without publication of contract notice is used. There are compulsory forms of publication such as the publication of contract notices in the Official Journal of the EU for contracts above the Public Procurement Directive thresholds and the ex-ante publicity for contracts below those thresholds. </w:t>
      </w:r>
      <w:r w:rsidR="00E95B6C">
        <w:rPr>
          <w:rFonts w:ascii="Times New Roman" w:hAnsi="Times New Roman"/>
          <w:szCs w:val="24"/>
        </w:rPr>
        <w:t>T</w:t>
      </w:r>
      <w:r w:rsidR="00865FC3" w:rsidRPr="00B92979">
        <w:rPr>
          <w:rFonts w:ascii="Times New Roman" w:hAnsi="Times New Roman"/>
          <w:szCs w:val="24"/>
        </w:rPr>
        <w:t xml:space="preserve">here are </w:t>
      </w:r>
      <w:r w:rsidR="00E95B6C">
        <w:rPr>
          <w:rFonts w:ascii="Times New Roman" w:hAnsi="Times New Roman"/>
          <w:szCs w:val="24"/>
        </w:rPr>
        <w:t xml:space="preserve">also </w:t>
      </w:r>
      <w:r w:rsidR="00865FC3" w:rsidRPr="00B92979">
        <w:rPr>
          <w:rFonts w:ascii="Times New Roman" w:hAnsi="Times New Roman"/>
          <w:szCs w:val="24"/>
        </w:rPr>
        <w:t xml:space="preserve">other forms of non-compulsory publication of tender procedures (e.g. prior information notice in the Official Journal of the EU, publication in specialised press, etc) that the Commission may use. As of </w:t>
      </w:r>
      <w:r w:rsidRPr="00B92979">
        <w:rPr>
          <w:rFonts w:ascii="Times New Roman" w:hAnsi="Times New Roman"/>
          <w:szCs w:val="24"/>
        </w:rPr>
        <w:t>25 October 2023,</w:t>
      </w:r>
      <w:r w:rsidR="00865FC3" w:rsidRPr="00B92979">
        <w:rPr>
          <w:rFonts w:ascii="Times New Roman" w:hAnsi="Times New Roman"/>
          <w:szCs w:val="24"/>
        </w:rPr>
        <w:t xml:space="preserve"> with the introduction of the new contract notices (eForms)</w:t>
      </w:r>
      <w:r w:rsidRPr="00B92979">
        <w:rPr>
          <w:rFonts w:ascii="Times New Roman" w:hAnsi="Times New Roman"/>
          <w:szCs w:val="24"/>
        </w:rPr>
        <w:t>,</w:t>
      </w:r>
      <w:r w:rsidR="00865FC3" w:rsidRPr="00B92979">
        <w:rPr>
          <w:rFonts w:ascii="Times New Roman" w:hAnsi="Times New Roman"/>
          <w:szCs w:val="24"/>
        </w:rPr>
        <w:t xml:space="preserve"> all the information for calls for tenders requiring the publication of a contract notice (previously available under eTendering) will now be available in the Funding &amp; Tenders (F&amp;T) Portal. The F&amp;T Portal is the single-entry point (Single Electronic Data Interchange Area – SEDIA) for participants and experts in funding programmes and tenders, managed by the Commission and other EU bodies. Thanks to the advancements in eProcurement system, the other types of procurement procedures will also be published in the F&amp;T Portal with the aim of having by March 2024 all the information related to the Commission procurement procedures centralised in one portal. Finally, also thanks to eProcurement, the publication of prior information notices (informing economic operators about future call for tenders) are promoted and facilitated. Such notices (compared to the past that were only published in the Official Journal of the EU) are now published in the F&amp;T Portal allowing economic operators to express interest and subscribe to calls for tenders in order to be automatically notified when a specific call is launched.</w:t>
      </w:r>
    </w:p>
    <w:p w14:paraId="01CB4FD7" w14:textId="09A57304" w:rsidR="00282171" w:rsidRPr="0033225C" w:rsidRDefault="00B61714" w:rsidP="00683F4E">
      <w:pPr>
        <w:widowControl w:val="0"/>
        <w:spacing w:after="120"/>
        <w:rPr>
          <w:rFonts w:ascii="Times New Roman" w:hAnsi="Times New Roman"/>
          <w:szCs w:val="24"/>
        </w:rPr>
      </w:pPr>
      <w:r w:rsidRPr="00FD3353">
        <w:rPr>
          <w:rFonts w:ascii="Times New Roman" w:hAnsi="Times New Roman"/>
          <w:szCs w:val="24"/>
        </w:rPr>
        <w:t>Regarding paragraph</w:t>
      </w:r>
      <w:r w:rsidR="00F803B8" w:rsidRPr="00FD3353">
        <w:rPr>
          <w:rFonts w:ascii="Times New Roman" w:hAnsi="Times New Roman"/>
          <w:szCs w:val="24"/>
        </w:rPr>
        <w:t>s</w:t>
      </w:r>
      <w:r w:rsidRPr="00FD3353">
        <w:rPr>
          <w:rFonts w:ascii="Times New Roman" w:hAnsi="Times New Roman"/>
          <w:szCs w:val="24"/>
        </w:rPr>
        <w:t xml:space="preserve"> 31</w:t>
      </w:r>
      <w:r w:rsidR="004B3BE1" w:rsidRPr="00FD3353">
        <w:rPr>
          <w:rFonts w:ascii="Times New Roman" w:hAnsi="Times New Roman"/>
          <w:szCs w:val="24"/>
        </w:rPr>
        <w:t>,</w:t>
      </w:r>
      <w:r w:rsidR="00F803B8" w:rsidRPr="00FD3353">
        <w:rPr>
          <w:rFonts w:ascii="Times New Roman" w:hAnsi="Times New Roman"/>
          <w:szCs w:val="24"/>
        </w:rPr>
        <w:t xml:space="preserve"> 32</w:t>
      </w:r>
      <w:r w:rsidR="004B3BE1" w:rsidRPr="00FD3353">
        <w:rPr>
          <w:rFonts w:ascii="Times New Roman" w:hAnsi="Times New Roman"/>
          <w:szCs w:val="24"/>
        </w:rPr>
        <w:t>, 36, 38, 40 and 41</w:t>
      </w:r>
      <w:r w:rsidR="00422F50" w:rsidRPr="00FD3353">
        <w:rPr>
          <w:rFonts w:ascii="Times New Roman" w:hAnsi="Times New Roman"/>
          <w:szCs w:val="24"/>
        </w:rPr>
        <w:t xml:space="preserve"> on proactive publication, the implementation of Regulation (EC) No 1049/2001 and publication of advice on access to documents</w:t>
      </w:r>
      <w:r w:rsidRPr="00FD3353">
        <w:rPr>
          <w:rFonts w:ascii="Times New Roman" w:hAnsi="Times New Roman"/>
          <w:szCs w:val="24"/>
        </w:rPr>
        <w:t xml:space="preserve">, </w:t>
      </w:r>
      <w:r w:rsidR="004B3BE1" w:rsidRPr="00FD3353">
        <w:rPr>
          <w:rFonts w:ascii="Times New Roman" w:hAnsi="Times New Roman"/>
          <w:szCs w:val="24"/>
        </w:rPr>
        <w:t xml:space="preserve">the Commission proactively publishes </w:t>
      </w:r>
      <w:r w:rsidR="009948BC" w:rsidRPr="00FD3353">
        <w:rPr>
          <w:rFonts w:ascii="Times New Roman" w:hAnsi="Times New Roman"/>
          <w:szCs w:val="24"/>
        </w:rPr>
        <w:t xml:space="preserve">on different websites and registers </w:t>
      </w:r>
      <w:r w:rsidR="004B3BE1" w:rsidRPr="00FD3353">
        <w:rPr>
          <w:rFonts w:ascii="Times New Roman" w:hAnsi="Times New Roman"/>
          <w:szCs w:val="24"/>
        </w:rPr>
        <w:t>a wide variety of legal, policy, administrative and other documents</w:t>
      </w:r>
      <w:r w:rsidR="009948BC" w:rsidRPr="00FD3353">
        <w:rPr>
          <w:rFonts w:ascii="Times New Roman" w:hAnsi="Times New Roman"/>
          <w:szCs w:val="24"/>
        </w:rPr>
        <w:t xml:space="preserve">, such as documents falling </w:t>
      </w:r>
      <w:r w:rsidR="00FD3353" w:rsidRPr="00FD3353">
        <w:rPr>
          <w:rFonts w:ascii="Times New Roman" w:hAnsi="Times New Roman"/>
          <w:szCs w:val="24"/>
        </w:rPr>
        <w:t>within the following categories: C (Autonomous acts of the Commission), COM (Commission legislative proposals and other documents communicated to other institutions), JOIN (Commission and High Representative Joint Acts), OJ (Agendas of Commission meetings), P (Decisions by the President of the Commission), PV (Minutes of Commission meetings), SEC (Commission documents that cannot be classified in any of the other series) or SWD (Commission staff working documents)</w:t>
      </w:r>
      <w:r w:rsidR="004B3BE1" w:rsidRPr="00FD3353">
        <w:rPr>
          <w:rFonts w:ascii="Times New Roman" w:hAnsi="Times New Roman"/>
          <w:szCs w:val="24"/>
        </w:rPr>
        <w:t>. Many are available on</w:t>
      </w:r>
      <w:r w:rsidR="00282171">
        <w:rPr>
          <w:rFonts w:ascii="Times New Roman" w:hAnsi="Times New Roman"/>
          <w:szCs w:val="24"/>
        </w:rPr>
        <w:t xml:space="preserve"> </w:t>
      </w:r>
      <w:r w:rsidR="00282171" w:rsidRPr="00282171">
        <w:rPr>
          <w:rFonts w:ascii="Times New Roman" w:hAnsi="Times New Roman"/>
          <w:szCs w:val="24"/>
        </w:rPr>
        <w:t>RegDoc</w:t>
      </w:r>
      <w:r w:rsidR="004B3BE1" w:rsidRPr="00FD3353">
        <w:rPr>
          <w:rFonts w:ascii="Times New Roman" w:hAnsi="Times New Roman"/>
          <w:szCs w:val="24"/>
        </w:rPr>
        <w:t xml:space="preserve">, Register of Delegated Acts and other corporate registers or EUR-Lex. </w:t>
      </w:r>
      <w:r w:rsidR="00EC4DBB">
        <w:rPr>
          <w:rFonts w:ascii="Times New Roman" w:hAnsi="Times New Roman"/>
          <w:bCs/>
          <w:szCs w:val="24"/>
        </w:rPr>
        <w:t>The Commission</w:t>
      </w:r>
      <w:r w:rsidR="004B3BE1" w:rsidRPr="00FD3353">
        <w:rPr>
          <w:rFonts w:ascii="Times New Roman" w:hAnsi="Times New Roman"/>
          <w:bCs/>
          <w:szCs w:val="24"/>
        </w:rPr>
        <w:t xml:space="preserve"> has already taken steps in improving its systems for proactive publication and request handling. These developments are reflected in the recent annual reports on implementation of Regulation (EC) No 1049/2001</w:t>
      </w:r>
      <w:r w:rsidR="00FD3353">
        <w:rPr>
          <w:rFonts w:ascii="Times New Roman" w:hAnsi="Times New Roman"/>
          <w:bCs/>
          <w:szCs w:val="24"/>
        </w:rPr>
        <w:t xml:space="preserve">, such as </w:t>
      </w:r>
      <w:r w:rsidR="00282171">
        <w:rPr>
          <w:rFonts w:ascii="Times New Roman" w:hAnsi="Times New Roman"/>
          <w:szCs w:val="24"/>
        </w:rPr>
        <w:t>t</w:t>
      </w:r>
      <w:r w:rsidR="00282171" w:rsidRPr="00282171">
        <w:rPr>
          <w:rFonts w:ascii="Times New Roman" w:hAnsi="Times New Roman"/>
          <w:szCs w:val="24"/>
        </w:rPr>
        <w:t xml:space="preserve">he updated version of RegDoc which became operational on 17 May 2021. It features new search functionalities, improved user interface and improved presentation of documents. As of 2022, new document types </w:t>
      </w:r>
      <w:r w:rsidR="00282171" w:rsidRPr="00282171">
        <w:rPr>
          <w:rFonts w:ascii="Times New Roman" w:hAnsi="Times New Roman"/>
          <w:szCs w:val="24"/>
        </w:rPr>
        <w:lastRenderedPageBreak/>
        <w:t>(e.g., the abovementioned JOIN acts) started being published on RegDoc</w:t>
      </w:r>
      <w:r w:rsidR="004B3BE1" w:rsidRPr="00282171">
        <w:rPr>
          <w:rFonts w:ascii="Times New Roman" w:hAnsi="Times New Roman"/>
          <w:bCs/>
          <w:szCs w:val="24"/>
        </w:rPr>
        <w:t>.</w:t>
      </w:r>
      <w:r w:rsidR="0033225C">
        <w:rPr>
          <w:rFonts w:ascii="Times New Roman" w:hAnsi="Times New Roman"/>
          <w:szCs w:val="24"/>
        </w:rPr>
        <w:t xml:space="preserve"> </w:t>
      </w:r>
      <w:r w:rsidR="00282171" w:rsidRPr="0033225C">
        <w:rPr>
          <w:rFonts w:ascii="Times New Roman" w:hAnsi="Times New Roman"/>
          <w:szCs w:val="24"/>
        </w:rPr>
        <w:t>Moreover, the Commission launched in September 2022 its current system for handling access to documents applications, namely ‘Electronic AccesS to European Commission Documents’ (or ‘EASE’). It consists of a new online portal allowing citizens to – among other functionalities – submit initial and confirmatory applications</w:t>
      </w:r>
      <w:r w:rsidR="001B1353" w:rsidRPr="0033225C">
        <w:rPr>
          <w:rFonts w:ascii="Times New Roman" w:hAnsi="Times New Roman"/>
          <w:szCs w:val="24"/>
        </w:rPr>
        <w:t>,</w:t>
      </w:r>
      <w:r w:rsidR="00282171" w:rsidRPr="0033225C">
        <w:rPr>
          <w:rFonts w:ascii="Times New Roman" w:hAnsi="Times New Roman"/>
          <w:szCs w:val="24"/>
        </w:rPr>
        <w:t xml:space="preserve"> and a new case-management system allowing the Commission staff to handle these applications. </w:t>
      </w:r>
      <w:r w:rsidR="001B1353" w:rsidRPr="0033225C">
        <w:rPr>
          <w:rFonts w:ascii="Times New Roman" w:hAnsi="Times New Roman"/>
          <w:szCs w:val="24"/>
        </w:rPr>
        <w:t>Following the (partial) disclosure, EASE allows the Commission staff</w:t>
      </w:r>
      <w:r w:rsidR="0033225C" w:rsidRPr="0033225C">
        <w:rPr>
          <w:rFonts w:ascii="Times New Roman" w:hAnsi="Times New Roman"/>
          <w:szCs w:val="24"/>
        </w:rPr>
        <w:t xml:space="preserve">, in contrast to the </w:t>
      </w:r>
      <w:r w:rsidR="00EC4DBB">
        <w:rPr>
          <w:rFonts w:ascii="Times New Roman" w:hAnsi="Times New Roman"/>
          <w:szCs w:val="24"/>
        </w:rPr>
        <w:t xml:space="preserve">old </w:t>
      </w:r>
      <w:r w:rsidR="0033225C" w:rsidRPr="0033225C">
        <w:rPr>
          <w:rFonts w:ascii="Times New Roman" w:hAnsi="Times New Roman"/>
          <w:szCs w:val="24"/>
        </w:rPr>
        <w:t>GestDem system,</w:t>
      </w:r>
      <w:r w:rsidR="001B1353" w:rsidRPr="0033225C">
        <w:rPr>
          <w:rFonts w:ascii="Times New Roman" w:hAnsi="Times New Roman"/>
          <w:szCs w:val="24"/>
        </w:rPr>
        <w:t xml:space="preserve"> to publish the documents requested on this new online portal, thus </w:t>
      </w:r>
      <w:r w:rsidR="00EC4DBB">
        <w:rPr>
          <w:rFonts w:ascii="Times New Roman" w:hAnsi="Times New Roman"/>
          <w:szCs w:val="24"/>
        </w:rPr>
        <w:t xml:space="preserve">further underlining </w:t>
      </w:r>
      <w:r w:rsidR="001B1353" w:rsidRPr="0033225C">
        <w:rPr>
          <w:rFonts w:ascii="Times New Roman" w:hAnsi="Times New Roman"/>
          <w:szCs w:val="24"/>
        </w:rPr>
        <w:t>the ‘erga omnes’ principle of Regulation (EC) No 1049/2001.</w:t>
      </w:r>
    </w:p>
    <w:p w14:paraId="05AF7284" w14:textId="59C8BC7F" w:rsidR="00C45EA3" w:rsidRPr="00FC44A5" w:rsidRDefault="00FC7346" w:rsidP="00683F4E">
      <w:pPr>
        <w:widowControl w:val="0"/>
        <w:spacing w:after="120"/>
        <w:rPr>
          <w:rFonts w:ascii="Times New Roman" w:hAnsi="Times New Roman"/>
          <w:szCs w:val="24"/>
        </w:rPr>
      </w:pPr>
      <w:r w:rsidRPr="00B92979">
        <w:rPr>
          <w:rFonts w:ascii="Times New Roman" w:hAnsi="Times New Roman"/>
          <w:szCs w:val="24"/>
        </w:rPr>
        <w:t>Regarding paragraph 37</w:t>
      </w:r>
      <w:r w:rsidR="00422F50" w:rsidRPr="00B92979">
        <w:rPr>
          <w:rFonts w:ascii="Times New Roman" w:hAnsi="Times New Roman"/>
          <w:szCs w:val="24"/>
        </w:rPr>
        <w:t xml:space="preserve"> on establishing a joint database on the state of play of legislative files</w:t>
      </w:r>
      <w:r w:rsidRPr="00B92979">
        <w:rPr>
          <w:rFonts w:ascii="Times New Roman" w:hAnsi="Times New Roman"/>
          <w:szCs w:val="24"/>
        </w:rPr>
        <w:t>, the first version of the portal is planned to be available to the public in the course of 2024</w:t>
      </w:r>
      <w:r w:rsidR="00422F50" w:rsidRPr="00B92979">
        <w:rPr>
          <w:rFonts w:ascii="Times New Roman" w:hAnsi="Times New Roman"/>
          <w:szCs w:val="24"/>
        </w:rPr>
        <w:t>.</w:t>
      </w:r>
      <w:r w:rsidRPr="00B92979">
        <w:rPr>
          <w:rFonts w:ascii="Times New Roman" w:hAnsi="Times New Roman"/>
          <w:szCs w:val="24"/>
        </w:rPr>
        <w:t xml:space="preserve"> </w:t>
      </w:r>
      <w:r w:rsidR="00422F50" w:rsidRPr="00B92979">
        <w:rPr>
          <w:rFonts w:ascii="Times New Roman" w:hAnsi="Times New Roman"/>
          <w:szCs w:val="24"/>
        </w:rPr>
        <w:t>A</w:t>
      </w:r>
      <w:r w:rsidRPr="00B92979">
        <w:rPr>
          <w:rFonts w:ascii="Times New Roman" w:hAnsi="Times New Roman"/>
          <w:szCs w:val="24"/>
        </w:rPr>
        <w:t xml:space="preserve"> more precise delivery date remains to be confirmed. This first version would present the state of play of legislative files falling under the ordinary legislative procedure, include basic search functions, and display the most important events and information. The intention is to deliver the full product, with extended functionalities, at a later stage.</w:t>
      </w:r>
      <w:bookmarkEnd w:id="0"/>
    </w:p>
    <w:sectPr w:rsidR="00C45EA3" w:rsidRPr="00FC44A5" w:rsidSect="00812321">
      <w:headerReference w:type="default" r:id="rId8"/>
      <w:footerReference w:type="even" r:id="rId9"/>
      <w:footerReference w:type="default" r:id="rId10"/>
      <w:footerReference w:type="first" r:id="rId11"/>
      <w:footnotePr>
        <w:pos w:val="beneathText"/>
        <w:numRestart w:val="eachSect"/>
      </w:footnotePr>
      <w:type w:val="continuous"/>
      <w:pgSz w:w="11906" w:h="16838" w:code="9"/>
      <w:pgMar w:top="1021" w:right="1416"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2727AF" w14:textId="77777777" w:rsidR="001C18A7" w:rsidRDefault="001C18A7">
      <w:r>
        <w:separator/>
      </w:r>
    </w:p>
  </w:endnote>
  <w:endnote w:type="continuationSeparator" w:id="0">
    <w:p w14:paraId="4ABD0241" w14:textId="77777777" w:rsidR="001C18A7" w:rsidRDefault="001C18A7">
      <w:r>
        <w:continuationSeparator/>
      </w:r>
    </w:p>
  </w:endnote>
  <w:endnote w:type="continuationNotice" w:id="1">
    <w:p w14:paraId="55C0ADBC" w14:textId="77777777" w:rsidR="001C18A7" w:rsidRDefault="001C18A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libri"/>
    <w:panose1 w:val="00000000000000000000"/>
    <w:charset w:val="00"/>
    <w:family w:val="roman"/>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C2F22"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CE8F934" w14:textId="77777777" w:rsidR="00471068" w:rsidRDefault="004710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9ED6" w14:textId="77777777" w:rsidR="00471068" w:rsidRDefault="00471068"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41C4F">
      <w:rPr>
        <w:rStyle w:val="PageNumber"/>
        <w:noProof/>
      </w:rPr>
      <w:t>3</w:t>
    </w:r>
    <w:r>
      <w:rPr>
        <w:rStyle w:val="PageNumber"/>
      </w:rPr>
      <w:fldChar w:fldCharType="end"/>
    </w:r>
  </w:p>
  <w:p w14:paraId="76797D1D" w14:textId="77777777" w:rsidR="00471068" w:rsidRPr="008A6623" w:rsidRDefault="00471068"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9EE69" w14:textId="77777777" w:rsidR="006B0483" w:rsidRDefault="006B0483" w:rsidP="006B04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233CD">
      <w:rPr>
        <w:rStyle w:val="PageNumber"/>
        <w:noProof/>
      </w:rPr>
      <w:t>1</w:t>
    </w:r>
    <w:r>
      <w:rPr>
        <w:rStyle w:val="PageNumber"/>
      </w:rPr>
      <w:fldChar w:fldCharType="end"/>
    </w:r>
  </w:p>
  <w:p w14:paraId="244C2131" w14:textId="77777777" w:rsidR="00471068" w:rsidRDefault="00471068" w:rsidP="00442B2E">
    <w:pPr>
      <w:pStyle w:val="Footer"/>
      <w:rPr>
        <w:lang w:val="fr-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B2A9E8" w14:textId="77777777" w:rsidR="001C18A7" w:rsidRDefault="001C18A7">
      <w:r>
        <w:separator/>
      </w:r>
    </w:p>
  </w:footnote>
  <w:footnote w:type="continuationSeparator" w:id="0">
    <w:p w14:paraId="51FFE0DF" w14:textId="77777777" w:rsidR="001C18A7" w:rsidRDefault="001C18A7">
      <w:r>
        <w:continuationSeparator/>
      </w:r>
    </w:p>
  </w:footnote>
  <w:footnote w:type="continuationNotice" w:id="1">
    <w:p w14:paraId="572E0846" w14:textId="77777777" w:rsidR="001C18A7" w:rsidRDefault="001C18A7">
      <w:pPr>
        <w:spacing w:after="0"/>
      </w:pPr>
    </w:p>
  </w:footnote>
  <w:footnote w:id="2">
    <w:p w14:paraId="7D9D27E9" w14:textId="77777777" w:rsidR="006E70DA" w:rsidRPr="004667BB" w:rsidRDefault="006E70DA" w:rsidP="00A602B8">
      <w:pPr>
        <w:pStyle w:val="FootnoteText"/>
        <w:spacing w:after="0"/>
        <w:rPr>
          <w:rFonts w:ascii="Times New Roman" w:hAnsi="Times New Roman"/>
        </w:rPr>
      </w:pPr>
      <w:r w:rsidRPr="004667BB">
        <w:rPr>
          <w:rStyle w:val="FootnoteReference"/>
          <w:rFonts w:ascii="Times New Roman" w:hAnsi="Times New Roman"/>
        </w:rPr>
        <w:footnoteRef/>
      </w:r>
      <w:r w:rsidRPr="004667BB">
        <w:rPr>
          <w:rFonts w:ascii="Times New Roman" w:hAnsi="Times New Roman"/>
        </w:rPr>
        <w:t xml:space="preserve"> </w:t>
      </w:r>
      <w:r w:rsidRPr="004667BB">
        <w:rPr>
          <w:rFonts w:ascii="Times New Roman" w:hAnsi="Times New Roman"/>
        </w:rPr>
        <w:tab/>
        <w:t>Regulation (EC) No 1049/2001 of the European Parliament and of the Council of 30 May 2001 regarding public access to European Parliament, Council and Commission documents (</w:t>
      </w:r>
      <w:hyperlink r:id="rId1" w:history="1">
        <w:r w:rsidRPr="004667BB">
          <w:rPr>
            <w:rStyle w:val="Hyperlink"/>
            <w:rFonts w:ascii="Times New Roman" w:hAnsi="Times New Roman"/>
          </w:rPr>
          <w:t>OJ L 145, 31.5.2001, p. 43</w:t>
        </w:r>
      </w:hyperlink>
      <w:r w:rsidRPr="004667BB">
        <w:rPr>
          <w:rFonts w:ascii="Times New Roman" w:hAnsi="Times New Roman"/>
        </w:rPr>
        <w:t>).</w:t>
      </w:r>
    </w:p>
  </w:footnote>
  <w:footnote w:id="3">
    <w:p w14:paraId="60F56FC2" w14:textId="1FD57B13" w:rsidR="00AE0E89" w:rsidRPr="00A602B8" w:rsidRDefault="00AE0E89" w:rsidP="004667BB">
      <w:pPr>
        <w:pStyle w:val="FootnoteText"/>
        <w:spacing w:after="0"/>
        <w:rPr>
          <w:rFonts w:ascii="Times New Roman" w:hAnsi="Times New Roman"/>
        </w:rPr>
      </w:pPr>
      <w:r w:rsidRPr="004667BB">
        <w:rPr>
          <w:rStyle w:val="FootnoteReference"/>
          <w:rFonts w:ascii="Times New Roman" w:hAnsi="Times New Roman"/>
        </w:rPr>
        <w:footnoteRef/>
      </w:r>
      <w:r w:rsidRPr="004667BB">
        <w:rPr>
          <w:rFonts w:ascii="Times New Roman" w:hAnsi="Times New Roman"/>
        </w:rPr>
        <w:t xml:space="preserve"> </w:t>
      </w:r>
      <w:r w:rsidRPr="004667BB">
        <w:rPr>
          <w:rFonts w:ascii="Times New Roman" w:hAnsi="Times New Roman"/>
        </w:rPr>
        <w:tab/>
      </w:r>
      <w:hyperlink r:id="rId2" w:history="1">
        <w:r w:rsidRPr="00A602B8">
          <w:rPr>
            <w:rStyle w:val="Hyperlink"/>
            <w:rFonts w:ascii="Times New Roman" w:hAnsi="Times New Roman"/>
          </w:rPr>
          <w:t>https://www.ombudsman.europa.eu/en/special-report/en/175425</w:t>
        </w:r>
      </w:hyperlink>
      <w:r w:rsidRPr="00A602B8">
        <w:rPr>
          <w:rFonts w:ascii="Times New Roman" w:hAnsi="Times New Roman"/>
        </w:rPr>
        <w:t xml:space="preserve"> </w:t>
      </w:r>
    </w:p>
  </w:footnote>
  <w:footnote w:id="4">
    <w:p w14:paraId="6156273A" w14:textId="5473413C" w:rsidR="004B4930" w:rsidRPr="004B4930" w:rsidRDefault="004B4930">
      <w:pPr>
        <w:pStyle w:val="FootnoteText"/>
        <w:rPr>
          <w:rFonts w:ascii="Times New Roman" w:hAnsi="Times New Roman"/>
        </w:rPr>
      </w:pPr>
      <w:r w:rsidRPr="00A602B8">
        <w:rPr>
          <w:rStyle w:val="FootnoteReference"/>
          <w:rFonts w:ascii="Times New Roman" w:hAnsi="Times New Roman"/>
        </w:rPr>
        <w:footnoteRef/>
      </w:r>
      <w:r w:rsidRPr="00A602B8">
        <w:rPr>
          <w:rFonts w:ascii="Times New Roman" w:hAnsi="Times New Roman"/>
        </w:rPr>
        <w:t xml:space="preserve"> </w:t>
      </w:r>
      <w:r w:rsidRPr="00A602B8">
        <w:rPr>
          <w:rFonts w:ascii="Times New Roman" w:hAnsi="Times New Roman"/>
        </w:rPr>
        <w:tab/>
      </w:r>
      <w:hyperlink r:id="rId3" w:history="1">
        <w:r w:rsidRPr="00A602B8">
          <w:rPr>
            <w:rStyle w:val="Hyperlink"/>
            <w:rFonts w:ascii="Times New Roman" w:hAnsi="Times New Roman"/>
          </w:rPr>
          <w:t>https://www.ombudsman.europa.eu/en/doc/correspondence/en/157681</w:t>
        </w:r>
      </w:hyperlink>
      <w:r>
        <w:rPr>
          <w:rFonts w:ascii="Times New Roman" w:hAnsi="Times New Roman"/>
        </w:rPr>
        <w:t xml:space="preserve"> </w:t>
      </w:r>
    </w:p>
  </w:footnote>
  <w:footnote w:id="5">
    <w:p w14:paraId="71F89F79" w14:textId="7FDE00DC" w:rsidR="00B72F17" w:rsidRPr="00A602B8" w:rsidRDefault="00B72F17" w:rsidP="004667BB">
      <w:pPr>
        <w:pStyle w:val="FootnoteText"/>
        <w:spacing w:after="0"/>
        <w:rPr>
          <w:rFonts w:ascii="Times New Roman" w:hAnsi="Times New Roman"/>
        </w:rPr>
      </w:pPr>
      <w:r w:rsidRPr="004667BB">
        <w:rPr>
          <w:rStyle w:val="FootnoteReference"/>
          <w:rFonts w:ascii="Times New Roman" w:hAnsi="Times New Roman"/>
        </w:rPr>
        <w:footnoteRef/>
      </w:r>
      <w:r w:rsidRPr="004667BB">
        <w:rPr>
          <w:rFonts w:ascii="Times New Roman" w:hAnsi="Times New Roman"/>
        </w:rPr>
        <w:t xml:space="preserve"> </w:t>
      </w:r>
      <w:r w:rsidRPr="004667BB">
        <w:rPr>
          <w:rFonts w:ascii="Times New Roman" w:hAnsi="Times New Roman"/>
        </w:rPr>
        <w:tab/>
      </w:r>
      <w:hyperlink r:id="rId4" w:history="1">
        <w:r w:rsidRPr="00A602B8">
          <w:rPr>
            <w:rStyle w:val="Hyperlink"/>
            <w:rFonts w:ascii="Times New Roman" w:hAnsi="Times New Roman"/>
          </w:rPr>
          <w:t>https://ec.europa.eu/atwork/applying-eu-law/infringements-proceedings/infringement_decisions/?lang_code=en</w:t>
        </w:r>
      </w:hyperlink>
    </w:p>
  </w:footnote>
  <w:footnote w:id="6">
    <w:p w14:paraId="2AD09178" w14:textId="3B88BCDA" w:rsidR="00B72F17" w:rsidRPr="004667BB" w:rsidRDefault="00B72F17" w:rsidP="004667BB">
      <w:pPr>
        <w:pStyle w:val="FootnoteText"/>
        <w:spacing w:after="0"/>
        <w:rPr>
          <w:rFonts w:ascii="Times New Roman" w:hAnsi="Times New Roman"/>
        </w:rPr>
      </w:pPr>
      <w:r w:rsidRPr="00A602B8">
        <w:rPr>
          <w:rStyle w:val="FootnoteReference"/>
          <w:rFonts w:ascii="Times New Roman" w:hAnsi="Times New Roman"/>
        </w:rPr>
        <w:footnoteRef/>
      </w:r>
      <w:r w:rsidRPr="00A602B8">
        <w:rPr>
          <w:rFonts w:ascii="Times New Roman" w:hAnsi="Times New Roman"/>
        </w:rPr>
        <w:t xml:space="preserve"> </w:t>
      </w:r>
      <w:r w:rsidRPr="00A602B8">
        <w:rPr>
          <w:rFonts w:ascii="Times New Roman" w:hAnsi="Times New Roman"/>
        </w:rPr>
        <w:tab/>
      </w:r>
      <w:hyperlink r:id="rId5" w:history="1">
        <w:r w:rsidRPr="00A602B8">
          <w:rPr>
            <w:rStyle w:val="Hyperlink"/>
            <w:rFonts w:ascii="Times New Roman" w:hAnsi="Times New Roman"/>
          </w:rPr>
          <w:t>https://commission.europa.eu/publications/annual-reports-monitoring-application-eu-law_en</w:t>
        </w:r>
      </w:hyperlink>
    </w:p>
  </w:footnote>
  <w:footnote w:id="7">
    <w:p w14:paraId="7833AD97" w14:textId="69263BCD" w:rsidR="00E66EE4" w:rsidRPr="00A602B8" w:rsidRDefault="00E66EE4" w:rsidP="003E7754">
      <w:pPr>
        <w:pStyle w:val="FootnoteText"/>
        <w:spacing w:after="0"/>
        <w:rPr>
          <w:rFonts w:ascii="Times New Roman" w:hAnsi="Times New Roman"/>
        </w:rPr>
      </w:pPr>
      <w:r w:rsidRPr="004667BB">
        <w:rPr>
          <w:rStyle w:val="FootnoteReference"/>
          <w:rFonts w:ascii="Times New Roman" w:hAnsi="Times New Roman"/>
        </w:rPr>
        <w:footnoteRef/>
      </w:r>
      <w:r w:rsidRPr="004667BB">
        <w:rPr>
          <w:rFonts w:ascii="Times New Roman" w:hAnsi="Times New Roman"/>
        </w:rPr>
        <w:t xml:space="preserve"> </w:t>
      </w:r>
      <w:r w:rsidRPr="004667BB">
        <w:rPr>
          <w:rFonts w:ascii="Times New Roman" w:hAnsi="Times New Roman"/>
        </w:rPr>
        <w:tab/>
        <w:t>Regulation (EU, Euratom) No 883/2013 of the European Parliament and of the Council of 11</w:t>
      </w:r>
      <w:r w:rsidR="00A602B8">
        <w:rPr>
          <w:rFonts w:ascii="Times New Roman" w:hAnsi="Times New Roman"/>
        </w:rPr>
        <w:t xml:space="preserve"> </w:t>
      </w:r>
      <w:r w:rsidRPr="004667BB">
        <w:rPr>
          <w:rFonts w:ascii="Times New Roman" w:hAnsi="Times New Roman"/>
        </w:rPr>
        <w:t xml:space="preserve">September 2013 concerning investigations conducted by the European Anti-Fraud Office (OLAF) and repealing </w:t>
      </w:r>
      <w:r w:rsidRPr="00A602B8">
        <w:rPr>
          <w:rFonts w:ascii="Times New Roman" w:hAnsi="Times New Roman"/>
        </w:rPr>
        <w:t>Regulation (EC) No 1073/1999 of the European Parliament and of the Council and Council Regulation (Euratom) No 1074/1999 (</w:t>
      </w:r>
      <w:hyperlink r:id="rId6" w:history="1">
        <w:r w:rsidRPr="00A602B8">
          <w:rPr>
            <w:rStyle w:val="Hyperlink"/>
            <w:rFonts w:ascii="Times New Roman" w:hAnsi="Times New Roman"/>
          </w:rPr>
          <w:t>OJ L 248, 18.9.2013, p. 1</w:t>
        </w:r>
      </w:hyperlink>
      <w:r w:rsidRPr="00A602B8">
        <w:rPr>
          <w:rFonts w:ascii="Times New Roman" w:hAnsi="Times New Roman"/>
        </w:rPr>
        <w:t>)</w:t>
      </w:r>
      <w:r w:rsidR="006E70DA" w:rsidRPr="00A602B8">
        <w:rPr>
          <w:rFonts w:ascii="Times New Roman" w:hAnsi="Times New Roman"/>
        </w:rPr>
        <w:t>.</w:t>
      </w:r>
    </w:p>
  </w:footnote>
  <w:footnote w:id="8">
    <w:p w14:paraId="46F24144" w14:textId="77777777" w:rsidR="009A2F71" w:rsidRPr="004667BB" w:rsidRDefault="009A2F71" w:rsidP="003E7754">
      <w:pPr>
        <w:pStyle w:val="FootnoteText"/>
        <w:spacing w:after="0"/>
        <w:rPr>
          <w:rFonts w:ascii="Times New Roman" w:hAnsi="Times New Roman"/>
        </w:rPr>
      </w:pPr>
      <w:r w:rsidRPr="00A602B8">
        <w:rPr>
          <w:rStyle w:val="FootnoteReference"/>
          <w:rFonts w:ascii="Times New Roman" w:hAnsi="Times New Roman"/>
        </w:rPr>
        <w:footnoteRef/>
      </w:r>
      <w:r w:rsidRPr="00A602B8">
        <w:rPr>
          <w:rFonts w:ascii="Times New Roman" w:hAnsi="Times New Roman"/>
        </w:rPr>
        <w:t xml:space="preserve"> </w:t>
      </w:r>
      <w:r w:rsidRPr="00A602B8">
        <w:rPr>
          <w:rFonts w:ascii="Times New Roman" w:hAnsi="Times New Roman"/>
        </w:rPr>
        <w:tab/>
        <w:t>Regulation (EU) 2021/1060 of the European Parliament and of the Council of 24 June 2021 laying down common provisions on the European Regional Development Fund, the European Social Fund Plus, the Cohesion Fund, the Just Transition Fund and the European Maritime, Fisheries and Aquaculture Fund and financial rules for those and for the Asylum, Migration and Integration Fund, the Internal Security Fund and the Instrument for Financial Support for Border Management and Visa Policy (</w:t>
      </w:r>
      <w:hyperlink r:id="rId7" w:history="1">
        <w:r w:rsidRPr="00A602B8">
          <w:rPr>
            <w:rStyle w:val="Hyperlink"/>
            <w:rFonts w:ascii="Times New Roman" w:hAnsi="Times New Roman"/>
          </w:rPr>
          <w:t>OJ L 231, 30.6.2021, p. 159</w:t>
        </w:r>
      </w:hyperlink>
      <w:r w:rsidRPr="00A602B8">
        <w:rPr>
          <w:rFonts w:ascii="Times New Roman" w:hAnsi="Times New Roman"/>
        </w:rPr>
        <w:t>);</w:t>
      </w:r>
    </w:p>
  </w:footnote>
  <w:footnote w:id="9">
    <w:p w14:paraId="7763F490" w14:textId="0E72A198" w:rsidR="003F5D51" w:rsidRPr="00A602B8" w:rsidRDefault="003F5D51" w:rsidP="00A602B8">
      <w:pPr>
        <w:pStyle w:val="FootnoteText"/>
        <w:spacing w:after="0"/>
        <w:rPr>
          <w:rFonts w:ascii="Times New Roman" w:hAnsi="Times New Roman"/>
        </w:rPr>
      </w:pPr>
      <w:r w:rsidRPr="004667BB">
        <w:rPr>
          <w:rStyle w:val="FootnoteReference"/>
          <w:rFonts w:ascii="Times New Roman" w:hAnsi="Times New Roman"/>
        </w:rPr>
        <w:footnoteRef/>
      </w:r>
      <w:r w:rsidRPr="004667BB">
        <w:rPr>
          <w:rFonts w:ascii="Times New Roman" w:hAnsi="Times New Roman"/>
        </w:rPr>
        <w:t xml:space="preserve"> </w:t>
      </w:r>
      <w:r w:rsidRPr="004667BB">
        <w:rPr>
          <w:rFonts w:ascii="Times New Roman" w:hAnsi="Times New Roman"/>
        </w:rPr>
        <w:tab/>
      </w:r>
      <w:r w:rsidRPr="00A602B8">
        <w:rPr>
          <w:rFonts w:ascii="Times New Roman" w:hAnsi="Times New Roman"/>
        </w:rPr>
        <w:t>Regulation (EU) 2016/679 of the European Parliament and of the Council of 27 April 2016 on the protection of natural persons with regard to the processing of personal data and on the free movement of such data, and repealing Directive 95/46/EC (General Data Protection Regulation) (</w:t>
      </w:r>
      <w:hyperlink r:id="rId8" w:history="1">
        <w:r w:rsidR="004667BB" w:rsidRPr="00A602B8">
          <w:rPr>
            <w:rStyle w:val="Hyperlink"/>
            <w:rFonts w:ascii="Times New Roman" w:hAnsi="Times New Roman"/>
            <w:shd w:val="clear" w:color="auto" w:fill="FFFFFF"/>
          </w:rPr>
          <w:t>OJ L 119, 4.5.2016, p. 1</w:t>
        </w:r>
      </w:hyperlink>
      <w:r w:rsidRPr="00A602B8">
        <w:rPr>
          <w:rFonts w:ascii="Times New Roman" w:hAnsi="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597D6" w14:textId="77777777" w:rsidR="001C18A7" w:rsidRDefault="001C18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AA7686E"/>
    <w:multiLevelType w:val="hybridMultilevel"/>
    <w:tmpl w:val="D1D45CA8"/>
    <w:lvl w:ilvl="0" w:tplc="26A4D58A">
      <w:start w:val="1"/>
      <w:numFmt w:val="decimal"/>
      <w:lvlText w:val="%1."/>
      <w:lvlJc w:val="left"/>
      <w:pPr>
        <w:ind w:left="1065" w:hanging="705"/>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831A51"/>
    <w:multiLevelType w:val="hybridMultilevel"/>
    <w:tmpl w:val="BCAED5BC"/>
    <w:lvl w:ilvl="0" w:tplc="7C765058">
      <w:start w:val="1"/>
      <w:numFmt w:val="decimal"/>
      <w:lvlText w:val="%1."/>
      <w:lvlJc w:val="left"/>
      <w:pPr>
        <w:ind w:left="644"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8"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DA0D4D"/>
    <w:multiLevelType w:val="hybridMultilevel"/>
    <w:tmpl w:val="A71A327C"/>
    <w:lvl w:ilvl="0" w:tplc="47BEBF68">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1" w15:restartNumberingAfterBreak="0">
    <w:nsid w:val="1D8653DD"/>
    <w:multiLevelType w:val="hybridMultilevel"/>
    <w:tmpl w:val="3056C994"/>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2AC220BA"/>
    <w:multiLevelType w:val="hybridMultilevel"/>
    <w:tmpl w:val="04825B84"/>
    <w:lvl w:ilvl="0" w:tplc="426A5F28">
      <w:start w:val="1"/>
      <w:numFmt w:val="decimal"/>
      <w:lvlText w:val="%1."/>
      <w:lvlJc w:val="left"/>
      <w:pPr>
        <w:ind w:left="927" w:hanging="360"/>
      </w:pPr>
      <w:rPr>
        <w:rFonts w:hint="default"/>
      </w:rPr>
    </w:lvl>
    <w:lvl w:ilvl="1" w:tplc="18090019" w:tentative="1">
      <w:start w:val="1"/>
      <w:numFmt w:val="lowerLetter"/>
      <w:lvlText w:val="%2."/>
      <w:lvlJc w:val="left"/>
      <w:pPr>
        <w:ind w:left="1647" w:hanging="360"/>
      </w:pPr>
    </w:lvl>
    <w:lvl w:ilvl="2" w:tplc="1809001B" w:tentative="1">
      <w:start w:val="1"/>
      <w:numFmt w:val="lowerRoman"/>
      <w:lvlText w:val="%3."/>
      <w:lvlJc w:val="right"/>
      <w:pPr>
        <w:ind w:left="2367" w:hanging="180"/>
      </w:pPr>
    </w:lvl>
    <w:lvl w:ilvl="3" w:tplc="1809000F" w:tentative="1">
      <w:start w:val="1"/>
      <w:numFmt w:val="decimal"/>
      <w:lvlText w:val="%4."/>
      <w:lvlJc w:val="left"/>
      <w:pPr>
        <w:ind w:left="3087" w:hanging="360"/>
      </w:pPr>
    </w:lvl>
    <w:lvl w:ilvl="4" w:tplc="18090019" w:tentative="1">
      <w:start w:val="1"/>
      <w:numFmt w:val="lowerLetter"/>
      <w:lvlText w:val="%5."/>
      <w:lvlJc w:val="left"/>
      <w:pPr>
        <w:ind w:left="3807" w:hanging="360"/>
      </w:pPr>
    </w:lvl>
    <w:lvl w:ilvl="5" w:tplc="1809001B" w:tentative="1">
      <w:start w:val="1"/>
      <w:numFmt w:val="lowerRoman"/>
      <w:lvlText w:val="%6."/>
      <w:lvlJc w:val="right"/>
      <w:pPr>
        <w:ind w:left="4527" w:hanging="180"/>
      </w:pPr>
    </w:lvl>
    <w:lvl w:ilvl="6" w:tplc="1809000F" w:tentative="1">
      <w:start w:val="1"/>
      <w:numFmt w:val="decimal"/>
      <w:lvlText w:val="%7."/>
      <w:lvlJc w:val="left"/>
      <w:pPr>
        <w:ind w:left="5247" w:hanging="360"/>
      </w:pPr>
    </w:lvl>
    <w:lvl w:ilvl="7" w:tplc="18090019" w:tentative="1">
      <w:start w:val="1"/>
      <w:numFmt w:val="lowerLetter"/>
      <w:lvlText w:val="%8."/>
      <w:lvlJc w:val="left"/>
      <w:pPr>
        <w:ind w:left="5967" w:hanging="360"/>
      </w:pPr>
    </w:lvl>
    <w:lvl w:ilvl="8" w:tplc="1809001B" w:tentative="1">
      <w:start w:val="1"/>
      <w:numFmt w:val="lowerRoman"/>
      <w:lvlText w:val="%9."/>
      <w:lvlJc w:val="right"/>
      <w:pPr>
        <w:ind w:left="6687" w:hanging="180"/>
      </w:pPr>
    </w:lvl>
  </w:abstractNum>
  <w:abstractNum w:abstractNumId="14"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7"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2D52663"/>
    <w:multiLevelType w:val="hybridMultilevel"/>
    <w:tmpl w:val="49FA7B1C"/>
    <w:lvl w:ilvl="0" w:tplc="585C461E">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2F607F"/>
    <w:multiLevelType w:val="hybridMultilevel"/>
    <w:tmpl w:val="2EAE1878"/>
    <w:lvl w:ilvl="0" w:tplc="3228B35C">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596461"/>
    <w:multiLevelType w:val="hybridMultilevel"/>
    <w:tmpl w:val="9DF09A94"/>
    <w:lvl w:ilvl="0" w:tplc="94A62EB0">
      <w:start w:val="1"/>
      <w:numFmt w:val="decimal"/>
      <w:lvlText w:val="%1."/>
      <w:lvlJc w:val="left"/>
      <w:pPr>
        <w:ind w:left="1429" w:hanging="360"/>
      </w:pPr>
      <w:rPr>
        <w:b/>
        <w:i w:val="0"/>
      </w:rPr>
    </w:lvl>
    <w:lvl w:ilvl="1" w:tplc="080C0019">
      <w:start w:val="1"/>
      <w:numFmt w:val="lowerLetter"/>
      <w:lvlText w:val="%2."/>
      <w:lvlJc w:val="left"/>
      <w:pPr>
        <w:ind w:left="2149" w:hanging="360"/>
      </w:pPr>
    </w:lvl>
    <w:lvl w:ilvl="2" w:tplc="080C001B" w:tentative="1">
      <w:start w:val="1"/>
      <w:numFmt w:val="lowerRoman"/>
      <w:lvlText w:val="%3."/>
      <w:lvlJc w:val="right"/>
      <w:pPr>
        <w:ind w:left="2869" w:hanging="180"/>
      </w:pPr>
    </w:lvl>
    <w:lvl w:ilvl="3" w:tplc="080C000F" w:tentative="1">
      <w:start w:val="1"/>
      <w:numFmt w:val="decimal"/>
      <w:lvlText w:val="%4."/>
      <w:lvlJc w:val="left"/>
      <w:pPr>
        <w:ind w:left="3589" w:hanging="360"/>
      </w:pPr>
    </w:lvl>
    <w:lvl w:ilvl="4" w:tplc="080C0019" w:tentative="1">
      <w:start w:val="1"/>
      <w:numFmt w:val="lowerLetter"/>
      <w:lvlText w:val="%5."/>
      <w:lvlJc w:val="left"/>
      <w:pPr>
        <w:ind w:left="4309" w:hanging="360"/>
      </w:pPr>
    </w:lvl>
    <w:lvl w:ilvl="5" w:tplc="080C001B" w:tentative="1">
      <w:start w:val="1"/>
      <w:numFmt w:val="lowerRoman"/>
      <w:lvlText w:val="%6."/>
      <w:lvlJc w:val="right"/>
      <w:pPr>
        <w:ind w:left="5029" w:hanging="180"/>
      </w:pPr>
    </w:lvl>
    <w:lvl w:ilvl="6" w:tplc="080C000F" w:tentative="1">
      <w:start w:val="1"/>
      <w:numFmt w:val="decimal"/>
      <w:lvlText w:val="%7."/>
      <w:lvlJc w:val="left"/>
      <w:pPr>
        <w:ind w:left="5749" w:hanging="360"/>
      </w:pPr>
    </w:lvl>
    <w:lvl w:ilvl="7" w:tplc="080C0019" w:tentative="1">
      <w:start w:val="1"/>
      <w:numFmt w:val="lowerLetter"/>
      <w:lvlText w:val="%8."/>
      <w:lvlJc w:val="left"/>
      <w:pPr>
        <w:ind w:left="6469" w:hanging="360"/>
      </w:pPr>
    </w:lvl>
    <w:lvl w:ilvl="8" w:tplc="080C001B" w:tentative="1">
      <w:start w:val="1"/>
      <w:numFmt w:val="lowerRoman"/>
      <w:lvlText w:val="%9."/>
      <w:lvlJc w:val="right"/>
      <w:pPr>
        <w:ind w:left="7189" w:hanging="180"/>
      </w:pPr>
    </w:lvl>
  </w:abstractNum>
  <w:abstractNum w:abstractNumId="21" w15:restartNumberingAfterBreak="0">
    <w:nsid w:val="4B5F428A"/>
    <w:multiLevelType w:val="hybridMultilevel"/>
    <w:tmpl w:val="136C885A"/>
    <w:lvl w:ilvl="0" w:tplc="66B6DB76">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A6298"/>
    <w:multiLevelType w:val="hybridMultilevel"/>
    <w:tmpl w:val="68B8F702"/>
    <w:lvl w:ilvl="0" w:tplc="B8E4B348">
      <w:start w:val="1"/>
      <w:numFmt w:val="bullet"/>
      <w:lvlText w:val="-"/>
      <w:lvlJc w:val="left"/>
      <w:pPr>
        <w:ind w:left="1440" w:hanging="360"/>
      </w:pPr>
      <w:rPr>
        <w:rFonts w:ascii="Calibri" w:eastAsia="Calibri" w:hAnsi="Calibri" w:cs="Calibri" w:hint="default"/>
      </w:rPr>
    </w:lvl>
    <w:lvl w:ilvl="1" w:tplc="08090003" w:tentative="1">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4"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5"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6" w15:restartNumberingAfterBreak="0">
    <w:nsid w:val="5EFF257D"/>
    <w:multiLevelType w:val="hybridMultilevel"/>
    <w:tmpl w:val="DD2A3844"/>
    <w:lvl w:ilvl="0" w:tplc="812854B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6B5A37B8"/>
    <w:multiLevelType w:val="hybridMultilevel"/>
    <w:tmpl w:val="AD1ECD8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1"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4"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5" w15:restartNumberingAfterBreak="0">
    <w:nsid w:val="795D3BA0"/>
    <w:multiLevelType w:val="hybridMultilevel"/>
    <w:tmpl w:val="4F76D5A2"/>
    <w:lvl w:ilvl="0" w:tplc="DE7488B6">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AA2612"/>
    <w:multiLevelType w:val="hybridMultilevel"/>
    <w:tmpl w:val="8F2E6EC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7"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209342734">
    <w:abstractNumId w:val="7"/>
  </w:num>
  <w:num w:numId="2" w16cid:durableId="148182179">
    <w:abstractNumId w:val="1"/>
  </w:num>
  <w:num w:numId="3" w16cid:durableId="505511010">
    <w:abstractNumId w:val="34"/>
  </w:num>
  <w:num w:numId="4" w16cid:durableId="580018736">
    <w:abstractNumId w:val="14"/>
  </w:num>
  <w:num w:numId="5" w16cid:durableId="221647625">
    <w:abstractNumId w:val="30"/>
  </w:num>
  <w:num w:numId="6" w16cid:durableId="298344620">
    <w:abstractNumId w:val="10"/>
  </w:num>
  <w:num w:numId="7" w16cid:durableId="58093387">
    <w:abstractNumId w:val="6"/>
  </w:num>
  <w:num w:numId="8" w16cid:durableId="1122530581">
    <w:abstractNumId w:val="16"/>
  </w:num>
  <w:num w:numId="9" w16cid:durableId="1479684095">
    <w:abstractNumId w:val="33"/>
  </w:num>
  <w:num w:numId="10" w16cid:durableId="340007303">
    <w:abstractNumId w:val="25"/>
  </w:num>
  <w:num w:numId="11" w16cid:durableId="346519941">
    <w:abstractNumId w:val="27"/>
  </w:num>
  <w:num w:numId="12" w16cid:durableId="691036718">
    <w:abstractNumId w:val="12"/>
  </w:num>
  <w:num w:numId="13" w16cid:durableId="1452093781">
    <w:abstractNumId w:val="17"/>
  </w:num>
  <w:num w:numId="14" w16cid:durableId="906961314">
    <w:abstractNumId w:val="31"/>
  </w:num>
  <w:num w:numId="15" w16cid:durableId="1388455259">
    <w:abstractNumId w:val="15"/>
  </w:num>
  <w:num w:numId="16" w16cid:durableId="1677533267">
    <w:abstractNumId w:val="37"/>
  </w:num>
  <w:num w:numId="17" w16cid:durableId="961619330">
    <w:abstractNumId w:val="32"/>
  </w:num>
  <w:num w:numId="18" w16cid:durableId="1095638383">
    <w:abstractNumId w:val="23"/>
  </w:num>
  <w:num w:numId="19" w16cid:durableId="357776219">
    <w:abstractNumId w:val="24"/>
  </w:num>
  <w:num w:numId="20" w16cid:durableId="1481578588">
    <w:abstractNumId w:val="29"/>
  </w:num>
  <w:num w:numId="21" w16cid:durableId="1812137613">
    <w:abstractNumId w:val="3"/>
  </w:num>
  <w:num w:numId="22" w16cid:durableId="370300677">
    <w:abstractNumId w:val="4"/>
  </w:num>
  <w:num w:numId="23" w16cid:durableId="1948660650">
    <w:abstractNumId w:val="5"/>
  </w:num>
  <w:num w:numId="24" w16cid:durableId="1221136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46547536">
    <w:abstractNumId w:val="35"/>
  </w:num>
  <w:num w:numId="26" w16cid:durableId="1203983393">
    <w:abstractNumId w:val="26"/>
  </w:num>
  <w:num w:numId="27" w16cid:durableId="1149204463">
    <w:abstractNumId w:val="18"/>
  </w:num>
  <w:num w:numId="28" w16cid:durableId="614867515">
    <w:abstractNumId w:val="36"/>
  </w:num>
  <w:num w:numId="29" w16cid:durableId="1513490821">
    <w:abstractNumId w:val="2"/>
  </w:num>
  <w:num w:numId="30" w16cid:durableId="1269506392">
    <w:abstractNumId w:val="22"/>
  </w:num>
  <w:num w:numId="31" w16cid:durableId="160509948">
    <w:abstractNumId w:val="21"/>
  </w:num>
  <w:num w:numId="32" w16cid:durableId="146094414">
    <w:abstractNumId w:val="9"/>
  </w:num>
  <w:num w:numId="33" w16cid:durableId="2145806991">
    <w:abstractNumId w:val="11"/>
  </w:num>
  <w:num w:numId="34" w16cid:durableId="1322079617">
    <w:abstractNumId w:val="20"/>
  </w:num>
  <w:num w:numId="35" w16cid:durableId="1661734410">
    <w:abstractNumId w:val="19"/>
  </w:num>
  <w:num w:numId="36" w16cid:durableId="1816070214">
    <w:abstractNumId w:val="1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Restart w:val="eachSect"/>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LW_DocType" w:val="TEL"/>
  </w:docVars>
  <w:rsids>
    <w:rsidRoot w:val="009A3DA0"/>
    <w:rsid w:val="00000039"/>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79C"/>
    <w:rsid w:val="00002CF6"/>
    <w:rsid w:val="000031B6"/>
    <w:rsid w:val="00003423"/>
    <w:rsid w:val="00003511"/>
    <w:rsid w:val="00003652"/>
    <w:rsid w:val="00003862"/>
    <w:rsid w:val="00003C85"/>
    <w:rsid w:val="00004288"/>
    <w:rsid w:val="0000450D"/>
    <w:rsid w:val="000046C1"/>
    <w:rsid w:val="00004A5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F0E"/>
    <w:rsid w:val="0000749B"/>
    <w:rsid w:val="000074BB"/>
    <w:rsid w:val="000075DF"/>
    <w:rsid w:val="000078A5"/>
    <w:rsid w:val="00007CED"/>
    <w:rsid w:val="00007ECC"/>
    <w:rsid w:val="0001047E"/>
    <w:rsid w:val="0001064E"/>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9A"/>
    <w:rsid w:val="00015A65"/>
    <w:rsid w:val="00015B9E"/>
    <w:rsid w:val="00015C38"/>
    <w:rsid w:val="00015EB6"/>
    <w:rsid w:val="00015ECC"/>
    <w:rsid w:val="00015F13"/>
    <w:rsid w:val="0001612D"/>
    <w:rsid w:val="000162A0"/>
    <w:rsid w:val="000164BD"/>
    <w:rsid w:val="000166D5"/>
    <w:rsid w:val="00016912"/>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A5"/>
    <w:rsid w:val="00023424"/>
    <w:rsid w:val="00023451"/>
    <w:rsid w:val="00023626"/>
    <w:rsid w:val="00023C78"/>
    <w:rsid w:val="00023E4D"/>
    <w:rsid w:val="000240AC"/>
    <w:rsid w:val="000241F9"/>
    <w:rsid w:val="00024204"/>
    <w:rsid w:val="000242C9"/>
    <w:rsid w:val="0002435B"/>
    <w:rsid w:val="0002452D"/>
    <w:rsid w:val="00024671"/>
    <w:rsid w:val="00024685"/>
    <w:rsid w:val="000248D5"/>
    <w:rsid w:val="000249F6"/>
    <w:rsid w:val="00024BE2"/>
    <w:rsid w:val="00024C5F"/>
    <w:rsid w:val="00024F7A"/>
    <w:rsid w:val="000250B7"/>
    <w:rsid w:val="00025341"/>
    <w:rsid w:val="00025501"/>
    <w:rsid w:val="0002561D"/>
    <w:rsid w:val="00025D8A"/>
    <w:rsid w:val="00025EB9"/>
    <w:rsid w:val="000260DC"/>
    <w:rsid w:val="000261DA"/>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792"/>
    <w:rsid w:val="000328B1"/>
    <w:rsid w:val="00032DC3"/>
    <w:rsid w:val="00032E4F"/>
    <w:rsid w:val="00032EDB"/>
    <w:rsid w:val="000332FE"/>
    <w:rsid w:val="000337C2"/>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46E"/>
    <w:rsid w:val="000414BC"/>
    <w:rsid w:val="0004189C"/>
    <w:rsid w:val="0004193F"/>
    <w:rsid w:val="0004195A"/>
    <w:rsid w:val="00041A87"/>
    <w:rsid w:val="00041C4F"/>
    <w:rsid w:val="00041F1F"/>
    <w:rsid w:val="0004209B"/>
    <w:rsid w:val="000420DB"/>
    <w:rsid w:val="000421A1"/>
    <w:rsid w:val="000423C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FAD"/>
    <w:rsid w:val="000541A5"/>
    <w:rsid w:val="0005422C"/>
    <w:rsid w:val="0005432C"/>
    <w:rsid w:val="00054C6E"/>
    <w:rsid w:val="00054DF3"/>
    <w:rsid w:val="00055034"/>
    <w:rsid w:val="000550B3"/>
    <w:rsid w:val="0005513C"/>
    <w:rsid w:val="00055234"/>
    <w:rsid w:val="00055406"/>
    <w:rsid w:val="00055569"/>
    <w:rsid w:val="00055DF6"/>
    <w:rsid w:val="00055ED8"/>
    <w:rsid w:val="000568D7"/>
    <w:rsid w:val="000568F4"/>
    <w:rsid w:val="00056C02"/>
    <w:rsid w:val="00057006"/>
    <w:rsid w:val="00057285"/>
    <w:rsid w:val="0005742E"/>
    <w:rsid w:val="00057439"/>
    <w:rsid w:val="000574AC"/>
    <w:rsid w:val="0005753C"/>
    <w:rsid w:val="00057745"/>
    <w:rsid w:val="00057902"/>
    <w:rsid w:val="00057E1C"/>
    <w:rsid w:val="00057EA9"/>
    <w:rsid w:val="00060742"/>
    <w:rsid w:val="0006088F"/>
    <w:rsid w:val="00060C03"/>
    <w:rsid w:val="00060C9D"/>
    <w:rsid w:val="00060CB2"/>
    <w:rsid w:val="00060D87"/>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505"/>
    <w:rsid w:val="00063857"/>
    <w:rsid w:val="0006396A"/>
    <w:rsid w:val="00063A60"/>
    <w:rsid w:val="00063AEF"/>
    <w:rsid w:val="00063B1D"/>
    <w:rsid w:val="00063C33"/>
    <w:rsid w:val="00063DCE"/>
    <w:rsid w:val="00063F33"/>
    <w:rsid w:val="00064178"/>
    <w:rsid w:val="0006443B"/>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4BE"/>
    <w:rsid w:val="00066554"/>
    <w:rsid w:val="0006680F"/>
    <w:rsid w:val="00066D35"/>
    <w:rsid w:val="00067155"/>
    <w:rsid w:val="00067567"/>
    <w:rsid w:val="00067C33"/>
    <w:rsid w:val="00067FB5"/>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D03"/>
    <w:rsid w:val="0007403A"/>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0A"/>
    <w:rsid w:val="000804D5"/>
    <w:rsid w:val="000807AE"/>
    <w:rsid w:val="000807B5"/>
    <w:rsid w:val="00080B91"/>
    <w:rsid w:val="00080CE2"/>
    <w:rsid w:val="00080F35"/>
    <w:rsid w:val="000811A4"/>
    <w:rsid w:val="000811D4"/>
    <w:rsid w:val="00081259"/>
    <w:rsid w:val="00081792"/>
    <w:rsid w:val="0008187A"/>
    <w:rsid w:val="0008189D"/>
    <w:rsid w:val="0008216A"/>
    <w:rsid w:val="0008217D"/>
    <w:rsid w:val="000825F0"/>
    <w:rsid w:val="000827CD"/>
    <w:rsid w:val="00082B1C"/>
    <w:rsid w:val="00083121"/>
    <w:rsid w:val="00083469"/>
    <w:rsid w:val="000834CD"/>
    <w:rsid w:val="000835B0"/>
    <w:rsid w:val="000835F5"/>
    <w:rsid w:val="0008378A"/>
    <w:rsid w:val="00083B96"/>
    <w:rsid w:val="00084044"/>
    <w:rsid w:val="00084211"/>
    <w:rsid w:val="00084419"/>
    <w:rsid w:val="0008449C"/>
    <w:rsid w:val="000845D7"/>
    <w:rsid w:val="000846F8"/>
    <w:rsid w:val="00084B71"/>
    <w:rsid w:val="00084D1E"/>
    <w:rsid w:val="00084DFB"/>
    <w:rsid w:val="0008526A"/>
    <w:rsid w:val="00085484"/>
    <w:rsid w:val="00085847"/>
    <w:rsid w:val="00085BE8"/>
    <w:rsid w:val="00085E04"/>
    <w:rsid w:val="0008608A"/>
    <w:rsid w:val="000863ED"/>
    <w:rsid w:val="00086911"/>
    <w:rsid w:val="00086C30"/>
    <w:rsid w:val="00086D5D"/>
    <w:rsid w:val="00086DA6"/>
    <w:rsid w:val="000875DD"/>
    <w:rsid w:val="00087C2A"/>
    <w:rsid w:val="00087E0A"/>
    <w:rsid w:val="00090055"/>
    <w:rsid w:val="000901F1"/>
    <w:rsid w:val="0009096A"/>
    <w:rsid w:val="00090B6B"/>
    <w:rsid w:val="00090D4B"/>
    <w:rsid w:val="00090EA4"/>
    <w:rsid w:val="000910D7"/>
    <w:rsid w:val="000912F1"/>
    <w:rsid w:val="0009166A"/>
    <w:rsid w:val="00091786"/>
    <w:rsid w:val="000918B2"/>
    <w:rsid w:val="00091CE2"/>
    <w:rsid w:val="0009205D"/>
    <w:rsid w:val="00092442"/>
    <w:rsid w:val="0009257A"/>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552"/>
    <w:rsid w:val="00096607"/>
    <w:rsid w:val="00096700"/>
    <w:rsid w:val="0009691F"/>
    <w:rsid w:val="00096925"/>
    <w:rsid w:val="0009694F"/>
    <w:rsid w:val="00096B06"/>
    <w:rsid w:val="0009706D"/>
    <w:rsid w:val="00097551"/>
    <w:rsid w:val="000975A5"/>
    <w:rsid w:val="00097833"/>
    <w:rsid w:val="000978DD"/>
    <w:rsid w:val="00097A89"/>
    <w:rsid w:val="00097E80"/>
    <w:rsid w:val="00097F2B"/>
    <w:rsid w:val="000A0424"/>
    <w:rsid w:val="000A05BC"/>
    <w:rsid w:val="000A06AB"/>
    <w:rsid w:val="000A07F3"/>
    <w:rsid w:val="000A0849"/>
    <w:rsid w:val="000A09F3"/>
    <w:rsid w:val="000A0BAF"/>
    <w:rsid w:val="000A1105"/>
    <w:rsid w:val="000A1418"/>
    <w:rsid w:val="000A1760"/>
    <w:rsid w:val="000A19A2"/>
    <w:rsid w:val="000A1BDC"/>
    <w:rsid w:val="000A1CD5"/>
    <w:rsid w:val="000A1E0A"/>
    <w:rsid w:val="000A1E8A"/>
    <w:rsid w:val="000A227F"/>
    <w:rsid w:val="000A22C0"/>
    <w:rsid w:val="000A2388"/>
    <w:rsid w:val="000A2AC3"/>
    <w:rsid w:val="000A2CC6"/>
    <w:rsid w:val="000A301F"/>
    <w:rsid w:val="000A30BD"/>
    <w:rsid w:val="000A3320"/>
    <w:rsid w:val="000A3563"/>
    <w:rsid w:val="000A3935"/>
    <w:rsid w:val="000A3E2D"/>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C9B"/>
    <w:rsid w:val="000A7F9D"/>
    <w:rsid w:val="000B01AF"/>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F1"/>
    <w:rsid w:val="000B641A"/>
    <w:rsid w:val="000B64EA"/>
    <w:rsid w:val="000B66DF"/>
    <w:rsid w:val="000B67EE"/>
    <w:rsid w:val="000B6A5E"/>
    <w:rsid w:val="000B6D6D"/>
    <w:rsid w:val="000B70BC"/>
    <w:rsid w:val="000B739A"/>
    <w:rsid w:val="000B73B7"/>
    <w:rsid w:val="000B7631"/>
    <w:rsid w:val="000B776B"/>
    <w:rsid w:val="000B7910"/>
    <w:rsid w:val="000B7A33"/>
    <w:rsid w:val="000B7AF5"/>
    <w:rsid w:val="000B7B36"/>
    <w:rsid w:val="000B7E37"/>
    <w:rsid w:val="000C0100"/>
    <w:rsid w:val="000C027E"/>
    <w:rsid w:val="000C0681"/>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BFA"/>
    <w:rsid w:val="000C3E3B"/>
    <w:rsid w:val="000C4015"/>
    <w:rsid w:val="000C405D"/>
    <w:rsid w:val="000C4440"/>
    <w:rsid w:val="000C45D5"/>
    <w:rsid w:val="000C4733"/>
    <w:rsid w:val="000C4791"/>
    <w:rsid w:val="000C4804"/>
    <w:rsid w:val="000C486E"/>
    <w:rsid w:val="000C4BEC"/>
    <w:rsid w:val="000C4CD3"/>
    <w:rsid w:val="000C52B2"/>
    <w:rsid w:val="000C53D4"/>
    <w:rsid w:val="000C5518"/>
    <w:rsid w:val="000C5720"/>
    <w:rsid w:val="000C5898"/>
    <w:rsid w:val="000C61AB"/>
    <w:rsid w:val="000C6577"/>
    <w:rsid w:val="000C6610"/>
    <w:rsid w:val="000C6902"/>
    <w:rsid w:val="000C69CA"/>
    <w:rsid w:val="000C71A3"/>
    <w:rsid w:val="000C728E"/>
    <w:rsid w:val="000C741E"/>
    <w:rsid w:val="000C755B"/>
    <w:rsid w:val="000C7646"/>
    <w:rsid w:val="000C7708"/>
    <w:rsid w:val="000C7914"/>
    <w:rsid w:val="000C7A75"/>
    <w:rsid w:val="000C7BE4"/>
    <w:rsid w:val="000C7E7C"/>
    <w:rsid w:val="000D02D7"/>
    <w:rsid w:val="000D0536"/>
    <w:rsid w:val="000D057B"/>
    <w:rsid w:val="000D0723"/>
    <w:rsid w:val="000D082B"/>
    <w:rsid w:val="000D0AEE"/>
    <w:rsid w:val="000D0E5A"/>
    <w:rsid w:val="000D1461"/>
    <w:rsid w:val="000D1C63"/>
    <w:rsid w:val="000D20A1"/>
    <w:rsid w:val="000D23CE"/>
    <w:rsid w:val="000D25EF"/>
    <w:rsid w:val="000D2718"/>
    <w:rsid w:val="000D280C"/>
    <w:rsid w:val="000D333F"/>
    <w:rsid w:val="000D34BD"/>
    <w:rsid w:val="000D3537"/>
    <w:rsid w:val="000D37F7"/>
    <w:rsid w:val="000D38B0"/>
    <w:rsid w:val="000D390C"/>
    <w:rsid w:val="000D3A17"/>
    <w:rsid w:val="000D414D"/>
    <w:rsid w:val="000D4395"/>
    <w:rsid w:val="000D45F1"/>
    <w:rsid w:val="000D46FC"/>
    <w:rsid w:val="000D47E4"/>
    <w:rsid w:val="000D4894"/>
    <w:rsid w:val="000D4E86"/>
    <w:rsid w:val="000D4EB1"/>
    <w:rsid w:val="000D51B6"/>
    <w:rsid w:val="000D5487"/>
    <w:rsid w:val="000D5579"/>
    <w:rsid w:val="000D5939"/>
    <w:rsid w:val="000D5BB3"/>
    <w:rsid w:val="000D5BD5"/>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36"/>
    <w:rsid w:val="000D7B79"/>
    <w:rsid w:val="000D7E48"/>
    <w:rsid w:val="000D7F97"/>
    <w:rsid w:val="000E0200"/>
    <w:rsid w:val="000E0223"/>
    <w:rsid w:val="000E0335"/>
    <w:rsid w:val="000E03A7"/>
    <w:rsid w:val="000E07F5"/>
    <w:rsid w:val="000E082D"/>
    <w:rsid w:val="000E0C92"/>
    <w:rsid w:val="000E0E67"/>
    <w:rsid w:val="000E1071"/>
    <w:rsid w:val="000E14F3"/>
    <w:rsid w:val="000E18B0"/>
    <w:rsid w:val="000E198B"/>
    <w:rsid w:val="000E1A41"/>
    <w:rsid w:val="000E1A9E"/>
    <w:rsid w:val="000E1BF8"/>
    <w:rsid w:val="000E1D21"/>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A8"/>
    <w:rsid w:val="000E7303"/>
    <w:rsid w:val="000E75D1"/>
    <w:rsid w:val="000E7C38"/>
    <w:rsid w:val="000E7FD0"/>
    <w:rsid w:val="000F0118"/>
    <w:rsid w:val="000F023F"/>
    <w:rsid w:val="000F0582"/>
    <w:rsid w:val="000F0603"/>
    <w:rsid w:val="000F08AF"/>
    <w:rsid w:val="000F0B16"/>
    <w:rsid w:val="000F0B77"/>
    <w:rsid w:val="000F1404"/>
    <w:rsid w:val="000F1480"/>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D16"/>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B50"/>
    <w:rsid w:val="00103CCA"/>
    <w:rsid w:val="00103DE9"/>
    <w:rsid w:val="00103FA7"/>
    <w:rsid w:val="00104198"/>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ADC"/>
    <w:rsid w:val="00120E34"/>
    <w:rsid w:val="00120E8D"/>
    <w:rsid w:val="0012121E"/>
    <w:rsid w:val="00121335"/>
    <w:rsid w:val="00121382"/>
    <w:rsid w:val="00121541"/>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304C4"/>
    <w:rsid w:val="00130541"/>
    <w:rsid w:val="00130719"/>
    <w:rsid w:val="00130B37"/>
    <w:rsid w:val="00130B64"/>
    <w:rsid w:val="00130E70"/>
    <w:rsid w:val="00130FF4"/>
    <w:rsid w:val="001312DE"/>
    <w:rsid w:val="001315A5"/>
    <w:rsid w:val="001315EB"/>
    <w:rsid w:val="001317F7"/>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3F1"/>
    <w:rsid w:val="001364BC"/>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1D33"/>
    <w:rsid w:val="0014201B"/>
    <w:rsid w:val="00142062"/>
    <w:rsid w:val="0014210A"/>
    <w:rsid w:val="00142485"/>
    <w:rsid w:val="001424F2"/>
    <w:rsid w:val="0014296A"/>
    <w:rsid w:val="00143061"/>
    <w:rsid w:val="00143335"/>
    <w:rsid w:val="00143391"/>
    <w:rsid w:val="0014367F"/>
    <w:rsid w:val="001438FC"/>
    <w:rsid w:val="00143DDE"/>
    <w:rsid w:val="00143F3D"/>
    <w:rsid w:val="0014413D"/>
    <w:rsid w:val="00144F48"/>
    <w:rsid w:val="00145AB8"/>
    <w:rsid w:val="00145BBD"/>
    <w:rsid w:val="00145D7D"/>
    <w:rsid w:val="00145F7E"/>
    <w:rsid w:val="001463CA"/>
    <w:rsid w:val="00146572"/>
    <w:rsid w:val="00146971"/>
    <w:rsid w:val="0014708A"/>
    <w:rsid w:val="00147197"/>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383"/>
    <w:rsid w:val="0015754F"/>
    <w:rsid w:val="00157717"/>
    <w:rsid w:val="001577FE"/>
    <w:rsid w:val="00157826"/>
    <w:rsid w:val="001579E7"/>
    <w:rsid w:val="00157B10"/>
    <w:rsid w:val="00160197"/>
    <w:rsid w:val="00160355"/>
    <w:rsid w:val="00160A74"/>
    <w:rsid w:val="00160B1A"/>
    <w:rsid w:val="00160EB3"/>
    <w:rsid w:val="001616F0"/>
    <w:rsid w:val="00161826"/>
    <w:rsid w:val="00161B04"/>
    <w:rsid w:val="00161DD3"/>
    <w:rsid w:val="00162094"/>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681"/>
    <w:rsid w:val="00164721"/>
    <w:rsid w:val="00164785"/>
    <w:rsid w:val="00164CE6"/>
    <w:rsid w:val="00164DD5"/>
    <w:rsid w:val="001650A6"/>
    <w:rsid w:val="00165345"/>
    <w:rsid w:val="00165465"/>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6AB"/>
    <w:rsid w:val="00171872"/>
    <w:rsid w:val="001718D9"/>
    <w:rsid w:val="001719EA"/>
    <w:rsid w:val="0017239D"/>
    <w:rsid w:val="0017264A"/>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3A"/>
    <w:rsid w:val="001754EE"/>
    <w:rsid w:val="00175520"/>
    <w:rsid w:val="001755D6"/>
    <w:rsid w:val="001755FC"/>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7B7"/>
    <w:rsid w:val="001777D3"/>
    <w:rsid w:val="00177816"/>
    <w:rsid w:val="00177996"/>
    <w:rsid w:val="00177AE0"/>
    <w:rsid w:val="00177AFD"/>
    <w:rsid w:val="00177B86"/>
    <w:rsid w:val="00177CE2"/>
    <w:rsid w:val="00177CF4"/>
    <w:rsid w:val="00177F1E"/>
    <w:rsid w:val="001807A9"/>
    <w:rsid w:val="00180812"/>
    <w:rsid w:val="0018082C"/>
    <w:rsid w:val="00180C02"/>
    <w:rsid w:val="00180C73"/>
    <w:rsid w:val="00180CA5"/>
    <w:rsid w:val="00180DB8"/>
    <w:rsid w:val="00180DD5"/>
    <w:rsid w:val="001810AC"/>
    <w:rsid w:val="0018161C"/>
    <w:rsid w:val="0018176E"/>
    <w:rsid w:val="001818CE"/>
    <w:rsid w:val="00181DFD"/>
    <w:rsid w:val="001821DE"/>
    <w:rsid w:val="00182429"/>
    <w:rsid w:val="001824D3"/>
    <w:rsid w:val="001824FF"/>
    <w:rsid w:val="00182D7D"/>
    <w:rsid w:val="00182F24"/>
    <w:rsid w:val="001831CD"/>
    <w:rsid w:val="001832C4"/>
    <w:rsid w:val="00183592"/>
    <w:rsid w:val="0018363F"/>
    <w:rsid w:val="00183764"/>
    <w:rsid w:val="001839A0"/>
    <w:rsid w:val="00183A22"/>
    <w:rsid w:val="00183EF3"/>
    <w:rsid w:val="001843EF"/>
    <w:rsid w:val="001844BB"/>
    <w:rsid w:val="001844C3"/>
    <w:rsid w:val="00184870"/>
    <w:rsid w:val="00184950"/>
    <w:rsid w:val="00184FD0"/>
    <w:rsid w:val="00185069"/>
    <w:rsid w:val="001852B6"/>
    <w:rsid w:val="00185546"/>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FA0"/>
    <w:rsid w:val="001946EC"/>
    <w:rsid w:val="001946EE"/>
    <w:rsid w:val="0019484D"/>
    <w:rsid w:val="00194A0F"/>
    <w:rsid w:val="00195512"/>
    <w:rsid w:val="00196088"/>
    <w:rsid w:val="001960DC"/>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83D"/>
    <w:rsid w:val="001A1CA7"/>
    <w:rsid w:val="001A1DC1"/>
    <w:rsid w:val="001A2019"/>
    <w:rsid w:val="001A2024"/>
    <w:rsid w:val="001A2787"/>
    <w:rsid w:val="001A2A80"/>
    <w:rsid w:val="001A2C40"/>
    <w:rsid w:val="001A2D05"/>
    <w:rsid w:val="001A3205"/>
    <w:rsid w:val="001A3266"/>
    <w:rsid w:val="001A332F"/>
    <w:rsid w:val="001A3653"/>
    <w:rsid w:val="001A3A1C"/>
    <w:rsid w:val="001A3A62"/>
    <w:rsid w:val="001A3C4B"/>
    <w:rsid w:val="001A4016"/>
    <w:rsid w:val="001A4259"/>
    <w:rsid w:val="001A446E"/>
    <w:rsid w:val="001A45AB"/>
    <w:rsid w:val="001A4C2D"/>
    <w:rsid w:val="001A4D24"/>
    <w:rsid w:val="001A4FE4"/>
    <w:rsid w:val="001A5720"/>
    <w:rsid w:val="001A58FB"/>
    <w:rsid w:val="001A59BE"/>
    <w:rsid w:val="001A5EB0"/>
    <w:rsid w:val="001A5EFC"/>
    <w:rsid w:val="001A5FC1"/>
    <w:rsid w:val="001A602A"/>
    <w:rsid w:val="001A61A3"/>
    <w:rsid w:val="001A63A1"/>
    <w:rsid w:val="001A63A2"/>
    <w:rsid w:val="001A65C7"/>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353"/>
    <w:rsid w:val="001B1499"/>
    <w:rsid w:val="001B15A6"/>
    <w:rsid w:val="001B17DA"/>
    <w:rsid w:val="001B1A64"/>
    <w:rsid w:val="001B1B45"/>
    <w:rsid w:val="001B1BC5"/>
    <w:rsid w:val="001B1C3B"/>
    <w:rsid w:val="001B1C41"/>
    <w:rsid w:val="001B1CD7"/>
    <w:rsid w:val="001B296B"/>
    <w:rsid w:val="001B2A14"/>
    <w:rsid w:val="001B31D0"/>
    <w:rsid w:val="001B31FB"/>
    <w:rsid w:val="001B35F9"/>
    <w:rsid w:val="001B3705"/>
    <w:rsid w:val="001B3734"/>
    <w:rsid w:val="001B3A7C"/>
    <w:rsid w:val="001B3EB5"/>
    <w:rsid w:val="001B400F"/>
    <w:rsid w:val="001B4075"/>
    <w:rsid w:val="001B42A3"/>
    <w:rsid w:val="001B43E8"/>
    <w:rsid w:val="001B4508"/>
    <w:rsid w:val="001B459A"/>
    <w:rsid w:val="001B4792"/>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10DE"/>
    <w:rsid w:val="001C11EB"/>
    <w:rsid w:val="001C13D8"/>
    <w:rsid w:val="001C15ED"/>
    <w:rsid w:val="001C17B1"/>
    <w:rsid w:val="001C18A7"/>
    <w:rsid w:val="001C18FB"/>
    <w:rsid w:val="001C19DF"/>
    <w:rsid w:val="001C1B45"/>
    <w:rsid w:val="001C1FB2"/>
    <w:rsid w:val="001C1FCF"/>
    <w:rsid w:val="001C2232"/>
    <w:rsid w:val="001C25DA"/>
    <w:rsid w:val="001C2668"/>
    <w:rsid w:val="001C2847"/>
    <w:rsid w:val="001C2D6D"/>
    <w:rsid w:val="001C2EEF"/>
    <w:rsid w:val="001C31B9"/>
    <w:rsid w:val="001C3321"/>
    <w:rsid w:val="001C394A"/>
    <w:rsid w:val="001C3D04"/>
    <w:rsid w:val="001C3EC5"/>
    <w:rsid w:val="001C4737"/>
    <w:rsid w:val="001C4833"/>
    <w:rsid w:val="001C48DA"/>
    <w:rsid w:val="001C5709"/>
    <w:rsid w:val="001C580F"/>
    <w:rsid w:val="001C58C0"/>
    <w:rsid w:val="001C5C8A"/>
    <w:rsid w:val="001C6197"/>
    <w:rsid w:val="001C680C"/>
    <w:rsid w:val="001C68EB"/>
    <w:rsid w:val="001C6B35"/>
    <w:rsid w:val="001C6E36"/>
    <w:rsid w:val="001C6ECF"/>
    <w:rsid w:val="001C7433"/>
    <w:rsid w:val="001C77DB"/>
    <w:rsid w:val="001C79E6"/>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EEA"/>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5B7"/>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A37"/>
    <w:rsid w:val="001E2C18"/>
    <w:rsid w:val="001E3584"/>
    <w:rsid w:val="001E3A51"/>
    <w:rsid w:val="001E3B09"/>
    <w:rsid w:val="001E3B15"/>
    <w:rsid w:val="001E3C0D"/>
    <w:rsid w:val="001E436A"/>
    <w:rsid w:val="001E44C6"/>
    <w:rsid w:val="001E45D5"/>
    <w:rsid w:val="001E462A"/>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B89"/>
    <w:rsid w:val="001F0C8D"/>
    <w:rsid w:val="001F1458"/>
    <w:rsid w:val="001F1A7E"/>
    <w:rsid w:val="001F1ACF"/>
    <w:rsid w:val="001F1F32"/>
    <w:rsid w:val="001F201C"/>
    <w:rsid w:val="001F219E"/>
    <w:rsid w:val="001F2403"/>
    <w:rsid w:val="001F25EF"/>
    <w:rsid w:val="001F28BF"/>
    <w:rsid w:val="001F28DC"/>
    <w:rsid w:val="001F34E1"/>
    <w:rsid w:val="001F37CE"/>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700"/>
    <w:rsid w:val="00207853"/>
    <w:rsid w:val="002079D9"/>
    <w:rsid w:val="00210269"/>
    <w:rsid w:val="002105BF"/>
    <w:rsid w:val="00210F5F"/>
    <w:rsid w:val="00210FDF"/>
    <w:rsid w:val="00210FF4"/>
    <w:rsid w:val="002111C6"/>
    <w:rsid w:val="00211279"/>
    <w:rsid w:val="002118CB"/>
    <w:rsid w:val="0021193D"/>
    <w:rsid w:val="00211B2F"/>
    <w:rsid w:val="00211B32"/>
    <w:rsid w:val="00211D11"/>
    <w:rsid w:val="00211D71"/>
    <w:rsid w:val="00211FFF"/>
    <w:rsid w:val="002120C0"/>
    <w:rsid w:val="00212222"/>
    <w:rsid w:val="00212706"/>
    <w:rsid w:val="002128AE"/>
    <w:rsid w:val="00212B11"/>
    <w:rsid w:val="00212B99"/>
    <w:rsid w:val="00212FD8"/>
    <w:rsid w:val="0021304A"/>
    <w:rsid w:val="002130AE"/>
    <w:rsid w:val="002134DA"/>
    <w:rsid w:val="0021353E"/>
    <w:rsid w:val="0021365E"/>
    <w:rsid w:val="002136AD"/>
    <w:rsid w:val="0021393D"/>
    <w:rsid w:val="00213A2B"/>
    <w:rsid w:val="00213AA0"/>
    <w:rsid w:val="00213D55"/>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4"/>
    <w:rsid w:val="00215DA9"/>
    <w:rsid w:val="0021653C"/>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511"/>
    <w:rsid w:val="00227603"/>
    <w:rsid w:val="002276B7"/>
    <w:rsid w:val="00227749"/>
    <w:rsid w:val="00227794"/>
    <w:rsid w:val="00227EC2"/>
    <w:rsid w:val="00230277"/>
    <w:rsid w:val="0023029C"/>
    <w:rsid w:val="002302FC"/>
    <w:rsid w:val="002303C6"/>
    <w:rsid w:val="00230A06"/>
    <w:rsid w:val="00230D30"/>
    <w:rsid w:val="00230DC9"/>
    <w:rsid w:val="00230F07"/>
    <w:rsid w:val="0023153C"/>
    <w:rsid w:val="0023194F"/>
    <w:rsid w:val="002319B1"/>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507"/>
    <w:rsid w:val="0023752E"/>
    <w:rsid w:val="0023757C"/>
    <w:rsid w:val="00237677"/>
    <w:rsid w:val="00237701"/>
    <w:rsid w:val="00237C25"/>
    <w:rsid w:val="00237C85"/>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799"/>
    <w:rsid w:val="002437AD"/>
    <w:rsid w:val="002437F7"/>
    <w:rsid w:val="00243AFA"/>
    <w:rsid w:val="00243D04"/>
    <w:rsid w:val="00243E8B"/>
    <w:rsid w:val="0024431C"/>
    <w:rsid w:val="0024456F"/>
    <w:rsid w:val="00244969"/>
    <w:rsid w:val="00244EA6"/>
    <w:rsid w:val="00244EAE"/>
    <w:rsid w:val="00245424"/>
    <w:rsid w:val="0024573A"/>
    <w:rsid w:val="002457C1"/>
    <w:rsid w:val="0024588B"/>
    <w:rsid w:val="00245BF1"/>
    <w:rsid w:val="00245F0C"/>
    <w:rsid w:val="00245F73"/>
    <w:rsid w:val="002465C5"/>
    <w:rsid w:val="002465CE"/>
    <w:rsid w:val="00246682"/>
    <w:rsid w:val="0024668D"/>
    <w:rsid w:val="00246ABF"/>
    <w:rsid w:val="00246D5F"/>
    <w:rsid w:val="002474CC"/>
    <w:rsid w:val="002474F0"/>
    <w:rsid w:val="00247599"/>
    <w:rsid w:val="0024773E"/>
    <w:rsid w:val="0024780E"/>
    <w:rsid w:val="00247930"/>
    <w:rsid w:val="00247A12"/>
    <w:rsid w:val="00247A18"/>
    <w:rsid w:val="00247BEA"/>
    <w:rsid w:val="00247C95"/>
    <w:rsid w:val="00250018"/>
    <w:rsid w:val="0025015C"/>
    <w:rsid w:val="002501C7"/>
    <w:rsid w:val="0025093D"/>
    <w:rsid w:val="002509CE"/>
    <w:rsid w:val="002509FE"/>
    <w:rsid w:val="00250A36"/>
    <w:rsid w:val="00250E62"/>
    <w:rsid w:val="002512AA"/>
    <w:rsid w:val="00251401"/>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D1B"/>
    <w:rsid w:val="00253F47"/>
    <w:rsid w:val="00253F7D"/>
    <w:rsid w:val="00253FB8"/>
    <w:rsid w:val="00254470"/>
    <w:rsid w:val="0025459C"/>
    <w:rsid w:val="002546A9"/>
    <w:rsid w:val="00255137"/>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5B1"/>
    <w:rsid w:val="002625CD"/>
    <w:rsid w:val="0026269C"/>
    <w:rsid w:val="00262AC3"/>
    <w:rsid w:val="00262ACD"/>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89A"/>
    <w:rsid w:val="002668EB"/>
    <w:rsid w:val="00266B0F"/>
    <w:rsid w:val="002671AB"/>
    <w:rsid w:val="0026730F"/>
    <w:rsid w:val="002673CC"/>
    <w:rsid w:val="00267B57"/>
    <w:rsid w:val="00267C0D"/>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CAD"/>
    <w:rsid w:val="0027701F"/>
    <w:rsid w:val="00277198"/>
    <w:rsid w:val="002772F2"/>
    <w:rsid w:val="00277399"/>
    <w:rsid w:val="0027789B"/>
    <w:rsid w:val="00277C97"/>
    <w:rsid w:val="00277DBC"/>
    <w:rsid w:val="00277F8B"/>
    <w:rsid w:val="00280616"/>
    <w:rsid w:val="002806D9"/>
    <w:rsid w:val="0028080A"/>
    <w:rsid w:val="00280966"/>
    <w:rsid w:val="00280C3A"/>
    <w:rsid w:val="00280D64"/>
    <w:rsid w:val="00281040"/>
    <w:rsid w:val="002811E7"/>
    <w:rsid w:val="002814AE"/>
    <w:rsid w:val="002816AF"/>
    <w:rsid w:val="00281957"/>
    <w:rsid w:val="00281C23"/>
    <w:rsid w:val="00281D74"/>
    <w:rsid w:val="00282171"/>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78"/>
    <w:rsid w:val="00292752"/>
    <w:rsid w:val="0029277C"/>
    <w:rsid w:val="002927D0"/>
    <w:rsid w:val="002928F4"/>
    <w:rsid w:val="002929EE"/>
    <w:rsid w:val="00292AE0"/>
    <w:rsid w:val="00292D8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4132"/>
    <w:rsid w:val="002A4221"/>
    <w:rsid w:val="002A466C"/>
    <w:rsid w:val="002A46B9"/>
    <w:rsid w:val="002A4EA4"/>
    <w:rsid w:val="002A5068"/>
    <w:rsid w:val="002A512D"/>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5F9"/>
    <w:rsid w:val="002B4722"/>
    <w:rsid w:val="002B47A1"/>
    <w:rsid w:val="002B5080"/>
    <w:rsid w:val="002B534A"/>
    <w:rsid w:val="002B558F"/>
    <w:rsid w:val="002B5875"/>
    <w:rsid w:val="002B606D"/>
    <w:rsid w:val="002B60CB"/>
    <w:rsid w:val="002B627D"/>
    <w:rsid w:val="002B649E"/>
    <w:rsid w:val="002B64A3"/>
    <w:rsid w:val="002B65C7"/>
    <w:rsid w:val="002B6882"/>
    <w:rsid w:val="002B6B4F"/>
    <w:rsid w:val="002B6C64"/>
    <w:rsid w:val="002B6CFB"/>
    <w:rsid w:val="002B6D3A"/>
    <w:rsid w:val="002B6E97"/>
    <w:rsid w:val="002B72C1"/>
    <w:rsid w:val="002B7AD5"/>
    <w:rsid w:val="002B7BAF"/>
    <w:rsid w:val="002B7BEB"/>
    <w:rsid w:val="002B7CCD"/>
    <w:rsid w:val="002C0046"/>
    <w:rsid w:val="002C00E0"/>
    <w:rsid w:val="002C05F0"/>
    <w:rsid w:val="002C0661"/>
    <w:rsid w:val="002C089B"/>
    <w:rsid w:val="002C093A"/>
    <w:rsid w:val="002C0C05"/>
    <w:rsid w:val="002C0FF0"/>
    <w:rsid w:val="002C1656"/>
    <w:rsid w:val="002C17DF"/>
    <w:rsid w:val="002C1C93"/>
    <w:rsid w:val="002C1D99"/>
    <w:rsid w:val="002C2151"/>
    <w:rsid w:val="002C230C"/>
    <w:rsid w:val="002C2311"/>
    <w:rsid w:val="002C24F2"/>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CC"/>
    <w:rsid w:val="002C64FE"/>
    <w:rsid w:val="002C655E"/>
    <w:rsid w:val="002C66B2"/>
    <w:rsid w:val="002C6A79"/>
    <w:rsid w:val="002C6B27"/>
    <w:rsid w:val="002C6B40"/>
    <w:rsid w:val="002C6DA1"/>
    <w:rsid w:val="002C7857"/>
    <w:rsid w:val="002C7B8E"/>
    <w:rsid w:val="002C7E85"/>
    <w:rsid w:val="002C7F07"/>
    <w:rsid w:val="002C7FA2"/>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F07"/>
    <w:rsid w:val="002D409F"/>
    <w:rsid w:val="002D40F0"/>
    <w:rsid w:val="002D4273"/>
    <w:rsid w:val="002D4719"/>
    <w:rsid w:val="002D5184"/>
    <w:rsid w:val="002D55EB"/>
    <w:rsid w:val="002D563C"/>
    <w:rsid w:val="002D58F7"/>
    <w:rsid w:val="002D5C45"/>
    <w:rsid w:val="002D5CF9"/>
    <w:rsid w:val="002D5E62"/>
    <w:rsid w:val="002D5FFF"/>
    <w:rsid w:val="002D62A4"/>
    <w:rsid w:val="002D62A9"/>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748"/>
    <w:rsid w:val="002E2A70"/>
    <w:rsid w:val="002E2B77"/>
    <w:rsid w:val="002E37B5"/>
    <w:rsid w:val="002E380E"/>
    <w:rsid w:val="002E3B41"/>
    <w:rsid w:val="002E3DF0"/>
    <w:rsid w:val="002E4608"/>
    <w:rsid w:val="002E4671"/>
    <w:rsid w:val="002E4907"/>
    <w:rsid w:val="002E4E82"/>
    <w:rsid w:val="002E4EE2"/>
    <w:rsid w:val="002E5335"/>
    <w:rsid w:val="002E5734"/>
    <w:rsid w:val="002E5811"/>
    <w:rsid w:val="002E5AF7"/>
    <w:rsid w:val="002E5CF2"/>
    <w:rsid w:val="002E660A"/>
    <w:rsid w:val="002E6799"/>
    <w:rsid w:val="002E6C40"/>
    <w:rsid w:val="002E6CCF"/>
    <w:rsid w:val="002E6E72"/>
    <w:rsid w:val="002E706B"/>
    <w:rsid w:val="002E7523"/>
    <w:rsid w:val="002E7AA9"/>
    <w:rsid w:val="002E7ABC"/>
    <w:rsid w:val="002E7BCD"/>
    <w:rsid w:val="002F0567"/>
    <w:rsid w:val="002F077D"/>
    <w:rsid w:val="002F08DC"/>
    <w:rsid w:val="002F0A6D"/>
    <w:rsid w:val="002F0F04"/>
    <w:rsid w:val="002F1017"/>
    <w:rsid w:val="002F121B"/>
    <w:rsid w:val="002F1306"/>
    <w:rsid w:val="002F13EB"/>
    <w:rsid w:val="002F140F"/>
    <w:rsid w:val="002F182E"/>
    <w:rsid w:val="002F1B67"/>
    <w:rsid w:val="002F2568"/>
    <w:rsid w:val="002F2624"/>
    <w:rsid w:val="002F29CB"/>
    <w:rsid w:val="002F2B44"/>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79B"/>
    <w:rsid w:val="003067B0"/>
    <w:rsid w:val="00306914"/>
    <w:rsid w:val="00306DA0"/>
    <w:rsid w:val="00306FED"/>
    <w:rsid w:val="003076A7"/>
    <w:rsid w:val="003078FC"/>
    <w:rsid w:val="00307C81"/>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8F8"/>
    <w:rsid w:val="00312B96"/>
    <w:rsid w:val="00313B7C"/>
    <w:rsid w:val="00313C32"/>
    <w:rsid w:val="00314017"/>
    <w:rsid w:val="00314034"/>
    <w:rsid w:val="00314129"/>
    <w:rsid w:val="00314397"/>
    <w:rsid w:val="003144BA"/>
    <w:rsid w:val="00314523"/>
    <w:rsid w:val="00314645"/>
    <w:rsid w:val="003149A3"/>
    <w:rsid w:val="00315000"/>
    <w:rsid w:val="0031550B"/>
    <w:rsid w:val="00315540"/>
    <w:rsid w:val="00315A9D"/>
    <w:rsid w:val="00315E08"/>
    <w:rsid w:val="00316755"/>
    <w:rsid w:val="003169B6"/>
    <w:rsid w:val="00316C4B"/>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A19"/>
    <w:rsid w:val="00322B6A"/>
    <w:rsid w:val="00322C92"/>
    <w:rsid w:val="00322CD0"/>
    <w:rsid w:val="00322ED9"/>
    <w:rsid w:val="00322FA3"/>
    <w:rsid w:val="00323450"/>
    <w:rsid w:val="00323BC5"/>
    <w:rsid w:val="00323BEB"/>
    <w:rsid w:val="00324673"/>
    <w:rsid w:val="00324B9B"/>
    <w:rsid w:val="00324D46"/>
    <w:rsid w:val="00324DE1"/>
    <w:rsid w:val="003250DD"/>
    <w:rsid w:val="003257CD"/>
    <w:rsid w:val="00325B0D"/>
    <w:rsid w:val="00325B56"/>
    <w:rsid w:val="00325DF1"/>
    <w:rsid w:val="003264E9"/>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225C"/>
    <w:rsid w:val="0033227C"/>
    <w:rsid w:val="003322F4"/>
    <w:rsid w:val="0033265D"/>
    <w:rsid w:val="0033272D"/>
    <w:rsid w:val="003328DC"/>
    <w:rsid w:val="00332BE1"/>
    <w:rsid w:val="00332D95"/>
    <w:rsid w:val="00333302"/>
    <w:rsid w:val="00333880"/>
    <w:rsid w:val="0033389B"/>
    <w:rsid w:val="003338D8"/>
    <w:rsid w:val="0033391C"/>
    <w:rsid w:val="00333CAD"/>
    <w:rsid w:val="00333F29"/>
    <w:rsid w:val="0033435C"/>
    <w:rsid w:val="00334AA7"/>
    <w:rsid w:val="0033504D"/>
    <w:rsid w:val="003351D9"/>
    <w:rsid w:val="0033532E"/>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5F91"/>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6C8"/>
    <w:rsid w:val="00353907"/>
    <w:rsid w:val="00353C8B"/>
    <w:rsid w:val="00353E7D"/>
    <w:rsid w:val="003542D4"/>
    <w:rsid w:val="003543DA"/>
    <w:rsid w:val="00354514"/>
    <w:rsid w:val="0035483F"/>
    <w:rsid w:val="00354B65"/>
    <w:rsid w:val="00354B6B"/>
    <w:rsid w:val="00354B7A"/>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166"/>
    <w:rsid w:val="003623F6"/>
    <w:rsid w:val="00362556"/>
    <w:rsid w:val="00362709"/>
    <w:rsid w:val="0036283F"/>
    <w:rsid w:val="00362CBC"/>
    <w:rsid w:val="00362F6B"/>
    <w:rsid w:val="00362F78"/>
    <w:rsid w:val="00363328"/>
    <w:rsid w:val="0036335B"/>
    <w:rsid w:val="003636C9"/>
    <w:rsid w:val="00363D5D"/>
    <w:rsid w:val="00363F44"/>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254"/>
    <w:rsid w:val="003733D9"/>
    <w:rsid w:val="003734B6"/>
    <w:rsid w:val="00373684"/>
    <w:rsid w:val="003738DA"/>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CBE"/>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F65"/>
    <w:rsid w:val="003830FC"/>
    <w:rsid w:val="003839CE"/>
    <w:rsid w:val="00383B86"/>
    <w:rsid w:val="00383C9A"/>
    <w:rsid w:val="00383D49"/>
    <w:rsid w:val="00383F4D"/>
    <w:rsid w:val="003843D7"/>
    <w:rsid w:val="0038452B"/>
    <w:rsid w:val="0038459E"/>
    <w:rsid w:val="00384611"/>
    <w:rsid w:val="00384ABB"/>
    <w:rsid w:val="00384AE0"/>
    <w:rsid w:val="00384C20"/>
    <w:rsid w:val="00384E52"/>
    <w:rsid w:val="0038500C"/>
    <w:rsid w:val="00385295"/>
    <w:rsid w:val="0038532C"/>
    <w:rsid w:val="0038556F"/>
    <w:rsid w:val="0038578E"/>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AA7"/>
    <w:rsid w:val="00387EA9"/>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E4E"/>
    <w:rsid w:val="003930EB"/>
    <w:rsid w:val="003931D8"/>
    <w:rsid w:val="00393229"/>
    <w:rsid w:val="00393509"/>
    <w:rsid w:val="00393569"/>
    <w:rsid w:val="00393C42"/>
    <w:rsid w:val="00393E53"/>
    <w:rsid w:val="00393EFB"/>
    <w:rsid w:val="00394172"/>
    <w:rsid w:val="003942F1"/>
    <w:rsid w:val="00394705"/>
    <w:rsid w:val="0039480F"/>
    <w:rsid w:val="00394B28"/>
    <w:rsid w:val="00395151"/>
    <w:rsid w:val="0039525E"/>
    <w:rsid w:val="00395514"/>
    <w:rsid w:val="0039554E"/>
    <w:rsid w:val="003957BB"/>
    <w:rsid w:val="00395C25"/>
    <w:rsid w:val="00395C2B"/>
    <w:rsid w:val="00395C4B"/>
    <w:rsid w:val="00395C7A"/>
    <w:rsid w:val="00395CC6"/>
    <w:rsid w:val="00395E22"/>
    <w:rsid w:val="00395FEF"/>
    <w:rsid w:val="003961B5"/>
    <w:rsid w:val="0039638D"/>
    <w:rsid w:val="00396828"/>
    <w:rsid w:val="00396E02"/>
    <w:rsid w:val="00397119"/>
    <w:rsid w:val="0039723A"/>
    <w:rsid w:val="003975C0"/>
    <w:rsid w:val="00397D6F"/>
    <w:rsid w:val="003A0146"/>
    <w:rsid w:val="003A03F0"/>
    <w:rsid w:val="003A0743"/>
    <w:rsid w:val="003A0C86"/>
    <w:rsid w:val="003A0EBC"/>
    <w:rsid w:val="003A193D"/>
    <w:rsid w:val="003A21D7"/>
    <w:rsid w:val="003A24F9"/>
    <w:rsid w:val="003A25B0"/>
    <w:rsid w:val="003A270F"/>
    <w:rsid w:val="003A2E76"/>
    <w:rsid w:val="003A2EA3"/>
    <w:rsid w:val="003A309A"/>
    <w:rsid w:val="003A3237"/>
    <w:rsid w:val="003A3314"/>
    <w:rsid w:val="003A335C"/>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8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32F5"/>
    <w:rsid w:val="003B38CD"/>
    <w:rsid w:val="003B3A56"/>
    <w:rsid w:val="003B3D10"/>
    <w:rsid w:val="003B3F0A"/>
    <w:rsid w:val="003B44FE"/>
    <w:rsid w:val="003B46B5"/>
    <w:rsid w:val="003B4849"/>
    <w:rsid w:val="003B4A40"/>
    <w:rsid w:val="003B4A70"/>
    <w:rsid w:val="003B4D70"/>
    <w:rsid w:val="003B4EDF"/>
    <w:rsid w:val="003B4F2E"/>
    <w:rsid w:val="003B55EE"/>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41C"/>
    <w:rsid w:val="003C0F40"/>
    <w:rsid w:val="003C0F54"/>
    <w:rsid w:val="003C0FEF"/>
    <w:rsid w:val="003C121D"/>
    <w:rsid w:val="003C1658"/>
    <w:rsid w:val="003C1867"/>
    <w:rsid w:val="003C188E"/>
    <w:rsid w:val="003C1937"/>
    <w:rsid w:val="003C260C"/>
    <w:rsid w:val="003C277F"/>
    <w:rsid w:val="003C281D"/>
    <w:rsid w:val="003C2897"/>
    <w:rsid w:val="003C29EE"/>
    <w:rsid w:val="003C2C8D"/>
    <w:rsid w:val="003C2E50"/>
    <w:rsid w:val="003C3016"/>
    <w:rsid w:val="003C319E"/>
    <w:rsid w:val="003C33A3"/>
    <w:rsid w:val="003C387E"/>
    <w:rsid w:val="003C3ACE"/>
    <w:rsid w:val="003C3CCD"/>
    <w:rsid w:val="003C3D25"/>
    <w:rsid w:val="003C3DB9"/>
    <w:rsid w:val="003C3F26"/>
    <w:rsid w:val="003C40A4"/>
    <w:rsid w:val="003C44E3"/>
    <w:rsid w:val="003C45A6"/>
    <w:rsid w:val="003C4DC1"/>
    <w:rsid w:val="003C4ED1"/>
    <w:rsid w:val="003C4EEA"/>
    <w:rsid w:val="003C511B"/>
    <w:rsid w:val="003C53A9"/>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325"/>
    <w:rsid w:val="003D34E8"/>
    <w:rsid w:val="003D3A0C"/>
    <w:rsid w:val="003D3E70"/>
    <w:rsid w:val="003D41F2"/>
    <w:rsid w:val="003D4937"/>
    <w:rsid w:val="003D4B9D"/>
    <w:rsid w:val="003D4E2B"/>
    <w:rsid w:val="003D4F92"/>
    <w:rsid w:val="003D576D"/>
    <w:rsid w:val="003D5CD5"/>
    <w:rsid w:val="003D6151"/>
    <w:rsid w:val="003D61CE"/>
    <w:rsid w:val="003D6235"/>
    <w:rsid w:val="003D6672"/>
    <w:rsid w:val="003D670E"/>
    <w:rsid w:val="003D684E"/>
    <w:rsid w:val="003D690B"/>
    <w:rsid w:val="003D69FF"/>
    <w:rsid w:val="003D6CA1"/>
    <w:rsid w:val="003D6EE8"/>
    <w:rsid w:val="003D6F6F"/>
    <w:rsid w:val="003D728F"/>
    <w:rsid w:val="003D746B"/>
    <w:rsid w:val="003D76CD"/>
    <w:rsid w:val="003D76F9"/>
    <w:rsid w:val="003D7B0C"/>
    <w:rsid w:val="003D7CF1"/>
    <w:rsid w:val="003E025F"/>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454"/>
    <w:rsid w:val="003E2540"/>
    <w:rsid w:val="003E2AA8"/>
    <w:rsid w:val="003E2D9E"/>
    <w:rsid w:val="003E2ED0"/>
    <w:rsid w:val="003E3331"/>
    <w:rsid w:val="003E33DF"/>
    <w:rsid w:val="003E35BF"/>
    <w:rsid w:val="003E3637"/>
    <w:rsid w:val="003E37EE"/>
    <w:rsid w:val="003E3860"/>
    <w:rsid w:val="003E3A1D"/>
    <w:rsid w:val="003E3A8B"/>
    <w:rsid w:val="003E3B82"/>
    <w:rsid w:val="003E3CC2"/>
    <w:rsid w:val="003E4096"/>
    <w:rsid w:val="003E4527"/>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906"/>
    <w:rsid w:val="003E6985"/>
    <w:rsid w:val="003E6BF2"/>
    <w:rsid w:val="003E6D22"/>
    <w:rsid w:val="003E6D70"/>
    <w:rsid w:val="003E6FA0"/>
    <w:rsid w:val="003E7016"/>
    <w:rsid w:val="003E71CD"/>
    <w:rsid w:val="003E7754"/>
    <w:rsid w:val="003F01F6"/>
    <w:rsid w:val="003F020C"/>
    <w:rsid w:val="003F033C"/>
    <w:rsid w:val="003F03C4"/>
    <w:rsid w:val="003F04C5"/>
    <w:rsid w:val="003F066F"/>
    <w:rsid w:val="003F07C3"/>
    <w:rsid w:val="003F0C9B"/>
    <w:rsid w:val="003F110B"/>
    <w:rsid w:val="003F1299"/>
    <w:rsid w:val="003F1C0F"/>
    <w:rsid w:val="003F1F1D"/>
    <w:rsid w:val="003F232B"/>
    <w:rsid w:val="003F2A8C"/>
    <w:rsid w:val="003F2CEF"/>
    <w:rsid w:val="003F2DEE"/>
    <w:rsid w:val="003F307C"/>
    <w:rsid w:val="003F31AE"/>
    <w:rsid w:val="003F325F"/>
    <w:rsid w:val="003F3282"/>
    <w:rsid w:val="003F34C8"/>
    <w:rsid w:val="003F3650"/>
    <w:rsid w:val="003F3733"/>
    <w:rsid w:val="003F3919"/>
    <w:rsid w:val="003F39F1"/>
    <w:rsid w:val="003F3B8F"/>
    <w:rsid w:val="003F3CE3"/>
    <w:rsid w:val="003F416F"/>
    <w:rsid w:val="003F41F2"/>
    <w:rsid w:val="003F441C"/>
    <w:rsid w:val="003F443F"/>
    <w:rsid w:val="003F44C8"/>
    <w:rsid w:val="003F45EB"/>
    <w:rsid w:val="003F46B8"/>
    <w:rsid w:val="003F4D21"/>
    <w:rsid w:val="003F4DA7"/>
    <w:rsid w:val="003F576C"/>
    <w:rsid w:val="003F57F4"/>
    <w:rsid w:val="003F5BB3"/>
    <w:rsid w:val="003F5C88"/>
    <w:rsid w:val="003F5D51"/>
    <w:rsid w:val="003F62DB"/>
    <w:rsid w:val="003F62DE"/>
    <w:rsid w:val="003F62ED"/>
    <w:rsid w:val="003F6321"/>
    <w:rsid w:val="003F647C"/>
    <w:rsid w:val="003F6545"/>
    <w:rsid w:val="003F66F8"/>
    <w:rsid w:val="003F6ABD"/>
    <w:rsid w:val="003F6B6C"/>
    <w:rsid w:val="003F6F06"/>
    <w:rsid w:val="003F6F6C"/>
    <w:rsid w:val="003F703F"/>
    <w:rsid w:val="003F711F"/>
    <w:rsid w:val="003F7546"/>
    <w:rsid w:val="003F77D2"/>
    <w:rsid w:val="003F77F7"/>
    <w:rsid w:val="003F78D8"/>
    <w:rsid w:val="004000F9"/>
    <w:rsid w:val="004001FC"/>
    <w:rsid w:val="00400398"/>
    <w:rsid w:val="004003A6"/>
    <w:rsid w:val="004007D0"/>
    <w:rsid w:val="0040082E"/>
    <w:rsid w:val="00400A90"/>
    <w:rsid w:val="00400B2C"/>
    <w:rsid w:val="00400D42"/>
    <w:rsid w:val="004010A5"/>
    <w:rsid w:val="004013E1"/>
    <w:rsid w:val="00401A04"/>
    <w:rsid w:val="00401A6B"/>
    <w:rsid w:val="00401C60"/>
    <w:rsid w:val="00401D05"/>
    <w:rsid w:val="00401FCB"/>
    <w:rsid w:val="0040203A"/>
    <w:rsid w:val="00402B30"/>
    <w:rsid w:val="00402C69"/>
    <w:rsid w:val="0040305F"/>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5C4"/>
    <w:rsid w:val="004066EE"/>
    <w:rsid w:val="00406765"/>
    <w:rsid w:val="00406B99"/>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12AE"/>
    <w:rsid w:val="00411903"/>
    <w:rsid w:val="00411CCB"/>
    <w:rsid w:val="00411E7E"/>
    <w:rsid w:val="00411F4F"/>
    <w:rsid w:val="00412042"/>
    <w:rsid w:val="004124B3"/>
    <w:rsid w:val="00412535"/>
    <w:rsid w:val="004126DB"/>
    <w:rsid w:val="00412A7B"/>
    <w:rsid w:val="00412B5E"/>
    <w:rsid w:val="00412C90"/>
    <w:rsid w:val="00412D0B"/>
    <w:rsid w:val="00412FF7"/>
    <w:rsid w:val="0041303A"/>
    <w:rsid w:val="00413097"/>
    <w:rsid w:val="004134C0"/>
    <w:rsid w:val="00413C08"/>
    <w:rsid w:val="00413FFE"/>
    <w:rsid w:val="00414299"/>
    <w:rsid w:val="004145B4"/>
    <w:rsid w:val="00414967"/>
    <w:rsid w:val="00414B5B"/>
    <w:rsid w:val="00414C19"/>
    <w:rsid w:val="00414CAD"/>
    <w:rsid w:val="004150F4"/>
    <w:rsid w:val="00415563"/>
    <w:rsid w:val="00415BC5"/>
    <w:rsid w:val="00415DB8"/>
    <w:rsid w:val="00415EE3"/>
    <w:rsid w:val="00415F40"/>
    <w:rsid w:val="0041604E"/>
    <w:rsid w:val="004161DD"/>
    <w:rsid w:val="00416341"/>
    <w:rsid w:val="004173EB"/>
    <w:rsid w:val="00417B31"/>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2F50"/>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27D09"/>
    <w:rsid w:val="00430012"/>
    <w:rsid w:val="004302B7"/>
    <w:rsid w:val="0043054F"/>
    <w:rsid w:val="00430567"/>
    <w:rsid w:val="004308E5"/>
    <w:rsid w:val="004309E8"/>
    <w:rsid w:val="00430DFD"/>
    <w:rsid w:val="00431096"/>
    <w:rsid w:val="004322D4"/>
    <w:rsid w:val="00432570"/>
    <w:rsid w:val="0043269D"/>
    <w:rsid w:val="00432A76"/>
    <w:rsid w:val="00432F05"/>
    <w:rsid w:val="004330BC"/>
    <w:rsid w:val="0043335A"/>
    <w:rsid w:val="00433783"/>
    <w:rsid w:val="0043396B"/>
    <w:rsid w:val="00433AD1"/>
    <w:rsid w:val="00433C0B"/>
    <w:rsid w:val="00434174"/>
    <w:rsid w:val="0043417D"/>
    <w:rsid w:val="00434627"/>
    <w:rsid w:val="0043479C"/>
    <w:rsid w:val="00434A59"/>
    <w:rsid w:val="00434E88"/>
    <w:rsid w:val="00435099"/>
    <w:rsid w:val="004350A2"/>
    <w:rsid w:val="00435101"/>
    <w:rsid w:val="004351AE"/>
    <w:rsid w:val="00435632"/>
    <w:rsid w:val="00435734"/>
    <w:rsid w:val="0043584E"/>
    <w:rsid w:val="004358C5"/>
    <w:rsid w:val="0043594B"/>
    <w:rsid w:val="004359E9"/>
    <w:rsid w:val="00435D10"/>
    <w:rsid w:val="004362BB"/>
    <w:rsid w:val="004368AE"/>
    <w:rsid w:val="004369C6"/>
    <w:rsid w:val="00436CDF"/>
    <w:rsid w:val="00437330"/>
    <w:rsid w:val="004378EC"/>
    <w:rsid w:val="004379D0"/>
    <w:rsid w:val="00440018"/>
    <w:rsid w:val="0044040B"/>
    <w:rsid w:val="00440604"/>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2DD"/>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EF"/>
    <w:rsid w:val="00447895"/>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C4A"/>
    <w:rsid w:val="00452E1E"/>
    <w:rsid w:val="00452E70"/>
    <w:rsid w:val="00453037"/>
    <w:rsid w:val="00453106"/>
    <w:rsid w:val="00453314"/>
    <w:rsid w:val="0045334B"/>
    <w:rsid w:val="00453A19"/>
    <w:rsid w:val="00453B7D"/>
    <w:rsid w:val="0045437C"/>
    <w:rsid w:val="004543BB"/>
    <w:rsid w:val="00454739"/>
    <w:rsid w:val="00454A14"/>
    <w:rsid w:val="00454A30"/>
    <w:rsid w:val="00454D6E"/>
    <w:rsid w:val="00454F63"/>
    <w:rsid w:val="00454F87"/>
    <w:rsid w:val="0045588B"/>
    <w:rsid w:val="00455F9E"/>
    <w:rsid w:val="004563D6"/>
    <w:rsid w:val="00456654"/>
    <w:rsid w:val="00456C43"/>
    <w:rsid w:val="00456EC9"/>
    <w:rsid w:val="00456EF5"/>
    <w:rsid w:val="004577BF"/>
    <w:rsid w:val="0045781E"/>
    <w:rsid w:val="00457AFC"/>
    <w:rsid w:val="00457CFF"/>
    <w:rsid w:val="004600CC"/>
    <w:rsid w:val="00460494"/>
    <w:rsid w:val="004605BC"/>
    <w:rsid w:val="00460AD1"/>
    <w:rsid w:val="00461003"/>
    <w:rsid w:val="004618B8"/>
    <w:rsid w:val="00461B72"/>
    <w:rsid w:val="00462001"/>
    <w:rsid w:val="00462117"/>
    <w:rsid w:val="00462400"/>
    <w:rsid w:val="004624B9"/>
    <w:rsid w:val="004627BC"/>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77"/>
    <w:rsid w:val="00465A90"/>
    <w:rsid w:val="00465AEB"/>
    <w:rsid w:val="00465CC2"/>
    <w:rsid w:val="00466357"/>
    <w:rsid w:val="004665D2"/>
    <w:rsid w:val="004667BB"/>
    <w:rsid w:val="0046689D"/>
    <w:rsid w:val="00466AB7"/>
    <w:rsid w:val="00466B35"/>
    <w:rsid w:val="00466C93"/>
    <w:rsid w:val="00466D14"/>
    <w:rsid w:val="00466DE0"/>
    <w:rsid w:val="00467357"/>
    <w:rsid w:val="00467610"/>
    <w:rsid w:val="004677AB"/>
    <w:rsid w:val="00467906"/>
    <w:rsid w:val="00467B7D"/>
    <w:rsid w:val="00467CFF"/>
    <w:rsid w:val="00467E58"/>
    <w:rsid w:val="00467FAA"/>
    <w:rsid w:val="00467FFC"/>
    <w:rsid w:val="00470031"/>
    <w:rsid w:val="004700AF"/>
    <w:rsid w:val="0047030E"/>
    <w:rsid w:val="0047041D"/>
    <w:rsid w:val="004707D6"/>
    <w:rsid w:val="00470B1D"/>
    <w:rsid w:val="00470D18"/>
    <w:rsid w:val="00470F57"/>
    <w:rsid w:val="0047102C"/>
    <w:rsid w:val="00471068"/>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75A"/>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6D45"/>
    <w:rsid w:val="00477402"/>
    <w:rsid w:val="00477631"/>
    <w:rsid w:val="00477975"/>
    <w:rsid w:val="00477D9B"/>
    <w:rsid w:val="0048001E"/>
    <w:rsid w:val="00480173"/>
    <w:rsid w:val="00480B68"/>
    <w:rsid w:val="00480B72"/>
    <w:rsid w:val="00480E45"/>
    <w:rsid w:val="00480E46"/>
    <w:rsid w:val="00481225"/>
    <w:rsid w:val="0048131F"/>
    <w:rsid w:val="004813B3"/>
    <w:rsid w:val="004814A1"/>
    <w:rsid w:val="004816B2"/>
    <w:rsid w:val="0048198B"/>
    <w:rsid w:val="00481A23"/>
    <w:rsid w:val="00481C46"/>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D3"/>
    <w:rsid w:val="004907F2"/>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3B"/>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C5D"/>
    <w:rsid w:val="004A3E7B"/>
    <w:rsid w:val="004A3FB2"/>
    <w:rsid w:val="004A4356"/>
    <w:rsid w:val="004A4627"/>
    <w:rsid w:val="004A4629"/>
    <w:rsid w:val="004A4774"/>
    <w:rsid w:val="004A4B32"/>
    <w:rsid w:val="004A4CFD"/>
    <w:rsid w:val="004A537E"/>
    <w:rsid w:val="004A545D"/>
    <w:rsid w:val="004A5541"/>
    <w:rsid w:val="004A5660"/>
    <w:rsid w:val="004A5E07"/>
    <w:rsid w:val="004A5F03"/>
    <w:rsid w:val="004A5F07"/>
    <w:rsid w:val="004A6334"/>
    <w:rsid w:val="004A643D"/>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2BC"/>
    <w:rsid w:val="004B277F"/>
    <w:rsid w:val="004B28A2"/>
    <w:rsid w:val="004B2BFD"/>
    <w:rsid w:val="004B33B9"/>
    <w:rsid w:val="004B340E"/>
    <w:rsid w:val="004B3420"/>
    <w:rsid w:val="004B37E4"/>
    <w:rsid w:val="004B399F"/>
    <w:rsid w:val="004B39D5"/>
    <w:rsid w:val="004B39F4"/>
    <w:rsid w:val="004B3BE1"/>
    <w:rsid w:val="004B438E"/>
    <w:rsid w:val="004B440A"/>
    <w:rsid w:val="004B4930"/>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C0571"/>
    <w:rsid w:val="004C093C"/>
    <w:rsid w:val="004C0BC9"/>
    <w:rsid w:val="004C0DF1"/>
    <w:rsid w:val="004C0DF8"/>
    <w:rsid w:val="004C0E96"/>
    <w:rsid w:val="004C0EF6"/>
    <w:rsid w:val="004C1479"/>
    <w:rsid w:val="004C14A0"/>
    <w:rsid w:val="004C1697"/>
    <w:rsid w:val="004C1747"/>
    <w:rsid w:val="004C17DD"/>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F3E"/>
    <w:rsid w:val="004D05F3"/>
    <w:rsid w:val="004D08BF"/>
    <w:rsid w:val="004D0B9F"/>
    <w:rsid w:val="004D0C77"/>
    <w:rsid w:val="004D0DD6"/>
    <w:rsid w:val="004D0FF1"/>
    <w:rsid w:val="004D1027"/>
    <w:rsid w:val="004D12D2"/>
    <w:rsid w:val="004D13B6"/>
    <w:rsid w:val="004D156A"/>
    <w:rsid w:val="004D1B28"/>
    <w:rsid w:val="004D1D5E"/>
    <w:rsid w:val="004D1E00"/>
    <w:rsid w:val="004D1FEF"/>
    <w:rsid w:val="004D238F"/>
    <w:rsid w:val="004D323C"/>
    <w:rsid w:val="004D35C6"/>
    <w:rsid w:val="004D378E"/>
    <w:rsid w:val="004D3797"/>
    <w:rsid w:val="004D3A2C"/>
    <w:rsid w:val="004D3B94"/>
    <w:rsid w:val="004D3BF7"/>
    <w:rsid w:val="004D3FDF"/>
    <w:rsid w:val="004D4312"/>
    <w:rsid w:val="004D4544"/>
    <w:rsid w:val="004D4647"/>
    <w:rsid w:val="004D4C47"/>
    <w:rsid w:val="004D5477"/>
    <w:rsid w:val="004D5745"/>
    <w:rsid w:val="004D593D"/>
    <w:rsid w:val="004D5CD9"/>
    <w:rsid w:val="004D5E82"/>
    <w:rsid w:val="004D5F42"/>
    <w:rsid w:val="004D602D"/>
    <w:rsid w:val="004D6CF4"/>
    <w:rsid w:val="004D6E44"/>
    <w:rsid w:val="004D6EDA"/>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138"/>
    <w:rsid w:val="004E21C6"/>
    <w:rsid w:val="004E22A4"/>
    <w:rsid w:val="004E2726"/>
    <w:rsid w:val="004E281C"/>
    <w:rsid w:val="004E283A"/>
    <w:rsid w:val="004E2A17"/>
    <w:rsid w:val="004E2ADF"/>
    <w:rsid w:val="004E2CE5"/>
    <w:rsid w:val="004E2E35"/>
    <w:rsid w:val="004E341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C"/>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62B"/>
    <w:rsid w:val="004F385C"/>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369"/>
    <w:rsid w:val="00500412"/>
    <w:rsid w:val="00500480"/>
    <w:rsid w:val="005008E5"/>
    <w:rsid w:val="00500B0C"/>
    <w:rsid w:val="00500DB5"/>
    <w:rsid w:val="00500DDC"/>
    <w:rsid w:val="00501282"/>
    <w:rsid w:val="005013AF"/>
    <w:rsid w:val="0050144E"/>
    <w:rsid w:val="005015B1"/>
    <w:rsid w:val="005016F1"/>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D22"/>
    <w:rsid w:val="00510059"/>
    <w:rsid w:val="0051085D"/>
    <w:rsid w:val="005108B1"/>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314"/>
    <w:rsid w:val="005123D3"/>
    <w:rsid w:val="00512A6D"/>
    <w:rsid w:val="00512BA1"/>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E9F"/>
    <w:rsid w:val="00516F49"/>
    <w:rsid w:val="00516FE4"/>
    <w:rsid w:val="0051735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1ABB"/>
    <w:rsid w:val="0052209B"/>
    <w:rsid w:val="005221B2"/>
    <w:rsid w:val="005223A5"/>
    <w:rsid w:val="0052243A"/>
    <w:rsid w:val="0052299E"/>
    <w:rsid w:val="00522DDE"/>
    <w:rsid w:val="0052304E"/>
    <w:rsid w:val="00523157"/>
    <w:rsid w:val="005233F5"/>
    <w:rsid w:val="0052349A"/>
    <w:rsid w:val="005235CB"/>
    <w:rsid w:val="005236AB"/>
    <w:rsid w:val="005237B8"/>
    <w:rsid w:val="005237BA"/>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D7"/>
    <w:rsid w:val="005273F0"/>
    <w:rsid w:val="00527995"/>
    <w:rsid w:val="00527B51"/>
    <w:rsid w:val="00527CA2"/>
    <w:rsid w:val="005300DA"/>
    <w:rsid w:val="00530157"/>
    <w:rsid w:val="00530208"/>
    <w:rsid w:val="00530472"/>
    <w:rsid w:val="005308E1"/>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83C"/>
    <w:rsid w:val="00544918"/>
    <w:rsid w:val="00544928"/>
    <w:rsid w:val="0054498D"/>
    <w:rsid w:val="00544B77"/>
    <w:rsid w:val="00544E23"/>
    <w:rsid w:val="00545062"/>
    <w:rsid w:val="0054534A"/>
    <w:rsid w:val="0054540D"/>
    <w:rsid w:val="00545656"/>
    <w:rsid w:val="005459D3"/>
    <w:rsid w:val="00545C38"/>
    <w:rsid w:val="00545D61"/>
    <w:rsid w:val="005462CB"/>
    <w:rsid w:val="00546375"/>
    <w:rsid w:val="0054653E"/>
    <w:rsid w:val="00546B02"/>
    <w:rsid w:val="00546D0E"/>
    <w:rsid w:val="00546D78"/>
    <w:rsid w:val="0054707A"/>
    <w:rsid w:val="005473EA"/>
    <w:rsid w:val="005475E1"/>
    <w:rsid w:val="0054763F"/>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EB0"/>
    <w:rsid w:val="00551FED"/>
    <w:rsid w:val="00552C21"/>
    <w:rsid w:val="00552DB9"/>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E35"/>
    <w:rsid w:val="00556F11"/>
    <w:rsid w:val="00556FD5"/>
    <w:rsid w:val="005570F7"/>
    <w:rsid w:val="0055711F"/>
    <w:rsid w:val="00557270"/>
    <w:rsid w:val="00557359"/>
    <w:rsid w:val="00557827"/>
    <w:rsid w:val="00557A6D"/>
    <w:rsid w:val="00557B9E"/>
    <w:rsid w:val="00557DE4"/>
    <w:rsid w:val="00557F82"/>
    <w:rsid w:val="00560102"/>
    <w:rsid w:val="005606DA"/>
    <w:rsid w:val="005609D2"/>
    <w:rsid w:val="00560A3D"/>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B74"/>
    <w:rsid w:val="00563D08"/>
    <w:rsid w:val="00563DFF"/>
    <w:rsid w:val="00563E54"/>
    <w:rsid w:val="00563F47"/>
    <w:rsid w:val="00563F55"/>
    <w:rsid w:val="00564021"/>
    <w:rsid w:val="005643B1"/>
    <w:rsid w:val="005647DB"/>
    <w:rsid w:val="005648E4"/>
    <w:rsid w:val="00564B70"/>
    <w:rsid w:val="00565272"/>
    <w:rsid w:val="00565921"/>
    <w:rsid w:val="00565D02"/>
    <w:rsid w:val="00565F56"/>
    <w:rsid w:val="0056637F"/>
    <w:rsid w:val="00566803"/>
    <w:rsid w:val="005668BB"/>
    <w:rsid w:val="0056697E"/>
    <w:rsid w:val="00566AB4"/>
    <w:rsid w:val="00566CD4"/>
    <w:rsid w:val="005670DA"/>
    <w:rsid w:val="0056743F"/>
    <w:rsid w:val="005675E9"/>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B1A"/>
    <w:rsid w:val="00573D33"/>
    <w:rsid w:val="00573DC5"/>
    <w:rsid w:val="00574223"/>
    <w:rsid w:val="00574D66"/>
    <w:rsid w:val="00574E2E"/>
    <w:rsid w:val="00575284"/>
    <w:rsid w:val="0057546D"/>
    <w:rsid w:val="0057554A"/>
    <w:rsid w:val="00575822"/>
    <w:rsid w:val="00575E87"/>
    <w:rsid w:val="0057604C"/>
    <w:rsid w:val="00576147"/>
    <w:rsid w:val="00576436"/>
    <w:rsid w:val="00576564"/>
    <w:rsid w:val="005767C0"/>
    <w:rsid w:val="00576DD5"/>
    <w:rsid w:val="00576E83"/>
    <w:rsid w:val="00576EAA"/>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944"/>
    <w:rsid w:val="00583E5F"/>
    <w:rsid w:val="00584205"/>
    <w:rsid w:val="00584757"/>
    <w:rsid w:val="00584BFE"/>
    <w:rsid w:val="00584D23"/>
    <w:rsid w:val="00584EC4"/>
    <w:rsid w:val="00585172"/>
    <w:rsid w:val="00585537"/>
    <w:rsid w:val="005855E7"/>
    <w:rsid w:val="00585692"/>
    <w:rsid w:val="00585CF3"/>
    <w:rsid w:val="00585F57"/>
    <w:rsid w:val="00586025"/>
    <w:rsid w:val="005860DE"/>
    <w:rsid w:val="00586302"/>
    <w:rsid w:val="005864D9"/>
    <w:rsid w:val="0058654F"/>
    <w:rsid w:val="0058662C"/>
    <w:rsid w:val="0058693D"/>
    <w:rsid w:val="00586ACB"/>
    <w:rsid w:val="00586E61"/>
    <w:rsid w:val="00586F26"/>
    <w:rsid w:val="00587122"/>
    <w:rsid w:val="00587E8E"/>
    <w:rsid w:val="00587E92"/>
    <w:rsid w:val="00590248"/>
    <w:rsid w:val="005903FA"/>
    <w:rsid w:val="0059077C"/>
    <w:rsid w:val="00590885"/>
    <w:rsid w:val="00591000"/>
    <w:rsid w:val="0059119C"/>
    <w:rsid w:val="005911E2"/>
    <w:rsid w:val="005916D5"/>
    <w:rsid w:val="005918AF"/>
    <w:rsid w:val="00591940"/>
    <w:rsid w:val="00591C6E"/>
    <w:rsid w:val="00591CC1"/>
    <w:rsid w:val="00591EF0"/>
    <w:rsid w:val="005926E2"/>
    <w:rsid w:val="00592AA8"/>
    <w:rsid w:val="005931F5"/>
    <w:rsid w:val="00593202"/>
    <w:rsid w:val="0059340C"/>
    <w:rsid w:val="00593546"/>
    <w:rsid w:val="00593B35"/>
    <w:rsid w:val="00593DE3"/>
    <w:rsid w:val="005940A3"/>
    <w:rsid w:val="00594376"/>
    <w:rsid w:val="00594451"/>
    <w:rsid w:val="0059465D"/>
    <w:rsid w:val="005949B6"/>
    <w:rsid w:val="00594A50"/>
    <w:rsid w:val="005951D7"/>
    <w:rsid w:val="0059526A"/>
    <w:rsid w:val="005958A4"/>
    <w:rsid w:val="00595993"/>
    <w:rsid w:val="00595CF0"/>
    <w:rsid w:val="00595ECA"/>
    <w:rsid w:val="0059622C"/>
    <w:rsid w:val="0059629E"/>
    <w:rsid w:val="005967D4"/>
    <w:rsid w:val="0059681A"/>
    <w:rsid w:val="00596B26"/>
    <w:rsid w:val="00596B65"/>
    <w:rsid w:val="00596CA5"/>
    <w:rsid w:val="00596DEF"/>
    <w:rsid w:val="00597096"/>
    <w:rsid w:val="0059734D"/>
    <w:rsid w:val="00597394"/>
    <w:rsid w:val="0059741D"/>
    <w:rsid w:val="0059783C"/>
    <w:rsid w:val="00597C14"/>
    <w:rsid w:val="005A03EA"/>
    <w:rsid w:val="005A05F8"/>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315"/>
    <w:rsid w:val="005A4487"/>
    <w:rsid w:val="005A4977"/>
    <w:rsid w:val="005A4A3A"/>
    <w:rsid w:val="005A4ECB"/>
    <w:rsid w:val="005A5135"/>
    <w:rsid w:val="005A54D4"/>
    <w:rsid w:val="005A5B14"/>
    <w:rsid w:val="005A5BDE"/>
    <w:rsid w:val="005A602F"/>
    <w:rsid w:val="005A60E0"/>
    <w:rsid w:val="005A633C"/>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8B3"/>
    <w:rsid w:val="005B1AB3"/>
    <w:rsid w:val="005B1F12"/>
    <w:rsid w:val="005B20C7"/>
    <w:rsid w:val="005B215A"/>
    <w:rsid w:val="005B25EC"/>
    <w:rsid w:val="005B2820"/>
    <w:rsid w:val="005B2CBF"/>
    <w:rsid w:val="005B31C8"/>
    <w:rsid w:val="005B3204"/>
    <w:rsid w:val="005B363A"/>
    <w:rsid w:val="005B466D"/>
    <w:rsid w:val="005B4BB9"/>
    <w:rsid w:val="005B4EE9"/>
    <w:rsid w:val="005B4F48"/>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913"/>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A7E"/>
    <w:rsid w:val="005C5B7B"/>
    <w:rsid w:val="005C5BE0"/>
    <w:rsid w:val="005C5DF6"/>
    <w:rsid w:val="005C5EE0"/>
    <w:rsid w:val="005C6425"/>
    <w:rsid w:val="005C65AB"/>
    <w:rsid w:val="005C684A"/>
    <w:rsid w:val="005C69BE"/>
    <w:rsid w:val="005C6A03"/>
    <w:rsid w:val="005C6ADA"/>
    <w:rsid w:val="005C6C3D"/>
    <w:rsid w:val="005C6DDF"/>
    <w:rsid w:val="005C71A6"/>
    <w:rsid w:val="005C71EA"/>
    <w:rsid w:val="005C730E"/>
    <w:rsid w:val="005C74DA"/>
    <w:rsid w:val="005C78FE"/>
    <w:rsid w:val="005C7BF3"/>
    <w:rsid w:val="005C7DFF"/>
    <w:rsid w:val="005D0215"/>
    <w:rsid w:val="005D027C"/>
    <w:rsid w:val="005D077F"/>
    <w:rsid w:val="005D07C9"/>
    <w:rsid w:val="005D10A9"/>
    <w:rsid w:val="005D1144"/>
    <w:rsid w:val="005D19AC"/>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565"/>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3F"/>
    <w:rsid w:val="005D6198"/>
    <w:rsid w:val="005D660C"/>
    <w:rsid w:val="005D678B"/>
    <w:rsid w:val="005D6C8E"/>
    <w:rsid w:val="005D73A6"/>
    <w:rsid w:val="005D7574"/>
    <w:rsid w:val="005D77C7"/>
    <w:rsid w:val="005D790D"/>
    <w:rsid w:val="005D7951"/>
    <w:rsid w:val="005E018B"/>
    <w:rsid w:val="005E0660"/>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88D"/>
    <w:rsid w:val="005F1D8D"/>
    <w:rsid w:val="005F21C9"/>
    <w:rsid w:val="005F247D"/>
    <w:rsid w:val="005F26B1"/>
    <w:rsid w:val="005F2EF6"/>
    <w:rsid w:val="005F30BF"/>
    <w:rsid w:val="005F372C"/>
    <w:rsid w:val="005F3739"/>
    <w:rsid w:val="005F3E71"/>
    <w:rsid w:val="005F3FB8"/>
    <w:rsid w:val="005F4312"/>
    <w:rsid w:val="005F4523"/>
    <w:rsid w:val="005F4788"/>
    <w:rsid w:val="005F4856"/>
    <w:rsid w:val="005F4B69"/>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DB6"/>
    <w:rsid w:val="005F7E7B"/>
    <w:rsid w:val="0060026E"/>
    <w:rsid w:val="00600389"/>
    <w:rsid w:val="0060043C"/>
    <w:rsid w:val="00600815"/>
    <w:rsid w:val="006009AC"/>
    <w:rsid w:val="006009F3"/>
    <w:rsid w:val="00600E99"/>
    <w:rsid w:val="006011BA"/>
    <w:rsid w:val="0060144C"/>
    <w:rsid w:val="00601957"/>
    <w:rsid w:val="00602081"/>
    <w:rsid w:val="00602180"/>
    <w:rsid w:val="00602383"/>
    <w:rsid w:val="006023DB"/>
    <w:rsid w:val="006026AC"/>
    <w:rsid w:val="006026E6"/>
    <w:rsid w:val="00602987"/>
    <w:rsid w:val="00602BEF"/>
    <w:rsid w:val="00602E57"/>
    <w:rsid w:val="00603012"/>
    <w:rsid w:val="006030BB"/>
    <w:rsid w:val="006030BD"/>
    <w:rsid w:val="00603808"/>
    <w:rsid w:val="00603C02"/>
    <w:rsid w:val="00603C48"/>
    <w:rsid w:val="006047B1"/>
    <w:rsid w:val="006047D4"/>
    <w:rsid w:val="00604C70"/>
    <w:rsid w:val="00604DE8"/>
    <w:rsid w:val="006051F3"/>
    <w:rsid w:val="00605261"/>
    <w:rsid w:val="0060548A"/>
    <w:rsid w:val="006054D2"/>
    <w:rsid w:val="006055B8"/>
    <w:rsid w:val="0060563D"/>
    <w:rsid w:val="00605BE0"/>
    <w:rsid w:val="00605BE6"/>
    <w:rsid w:val="00605FAA"/>
    <w:rsid w:val="006064F1"/>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2"/>
    <w:rsid w:val="0061557B"/>
    <w:rsid w:val="006160C4"/>
    <w:rsid w:val="00616265"/>
    <w:rsid w:val="006163CF"/>
    <w:rsid w:val="0061668C"/>
    <w:rsid w:val="00616B95"/>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509A"/>
    <w:rsid w:val="0062595E"/>
    <w:rsid w:val="00625C6D"/>
    <w:rsid w:val="00625F42"/>
    <w:rsid w:val="00626004"/>
    <w:rsid w:val="006262F3"/>
    <w:rsid w:val="006264E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40AF"/>
    <w:rsid w:val="006341F7"/>
    <w:rsid w:val="00634297"/>
    <w:rsid w:val="00634A6B"/>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706F"/>
    <w:rsid w:val="0064732A"/>
    <w:rsid w:val="006474B3"/>
    <w:rsid w:val="006474F2"/>
    <w:rsid w:val="00647EB2"/>
    <w:rsid w:val="00647FD7"/>
    <w:rsid w:val="0065008E"/>
    <w:rsid w:val="00650092"/>
    <w:rsid w:val="006506EC"/>
    <w:rsid w:val="0065098C"/>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876"/>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06"/>
    <w:rsid w:val="00660BE4"/>
    <w:rsid w:val="00660E89"/>
    <w:rsid w:val="00660EFE"/>
    <w:rsid w:val="006619C8"/>
    <w:rsid w:val="006621A6"/>
    <w:rsid w:val="0066224E"/>
    <w:rsid w:val="006626D9"/>
    <w:rsid w:val="00662883"/>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6C1E"/>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5B7"/>
    <w:rsid w:val="00671D6A"/>
    <w:rsid w:val="00672129"/>
    <w:rsid w:val="0067253E"/>
    <w:rsid w:val="00672583"/>
    <w:rsid w:val="00672736"/>
    <w:rsid w:val="006729B7"/>
    <w:rsid w:val="00672CD3"/>
    <w:rsid w:val="006732E8"/>
    <w:rsid w:val="00673426"/>
    <w:rsid w:val="00673482"/>
    <w:rsid w:val="0067369D"/>
    <w:rsid w:val="006737AC"/>
    <w:rsid w:val="006738FF"/>
    <w:rsid w:val="00673A9C"/>
    <w:rsid w:val="00673D17"/>
    <w:rsid w:val="00673E4F"/>
    <w:rsid w:val="00673F8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3F4E"/>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1FD"/>
    <w:rsid w:val="0069432C"/>
    <w:rsid w:val="006945B4"/>
    <w:rsid w:val="00694630"/>
    <w:rsid w:val="0069471C"/>
    <w:rsid w:val="00694A94"/>
    <w:rsid w:val="00694C68"/>
    <w:rsid w:val="00694E98"/>
    <w:rsid w:val="0069509A"/>
    <w:rsid w:val="006952CE"/>
    <w:rsid w:val="00695629"/>
    <w:rsid w:val="006956AF"/>
    <w:rsid w:val="00695BC0"/>
    <w:rsid w:val="00695C46"/>
    <w:rsid w:val="00695D25"/>
    <w:rsid w:val="00696041"/>
    <w:rsid w:val="006963CB"/>
    <w:rsid w:val="006969DC"/>
    <w:rsid w:val="00696E73"/>
    <w:rsid w:val="00696EAD"/>
    <w:rsid w:val="00696EF5"/>
    <w:rsid w:val="006971B0"/>
    <w:rsid w:val="00697310"/>
    <w:rsid w:val="00697441"/>
    <w:rsid w:val="006A01DE"/>
    <w:rsid w:val="006A024D"/>
    <w:rsid w:val="006A0927"/>
    <w:rsid w:val="006A0A0A"/>
    <w:rsid w:val="006A0C73"/>
    <w:rsid w:val="006A0D67"/>
    <w:rsid w:val="006A114D"/>
    <w:rsid w:val="006A153A"/>
    <w:rsid w:val="006A1831"/>
    <w:rsid w:val="006A1981"/>
    <w:rsid w:val="006A1C0D"/>
    <w:rsid w:val="006A1F34"/>
    <w:rsid w:val="006A2071"/>
    <w:rsid w:val="006A2238"/>
    <w:rsid w:val="006A22D0"/>
    <w:rsid w:val="006A2370"/>
    <w:rsid w:val="006A2479"/>
    <w:rsid w:val="006A25BC"/>
    <w:rsid w:val="006A264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7C7"/>
    <w:rsid w:val="006A7DBE"/>
    <w:rsid w:val="006A7F52"/>
    <w:rsid w:val="006A7FF0"/>
    <w:rsid w:val="006B028F"/>
    <w:rsid w:val="006B0483"/>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70A"/>
    <w:rsid w:val="006B5715"/>
    <w:rsid w:val="006B5A61"/>
    <w:rsid w:val="006B648C"/>
    <w:rsid w:val="006B6546"/>
    <w:rsid w:val="006B6728"/>
    <w:rsid w:val="006B6CB7"/>
    <w:rsid w:val="006B6D0B"/>
    <w:rsid w:val="006B6ED5"/>
    <w:rsid w:val="006B6F1F"/>
    <w:rsid w:val="006B6F7D"/>
    <w:rsid w:val="006B7021"/>
    <w:rsid w:val="006B7082"/>
    <w:rsid w:val="006B709A"/>
    <w:rsid w:val="006B7254"/>
    <w:rsid w:val="006B7258"/>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84F"/>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772"/>
    <w:rsid w:val="006D1BD4"/>
    <w:rsid w:val="006D1EE5"/>
    <w:rsid w:val="006D2145"/>
    <w:rsid w:val="006D2ED4"/>
    <w:rsid w:val="006D2FF8"/>
    <w:rsid w:val="006D302A"/>
    <w:rsid w:val="006D30B2"/>
    <w:rsid w:val="006D35FD"/>
    <w:rsid w:val="006D3811"/>
    <w:rsid w:val="006D3872"/>
    <w:rsid w:val="006D3F34"/>
    <w:rsid w:val="006D40E7"/>
    <w:rsid w:val="006D447B"/>
    <w:rsid w:val="006D4954"/>
    <w:rsid w:val="006D496A"/>
    <w:rsid w:val="006D49C4"/>
    <w:rsid w:val="006D4ACE"/>
    <w:rsid w:val="006D4BE1"/>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146"/>
    <w:rsid w:val="006D7309"/>
    <w:rsid w:val="006D74E0"/>
    <w:rsid w:val="006D7795"/>
    <w:rsid w:val="006D79BA"/>
    <w:rsid w:val="006E0258"/>
    <w:rsid w:val="006E06B3"/>
    <w:rsid w:val="006E09ED"/>
    <w:rsid w:val="006E0BB8"/>
    <w:rsid w:val="006E0D37"/>
    <w:rsid w:val="006E0FB9"/>
    <w:rsid w:val="006E14B3"/>
    <w:rsid w:val="006E175D"/>
    <w:rsid w:val="006E191C"/>
    <w:rsid w:val="006E1963"/>
    <w:rsid w:val="006E1EAC"/>
    <w:rsid w:val="006E1F52"/>
    <w:rsid w:val="006E22E1"/>
    <w:rsid w:val="006E2554"/>
    <w:rsid w:val="006E2653"/>
    <w:rsid w:val="006E27DA"/>
    <w:rsid w:val="006E2875"/>
    <w:rsid w:val="006E2D3E"/>
    <w:rsid w:val="006E329A"/>
    <w:rsid w:val="006E3477"/>
    <w:rsid w:val="006E358D"/>
    <w:rsid w:val="006E3A90"/>
    <w:rsid w:val="006E3CC7"/>
    <w:rsid w:val="006E4585"/>
    <w:rsid w:val="006E4900"/>
    <w:rsid w:val="006E4923"/>
    <w:rsid w:val="006E4960"/>
    <w:rsid w:val="006E4DC4"/>
    <w:rsid w:val="006E4FEC"/>
    <w:rsid w:val="006E5332"/>
    <w:rsid w:val="006E533F"/>
    <w:rsid w:val="006E53A3"/>
    <w:rsid w:val="006E5696"/>
    <w:rsid w:val="006E5BBA"/>
    <w:rsid w:val="006E6338"/>
    <w:rsid w:val="006E66A7"/>
    <w:rsid w:val="006E68C1"/>
    <w:rsid w:val="006E6EAF"/>
    <w:rsid w:val="006E6F14"/>
    <w:rsid w:val="006E70DA"/>
    <w:rsid w:val="006E79B9"/>
    <w:rsid w:val="006F007E"/>
    <w:rsid w:val="006F02FD"/>
    <w:rsid w:val="006F0D91"/>
    <w:rsid w:val="006F0DA1"/>
    <w:rsid w:val="006F0E98"/>
    <w:rsid w:val="006F13CA"/>
    <w:rsid w:val="006F14F2"/>
    <w:rsid w:val="006F18BB"/>
    <w:rsid w:val="006F1A95"/>
    <w:rsid w:val="006F1B02"/>
    <w:rsid w:val="006F1BCA"/>
    <w:rsid w:val="006F1CA0"/>
    <w:rsid w:val="006F1D16"/>
    <w:rsid w:val="006F1E37"/>
    <w:rsid w:val="006F1EFF"/>
    <w:rsid w:val="006F23EC"/>
    <w:rsid w:val="006F2578"/>
    <w:rsid w:val="006F2F10"/>
    <w:rsid w:val="006F344B"/>
    <w:rsid w:val="006F3664"/>
    <w:rsid w:val="006F40BA"/>
    <w:rsid w:val="006F42AE"/>
    <w:rsid w:val="006F4507"/>
    <w:rsid w:val="006F5608"/>
    <w:rsid w:val="006F560B"/>
    <w:rsid w:val="006F604B"/>
    <w:rsid w:val="006F6337"/>
    <w:rsid w:val="006F6502"/>
    <w:rsid w:val="006F6847"/>
    <w:rsid w:val="006F7262"/>
    <w:rsid w:val="006F73B3"/>
    <w:rsid w:val="006F73B4"/>
    <w:rsid w:val="006F73FC"/>
    <w:rsid w:val="006F7524"/>
    <w:rsid w:val="006F7546"/>
    <w:rsid w:val="006F76C5"/>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7F8"/>
    <w:rsid w:val="00702AAC"/>
    <w:rsid w:val="00702C97"/>
    <w:rsid w:val="00702D7E"/>
    <w:rsid w:val="00702E1B"/>
    <w:rsid w:val="007030C7"/>
    <w:rsid w:val="0070343A"/>
    <w:rsid w:val="007035D6"/>
    <w:rsid w:val="007035E8"/>
    <w:rsid w:val="007036AA"/>
    <w:rsid w:val="007039BA"/>
    <w:rsid w:val="00703AFB"/>
    <w:rsid w:val="00703EFD"/>
    <w:rsid w:val="007040E6"/>
    <w:rsid w:val="007044BB"/>
    <w:rsid w:val="00704F73"/>
    <w:rsid w:val="00705306"/>
    <w:rsid w:val="007053A6"/>
    <w:rsid w:val="007054E5"/>
    <w:rsid w:val="00705812"/>
    <w:rsid w:val="00706076"/>
    <w:rsid w:val="007060FC"/>
    <w:rsid w:val="00706625"/>
    <w:rsid w:val="0070690C"/>
    <w:rsid w:val="00706952"/>
    <w:rsid w:val="00706B0E"/>
    <w:rsid w:val="00706B40"/>
    <w:rsid w:val="00706C63"/>
    <w:rsid w:val="00706FC4"/>
    <w:rsid w:val="007073B1"/>
    <w:rsid w:val="0070768C"/>
    <w:rsid w:val="007076E6"/>
    <w:rsid w:val="00707D18"/>
    <w:rsid w:val="00707F91"/>
    <w:rsid w:val="00710129"/>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40D6"/>
    <w:rsid w:val="00714A31"/>
    <w:rsid w:val="00714A43"/>
    <w:rsid w:val="007150B0"/>
    <w:rsid w:val="007155A6"/>
    <w:rsid w:val="00715797"/>
    <w:rsid w:val="00715A9A"/>
    <w:rsid w:val="00715B97"/>
    <w:rsid w:val="00715BF9"/>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A36"/>
    <w:rsid w:val="00722D3C"/>
    <w:rsid w:val="00722F29"/>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286"/>
    <w:rsid w:val="007306DC"/>
    <w:rsid w:val="007309B3"/>
    <w:rsid w:val="00730A05"/>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777"/>
    <w:rsid w:val="00735A18"/>
    <w:rsid w:val="00735BA3"/>
    <w:rsid w:val="00736037"/>
    <w:rsid w:val="0073605C"/>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AE"/>
    <w:rsid w:val="00746214"/>
    <w:rsid w:val="007463AA"/>
    <w:rsid w:val="00746512"/>
    <w:rsid w:val="007468D5"/>
    <w:rsid w:val="00746F46"/>
    <w:rsid w:val="007471F8"/>
    <w:rsid w:val="00747516"/>
    <w:rsid w:val="0074755D"/>
    <w:rsid w:val="007476F0"/>
    <w:rsid w:val="00747949"/>
    <w:rsid w:val="00747BB2"/>
    <w:rsid w:val="00747E51"/>
    <w:rsid w:val="00750897"/>
    <w:rsid w:val="00750981"/>
    <w:rsid w:val="00750C2F"/>
    <w:rsid w:val="00750D2E"/>
    <w:rsid w:val="00751098"/>
    <w:rsid w:val="0075111B"/>
    <w:rsid w:val="007513EE"/>
    <w:rsid w:val="00751B89"/>
    <w:rsid w:val="00751B8F"/>
    <w:rsid w:val="00751C7C"/>
    <w:rsid w:val="00751F34"/>
    <w:rsid w:val="0075295E"/>
    <w:rsid w:val="007529BE"/>
    <w:rsid w:val="00752ACF"/>
    <w:rsid w:val="00752E3A"/>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851"/>
    <w:rsid w:val="00755F22"/>
    <w:rsid w:val="00755FD6"/>
    <w:rsid w:val="00755FF4"/>
    <w:rsid w:val="007560B5"/>
    <w:rsid w:val="00756393"/>
    <w:rsid w:val="00756B24"/>
    <w:rsid w:val="00756CDA"/>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4D5"/>
    <w:rsid w:val="007604FB"/>
    <w:rsid w:val="007606EE"/>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1E2"/>
    <w:rsid w:val="00763648"/>
    <w:rsid w:val="007636BD"/>
    <w:rsid w:val="00763CB7"/>
    <w:rsid w:val="00763D1B"/>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E84"/>
    <w:rsid w:val="00766F38"/>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313D"/>
    <w:rsid w:val="007735A3"/>
    <w:rsid w:val="007735FD"/>
    <w:rsid w:val="0077367E"/>
    <w:rsid w:val="007736A6"/>
    <w:rsid w:val="00773830"/>
    <w:rsid w:val="007738D3"/>
    <w:rsid w:val="00773C0F"/>
    <w:rsid w:val="00773FF9"/>
    <w:rsid w:val="00774581"/>
    <w:rsid w:val="00774779"/>
    <w:rsid w:val="007748BB"/>
    <w:rsid w:val="00774A0D"/>
    <w:rsid w:val="00774AAA"/>
    <w:rsid w:val="00774AD8"/>
    <w:rsid w:val="00774FCC"/>
    <w:rsid w:val="0077510C"/>
    <w:rsid w:val="00775284"/>
    <w:rsid w:val="00775886"/>
    <w:rsid w:val="00775934"/>
    <w:rsid w:val="00775974"/>
    <w:rsid w:val="00775CBC"/>
    <w:rsid w:val="00775F0A"/>
    <w:rsid w:val="007762E2"/>
    <w:rsid w:val="00776B7F"/>
    <w:rsid w:val="00776DA5"/>
    <w:rsid w:val="0077711A"/>
    <w:rsid w:val="007773AE"/>
    <w:rsid w:val="00777789"/>
    <w:rsid w:val="0077778C"/>
    <w:rsid w:val="00777CD2"/>
    <w:rsid w:val="00777D1A"/>
    <w:rsid w:val="00777E6D"/>
    <w:rsid w:val="00777FA6"/>
    <w:rsid w:val="00777FCC"/>
    <w:rsid w:val="00780012"/>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97"/>
    <w:rsid w:val="007833CA"/>
    <w:rsid w:val="007834F3"/>
    <w:rsid w:val="00783A1E"/>
    <w:rsid w:val="00783B53"/>
    <w:rsid w:val="0078476D"/>
    <w:rsid w:val="007847CD"/>
    <w:rsid w:val="00784840"/>
    <w:rsid w:val="00784C02"/>
    <w:rsid w:val="00784C1B"/>
    <w:rsid w:val="00784D76"/>
    <w:rsid w:val="00784E22"/>
    <w:rsid w:val="00784FC2"/>
    <w:rsid w:val="00785562"/>
    <w:rsid w:val="00785A27"/>
    <w:rsid w:val="00785F6D"/>
    <w:rsid w:val="0078660B"/>
    <w:rsid w:val="00786A73"/>
    <w:rsid w:val="00786ACC"/>
    <w:rsid w:val="00786CE9"/>
    <w:rsid w:val="00786D0E"/>
    <w:rsid w:val="00786D77"/>
    <w:rsid w:val="00787634"/>
    <w:rsid w:val="0078784E"/>
    <w:rsid w:val="00787927"/>
    <w:rsid w:val="00787999"/>
    <w:rsid w:val="0079035A"/>
    <w:rsid w:val="007906A1"/>
    <w:rsid w:val="007906F9"/>
    <w:rsid w:val="007907BA"/>
    <w:rsid w:val="00790A2B"/>
    <w:rsid w:val="00790A2F"/>
    <w:rsid w:val="00790E92"/>
    <w:rsid w:val="0079139D"/>
    <w:rsid w:val="00791536"/>
    <w:rsid w:val="007915C8"/>
    <w:rsid w:val="007915DD"/>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A055C"/>
    <w:rsid w:val="007A0767"/>
    <w:rsid w:val="007A0928"/>
    <w:rsid w:val="007A0C8F"/>
    <w:rsid w:val="007A0D76"/>
    <w:rsid w:val="007A111B"/>
    <w:rsid w:val="007A1381"/>
    <w:rsid w:val="007A16F4"/>
    <w:rsid w:val="007A194E"/>
    <w:rsid w:val="007A19B2"/>
    <w:rsid w:val="007A19E0"/>
    <w:rsid w:val="007A1D46"/>
    <w:rsid w:val="007A2072"/>
    <w:rsid w:val="007A2162"/>
    <w:rsid w:val="007A216C"/>
    <w:rsid w:val="007A242A"/>
    <w:rsid w:val="007A2553"/>
    <w:rsid w:val="007A2A37"/>
    <w:rsid w:val="007A2E2A"/>
    <w:rsid w:val="007A3364"/>
    <w:rsid w:val="007A3CC4"/>
    <w:rsid w:val="007A3D28"/>
    <w:rsid w:val="007A3FE3"/>
    <w:rsid w:val="007A4074"/>
    <w:rsid w:val="007A41F4"/>
    <w:rsid w:val="007A44F7"/>
    <w:rsid w:val="007A476B"/>
    <w:rsid w:val="007A483E"/>
    <w:rsid w:val="007A4DE6"/>
    <w:rsid w:val="007A4E7D"/>
    <w:rsid w:val="007A518E"/>
    <w:rsid w:val="007A51C1"/>
    <w:rsid w:val="007A55C4"/>
    <w:rsid w:val="007A55F4"/>
    <w:rsid w:val="007A5738"/>
    <w:rsid w:val="007A573A"/>
    <w:rsid w:val="007A58E0"/>
    <w:rsid w:val="007A5B85"/>
    <w:rsid w:val="007A5D89"/>
    <w:rsid w:val="007A5EEB"/>
    <w:rsid w:val="007A5F26"/>
    <w:rsid w:val="007A60E5"/>
    <w:rsid w:val="007A64CF"/>
    <w:rsid w:val="007A6708"/>
    <w:rsid w:val="007A685F"/>
    <w:rsid w:val="007A6ED6"/>
    <w:rsid w:val="007A71D7"/>
    <w:rsid w:val="007A7600"/>
    <w:rsid w:val="007A7960"/>
    <w:rsid w:val="007B0002"/>
    <w:rsid w:val="007B017D"/>
    <w:rsid w:val="007B01AF"/>
    <w:rsid w:val="007B075C"/>
    <w:rsid w:val="007B083D"/>
    <w:rsid w:val="007B09B4"/>
    <w:rsid w:val="007B09D1"/>
    <w:rsid w:val="007B0ACC"/>
    <w:rsid w:val="007B1265"/>
    <w:rsid w:val="007B1A21"/>
    <w:rsid w:val="007B1ACD"/>
    <w:rsid w:val="007B21B1"/>
    <w:rsid w:val="007B234D"/>
    <w:rsid w:val="007B2840"/>
    <w:rsid w:val="007B28B4"/>
    <w:rsid w:val="007B2E7A"/>
    <w:rsid w:val="007B2FDF"/>
    <w:rsid w:val="007B30EA"/>
    <w:rsid w:val="007B33D2"/>
    <w:rsid w:val="007B354B"/>
    <w:rsid w:val="007B3A86"/>
    <w:rsid w:val="007B3DE7"/>
    <w:rsid w:val="007B4246"/>
    <w:rsid w:val="007B43A1"/>
    <w:rsid w:val="007B4499"/>
    <w:rsid w:val="007B473D"/>
    <w:rsid w:val="007B4BFD"/>
    <w:rsid w:val="007B5366"/>
    <w:rsid w:val="007B5419"/>
    <w:rsid w:val="007B544B"/>
    <w:rsid w:val="007B55D0"/>
    <w:rsid w:val="007B58B3"/>
    <w:rsid w:val="007B5B06"/>
    <w:rsid w:val="007B5E6F"/>
    <w:rsid w:val="007B5F7A"/>
    <w:rsid w:val="007B6199"/>
    <w:rsid w:val="007B63AE"/>
    <w:rsid w:val="007B677E"/>
    <w:rsid w:val="007B690E"/>
    <w:rsid w:val="007B6AAE"/>
    <w:rsid w:val="007B6C4C"/>
    <w:rsid w:val="007B6F26"/>
    <w:rsid w:val="007B7279"/>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CE"/>
    <w:rsid w:val="007D1DE9"/>
    <w:rsid w:val="007D221D"/>
    <w:rsid w:val="007D269C"/>
    <w:rsid w:val="007D26D0"/>
    <w:rsid w:val="007D2B58"/>
    <w:rsid w:val="007D2B94"/>
    <w:rsid w:val="007D2CAF"/>
    <w:rsid w:val="007D31A0"/>
    <w:rsid w:val="007D34B9"/>
    <w:rsid w:val="007D35B2"/>
    <w:rsid w:val="007D3AEC"/>
    <w:rsid w:val="007D3FD8"/>
    <w:rsid w:val="007D4DC3"/>
    <w:rsid w:val="007D50FE"/>
    <w:rsid w:val="007D5181"/>
    <w:rsid w:val="007D5317"/>
    <w:rsid w:val="007D5450"/>
    <w:rsid w:val="007D573B"/>
    <w:rsid w:val="007D57F6"/>
    <w:rsid w:val="007D5967"/>
    <w:rsid w:val="007D5E26"/>
    <w:rsid w:val="007D5F56"/>
    <w:rsid w:val="007D602B"/>
    <w:rsid w:val="007D61E4"/>
    <w:rsid w:val="007D628A"/>
    <w:rsid w:val="007D62B4"/>
    <w:rsid w:val="007D64D8"/>
    <w:rsid w:val="007D6551"/>
    <w:rsid w:val="007D67A4"/>
    <w:rsid w:val="007D69BC"/>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90C"/>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24"/>
    <w:rsid w:val="007F67A9"/>
    <w:rsid w:val="007F691E"/>
    <w:rsid w:val="007F6E0C"/>
    <w:rsid w:val="007F727C"/>
    <w:rsid w:val="007F73E2"/>
    <w:rsid w:val="007F748F"/>
    <w:rsid w:val="007F7624"/>
    <w:rsid w:val="007F76BB"/>
    <w:rsid w:val="007F7E2B"/>
    <w:rsid w:val="0080043A"/>
    <w:rsid w:val="00800555"/>
    <w:rsid w:val="00800593"/>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7D"/>
    <w:rsid w:val="00805DE6"/>
    <w:rsid w:val="00805FB9"/>
    <w:rsid w:val="00806141"/>
    <w:rsid w:val="00806932"/>
    <w:rsid w:val="00806B10"/>
    <w:rsid w:val="00806BF8"/>
    <w:rsid w:val="00807252"/>
    <w:rsid w:val="00807383"/>
    <w:rsid w:val="00807419"/>
    <w:rsid w:val="008076A5"/>
    <w:rsid w:val="008077B2"/>
    <w:rsid w:val="0080780B"/>
    <w:rsid w:val="008078B7"/>
    <w:rsid w:val="00807C1A"/>
    <w:rsid w:val="00807CE2"/>
    <w:rsid w:val="00807CE5"/>
    <w:rsid w:val="00810474"/>
    <w:rsid w:val="008111F2"/>
    <w:rsid w:val="0081147E"/>
    <w:rsid w:val="00812128"/>
    <w:rsid w:val="00812176"/>
    <w:rsid w:val="00812321"/>
    <w:rsid w:val="00812AAE"/>
    <w:rsid w:val="00812AF2"/>
    <w:rsid w:val="00812D5C"/>
    <w:rsid w:val="00812E06"/>
    <w:rsid w:val="00813274"/>
    <w:rsid w:val="00813288"/>
    <w:rsid w:val="00813315"/>
    <w:rsid w:val="008133B2"/>
    <w:rsid w:val="008136B2"/>
    <w:rsid w:val="00813804"/>
    <w:rsid w:val="00813855"/>
    <w:rsid w:val="00813888"/>
    <w:rsid w:val="00813B99"/>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C26"/>
    <w:rsid w:val="00823EAE"/>
    <w:rsid w:val="00823F6F"/>
    <w:rsid w:val="00824055"/>
    <w:rsid w:val="0082405D"/>
    <w:rsid w:val="008242B4"/>
    <w:rsid w:val="00824671"/>
    <w:rsid w:val="008246B9"/>
    <w:rsid w:val="00824A4A"/>
    <w:rsid w:val="00824AF1"/>
    <w:rsid w:val="00824BE7"/>
    <w:rsid w:val="00824D37"/>
    <w:rsid w:val="00824D4D"/>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8CA"/>
    <w:rsid w:val="00826994"/>
    <w:rsid w:val="008269A8"/>
    <w:rsid w:val="00826EB4"/>
    <w:rsid w:val="008270CD"/>
    <w:rsid w:val="008273FF"/>
    <w:rsid w:val="0082748B"/>
    <w:rsid w:val="008275F5"/>
    <w:rsid w:val="008276E7"/>
    <w:rsid w:val="00827733"/>
    <w:rsid w:val="00827924"/>
    <w:rsid w:val="00827ACF"/>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EFF"/>
    <w:rsid w:val="00836F2C"/>
    <w:rsid w:val="00837848"/>
    <w:rsid w:val="008379C8"/>
    <w:rsid w:val="00837D08"/>
    <w:rsid w:val="00840853"/>
    <w:rsid w:val="0084097C"/>
    <w:rsid w:val="00840AAC"/>
    <w:rsid w:val="00840B80"/>
    <w:rsid w:val="00841076"/>
    <w:rsid w:val="008416C0"/>
    <w:rsid w:val="008416F2"/>
    <w:rsid w:val="008418B1"/>
    <w:rsid w:val="008418F3"/>
    <w:rsid w:val="008419C5"/>
    <w:rsid w:val="00841BFE"/>
    <w:rsid w:val="00841C7E"/>
    <w:rsid w:val="00841F59"/>
    <w:rsid w:val="00841F66"/>
    <w:rsid w:val="0084226A"/>
    <w:rsid w:val="00842BB3"/>
    <w:rsid w:val="00842F90"/>
    <w:rsid w:val="0084310E"/>
    <w:rsid w:val="00843591"/>
    <w:rsid w:val="00843761"/>
    <w:rsid w:val="008438B6"/>
    <w:rsid w:val="00843AA6"/>
    <w:rsid w:val="00843E2B"/>
    <w:rsid w:val="00843FFE"/>
    <w:rsid w:val="0084406B"/>
    <w:rsid w:val="008443BA"/>
    <w:rsid w:val="0084458D"/>
    <w:rsid w:val="00844606"/>
    <w:rsid w:val="008446F6"/>
    <w:rsid w:val="00844AA5"/>
    <w:rsid w:val="008458D1"/>
    <w:rsid w:val="00845939"/>
    <w:rsid w:val="00845AEA"/>
    <w:rsid w:val="00845C2E"/>
    <w:rsid w:val="00845D3D"/>
    <w:rsid w:val="00845F26"/>
    <w:rsid w:val="00846069"/>
    <w:rsid w:val="008460AE"/>
    <w:rsid w:val="008462C7"/>
    <w:rsid w:val="0084644F"/>
    <w:rsid w:val="008464D2"/>
    <w:rsid w:val="008465E6"/>
    <w:rsid w:val="00846905"/>
    <w:rsid w:val="00846A7E"/>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96A"/>
    <w:rsid w:val="00853A2E"/>
    <w:rsid w:val="00853D05"/>
    <w:rsid w:val="00853D12"/>
    <w:rsid w:val="00853F0F"/>
    <w:rsid w:val="00853F97"/>
    <w:rsid w:val="008540EB"/>
    <w:rsid w:val="0085431B"/>
    <w:rsid w:val="0085444A"/>
    <w:rsid w:val="008544B5"/>
    <w:rsid w:val="00854566"/>
    <w:rsid w:val="00854AC2"/>
    <w:rsid w:val="00854BC0"/>
    <w:rsid w:val="00854C05"/>
    <w:rsid w:val="008558EF"/>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272"/>
    <w:rsid w:val="00861477"/>
    <w:rsid w:val="008614CA"/>
    <w:rsid w:val="0086179E"/>
    <w:rsid w:val="00862226"/>
    <w:rsid w:val="00862902"/>
    <w:rsid w:val="00862C4F"/>
    <w:rsid w:val="00862CD3"/>
    <w:rsid w:val="00862DAC"/>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C3"/>
    <w:rsid w:val="00865FE9"/>
    <w:rsid w:val="00866341"/>
    <w:rsid w:val="0086637F"/>
    <w:rsid w:val="00866B94"/>
    <w:rsid w:val="00866EB5"/>
    <w:rsid w:val="00866EEF"/>
    <w:rsid w:val="00867014"/>
    <w:rsid w:val="00867290"/>
    <w:rsid w:val="008672FE"/>
    <w:rsid w:val="00867459"/>
    <w:rsid w:val="00867703"/>
    <w:rsid w:val="00867833"/>
    <w:rsid w:val="00867B6F"/>
    <w:rsid w:val="00867CE1"/>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1095"/>
    <w:rsid w:val="008714E6"/>
    <w:rsid w:val="0087151E"/>
    <w:rsid w:val="00871A9E"/>
    <w:rsid w:val="00871AF3"/>
    <w:rsid w:val="00871B95"/>
    <w:rsid w:val="00872461"/>
    <w:rsid w:val="008724E3"/>
    <w:rsid w:val="0087271B"/>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10C"/>
    <w:rsid w:val="008802CA"/>
    <w:rsid w:val="00880355"/>
    <w:rsid w:val="0088051A"/>
    <w:rsid w:val="00880834"/>
    <w:rsid w:val="00880CBB"/>
    <w:rsid w:val="00880FD7"/>
    <w:rsid w:val="0088127C"/>
    <w:rsid w:val="0088159C"/>
    <w:rsid w:val="00881887"/>
    <w:rsid w:val="008818E4"/>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CAB"/>
    <w:rsid w:val="0089021A"/>
    <w:rsid w:val="008902C1"/>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F"/>
    <w:rsid w:val="00895F87"/>
    <w:rsid w:val="008961A7"/>
    <w:rsid w:val="008962CD"/>
    <w:rsid w:val="008963A5"/>
    <w:rsid w:val="00896575"/>
    <w:rsid w:val="00896612"/>
    <w:rsid w:val="008968D9"/>
    <w:rsid w:val="0089690E"/>
    <w:rsid w:val="00896A26"/>
    <w:rsid w:val="00896BC5"/>
    <w:rsid w:val="00896ED7"/>
    <w:rsid w:val="0089797E"/>
    <w:rsid w:val="00897A0E"/>
    <w:rsid w:val="00897ED1"/>
    <w:rsid w:val="00897F20"/>
    <w:rsid w:val="008A0453"/>
    <w:rsid w:val="008A061D"/>
    <w:rsid w:val="008A07CE"/>
    <w:rsid w:val="008A07F0"/>
    <w:rsid w:val="008A0C6F"/>
    <w:rsid w:val="008A1498"/>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3F8"/>
    <w:rsid w:val="008A56DC"/>
    <w:rsid w:val="008A5771"/>
    <w:rsid w:val="008A57FB"/>
    <w:rsid w:val="008A5E33"/>
    <w:rsid w:val="008A5ED4"/>
    <w:rsid w:val="008A63B0"/>
    <w:rsid w:val="008A65AB"/>
    <w:rsid w:val="008A6623"/>
    <w:rsid w:val="008A663D"/>
    <w:rsid w:val="008A680F"/>
    <w:rsid w:val="008A6A40"/>
    <w:rsid w:val="008A728F"/>
    <w:rsid w:val="008A73C1"/>
    <w:rsid w:val="008A74D2"/>
    <w:rsid w:val="008A76A5"/>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BB0"/>
    <w:rsid w:val="008B3D66"/>
    <w:rsid w:val="008B411F"/>
    <w:rsid w:val="008B4175"/>
    <w:rsid w:val="008B4397"/>
    <w:rsid w:val="008B444E"/>
    <w:rsid w:val="008B44D0"/>
    <w:rsid w:val="008B452F"/>
    <w:rsid w:val="008B4626"/>
    <w:rsid w:val="008B47CA"/>
    <w:rsid w:val="008B48B7"/>
    <w:rsid w:val="008B4976"/>
    <w:rsid w:val="008B4A99"/>
    <w:rsid w:val="008B4FC7"/>
    <w:rsid w:val="008B5102"/>
    <w:rsid w:val="008B548D"/>
    <w:rsid w:val="008B58E7"/>
    <w:rsid w:val="008B5E20"/>
    <w:rsid w:val="008B615E"/>
    <w:rsid w:val="008B63D6"/>
    <w:rsid w:val="008B67BC"/>
    <w:rsid w:val="008B6E48"/>
    <w:rsid w:val="008B6FC0"/>
    <w:rsid w:val="008B7102"/>
    <w:rsid w:val="008B7149"/>
    <w:rsid w:val="008B71D6"/>
    <w:rsid w:val="008B723D"/>
    <w:rsid w:val="008B76EE"/>
    <w:rsid w:val="008B7721"/>
    <w:rsid w:val="008B77E9"/>
    <w:rsid w:val="008B781A"/>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A88"/>
    <w:rsid w:val="008C3B2E"/>
    <w:rsid w:val="008C4352"/>
    <w:rsid w:val="008C4456"/>
    <w:rsid w:val="008C47FA"/>
    <w:rsid w:val="008C497B"/>
    <w:rsid w:val="008C4C86"/>
    <w:rsid w:val="008C4CC1"/>
    <w:rsid w:val="008C4DF2"/>
    <w:rsid w:val="008C4F20"/>
    <w:rsid w:val="008C5008"/>
    <w:rsid w:val="008C525B"/>
    <w:rsid w:val="008C5B5B"/>
    <w:rsid w:val="008C5E64"/>
    <w:rsid w:val="008C65CC"/>
    <w:rsid w:val="008C6796"/>
    <w:rsid w:val="008C6D97"/>
    <w:rsid w:val="008C6FA4"/>
    <w:rsid w:val="008C7015"/>
    <w:rsid w:val="008C7160"/>
    <w:rsid w:val="008C73AC"/>
    <w:rsid w:val="008C7674"/>
    <w:rsid w:val="008C770D"/>
    <w:rsid w:val="008C781A"/>
    <w:rsid w:val="008C7953"/>
    <w:rsid w:val="008C79B9"/>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3301"/>
    <w:rsid w:val="008D3347"/>
    <w:rsid w:val="008D394B"/>
    <w:rsid w:val="008D3AC8"/>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0F"/>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ECF"/>
    <w:rsid w:val="00923092"/>
    <w:rsid w:val="009231BC"/>
    <w:rsid w:val="009231DC"/>
    <w:rsid w:val="0092330D"/>
    <w:rsid w:val="009233CD"/>
    <w:rsid w:val="009234A1"/>
    <w:rsid w:val="00923881"/>
    <w:rsid w:val="00923A7F"/>
    <w:rsid w:val="00923B39"/>
    <w:rsid w:val="00923CAC"/>
    <w:rsid w:val="00923D1C"/>
    <w:rsid w:val="00924208"/>
    <w:rsid w:val="009246EF"/>
    <w:rsid w:val="0092498B"/>
    <w:rsid w:val="009249A3"/>
    <w:rsid w:val="00924B8D"/>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6B5"/>
    <w:rsid w:val="00927913"/>
    <w:rsid w:val="00927987"/>
    <w:rsid w:val="00927B2F"/>
    <w:rsid w:val="00927C80"/>
    <w:rsid w:val="00927F58"/>
    <w:rsid w:val="00930063"/>
    <w:rsid w:val="009305F1"/>
    <w:rsid w:val="0093065A"/>
    <w:rsid w:val="00930B2A"/>
    <w:rsid w:val="00930D85"/>
    <w:rsid w:val="00930F3E"/>
    <w:rsid w:val="00931144"/>
    <w:rsid w:val="009312FC"/>
    <w:rsid w:val="00931397"/>
    <w:rsid w:val="009315BA"/>
    <w:rsid w:val="0093175F"/>
    <w:rsid w:val="00931AB8"/>
    <w:rsid w:val="00931BC2"/>
    <w:rsid w:val="00931DB3"/>
    <w:rsid w:val="00931E9E"/>
    <w:rsid w:val="00932106"/>
    <w:rsid w:val="00932504"/>
    <w:rsid w:val="009326FE"/>
    <w:rsid w:val="00932746"/>
    <w:rsid w:val="009328DF"/>
    <w:rsid w:val="00932CA3"/>
    <w:rsid w:val="0093322F"/>
    <w:rsid w:val="00933350"/>
    <w:rsid w:val="00933379"/>
    <w:rsid w:val="009337AC"/>
    <w:rsid w:val="00933813"/>
    <w:rsid w:val="00933BCC"/>
    <w:rsid w:val="00933D05"/>
    <w:rsid w:val="00933E0F"/>
    <w:rsid w:val="009342D9"/>
    <w:rsid w:val="009342F2"/>
    <w:rsid w:val="00934309"/>
    <w:rsid w:val="00934709"/>
    <w:rsid w:val="00934800"/>
    <w:rsid w:val="0093481E"/>
    <w:rsid w:val="0093485C"/>
    <w:rsid w:val="00934C2A"/>
    <w:rsid w:val="00934E49"/>
    <w:rsid w:val="00934F9A"/>
    <w:rsid w:val="00935410"/>
    <w:rsid w:val="009355EC"/>
    <w:rsid w:val="009355F5"/>
    <w:rsid w:val="00935B2B"/>
    <w:rsid w:val="00935B74"/>
    <w:rsid w:val="00935F85"/>
    <w:rsid w:val="00936658"/>
    <w:rsid w:val="00936CCE"/>
    <w:rsid w:val="00936CF4"/>
    <w:rsid w:val="00936E80"/>
    <w:rsid w:val="009370A1"/>
    <w:rsid w:val="00937175"/>
    <w:rsid w:val="00937760"/>
    <w:rsid w:val="009377E4"/>
    <w:rsid w:val="009379CE"/>
    <w:rsid w:val="00937BB5"/>
    <w:rsid w:val="0094008E"/>
    <w:rsid w:val="00940266"/>
    <w:rsid w:val="00940537"/>
    <w:rsid w:val="009406DE"/>
    <w:rsid w:val="00940CDC"/>
    <w:rsid w:val="00940EBC"/>
    <w:rsid w:val="00940F49"/>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DA"/>
    <w:rsid w:val="00951B64"/>
    <w:rsid w:val="00952202"/>
    <w:rsid w:val="0095239B"/>
    <w:rsid w:val="009525CB"/>
    <w:rsid w:val="009529F3"/>
    <w:rsid w:val="00952A1B"/>
    <w:rsid w:val="00952CFE"/>
    <w:rsid w:val="00952E5F"/>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892"/>
    <w:rsid w:val="009549F9"/>
    <w:rsid w:val="00954ADB"/>
    <w:rsid w:val="00954BF0"/>
    <w:rsid w:val="009552EA"/>
    <w:rsid w:val="0095582B"/>
    <w:rsid w:val="009559B6"/>
    <w:rsid w:val="00955DDE"/>
    <w:rsid w:val="009561EF"/>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D"/>
    <w:rsid w:val="00962117"/>
    <w:rsid w:val="0096215D"/>
    <w:rsid w:val="009621C5"/>
    <w:rsid w:val="0096221B"/>
    <w:rsid w:val="00962243"/>
    <w:rsid w:val="00962362"/>
    <w:rsid w:val="00962A49"/>
    <w:rsid w:val="00962AF0"/>
    <w:rsid w:val="00962CC0"/>
    <w:rsid w:val="00962DA1"/>
    <w:rsid w:val="00962F80"/>
    <w:rsid w:val="00963025"/>
    <w:rsid w:val="00963187"/>
    <w:rsid w:val="00963420"/>
    <w:rsid w:val="009635A6"/>
    <w:rsid w:val="00963885"/>
    <w:rsid w:val="00963AC8"/>
    <w:rsid w:val="00963EC6"/>
    <w:rsid w:val="0096417C"/>
    <w:rsid w:val="009645D2"/>
    <w:rsid w:val="00964834"/>
    <w:rsid w:val="00964EA4"/>
    <w:rsid w:val="00964F50"/>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E6E"/>
    <w:rsid w:val="00971FDE"/>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149"/>
    <w:rsid w:val="00985488"/>
    <w:rsid w:val="009854FA"/>
    <w:rsid w:val="00985C21"/>
    <w:rsid w:val="00985C48"/>
    <w:rsid w:val="00985E24"/>
    <w:rsid w:val="0098673A"/>
    <w:rsid w:val="00986DA8"/>
    <w:rsid w:val="00986E12"/>
    <w:rsid w:val="009875AA"/>
    <w:rsid w:val="009877AD"/>
    <w:rsid w:val="009877BF"/>
    <w:rsid w:val="00990461"/>
    <w:rsid w:val="00990698"/>
    <w:rsid w:val="00990790"/>
    <w:rsid w:val="0099095D"/>
    <w:rsid w:val="00990A5D"/>
    <w:rsid w:val="00990BE4"/>
    <w:rsid w:val="00990C54"/>
    <w:rsid w:val="009910BA"/>
    <w:rsid w:val="0099135D"/>
    <w:rsid w:val="0099168F"/>
    <w:rsid w:val="009918EC"/>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B"/>
    <w:rsid w:val="00993B7C"/>
    <w:rsid w:val="00993CC2"/>
    <w:rsid w:val="00993DF8"/>
    <w:rsid w:val="0099414F"/>
    <w:rsid w:val="00994284"/>
    <w:rsid w:val="009945D8"/>
    <w:rsid w:val="0099470F"/>
    <w:rsid w:val="009948BC"/>
    <w:rsid w:val="00994959"/>
    <w:rsid w:val="00994B76"/>
    <w:rsid w:val="00994CA4"/>
    <w:rsid w:val="00995104"/>
    <w:rsid w:val="009951D8"/>
    <w:rsid w:val="00995295"/>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2F71"/>
    <w:rsid w:val="009A302F"/>
    <w:rsid w:val="009A3191"/>
    <w:rsid w:val="009A39B2"/>
    <w:rsid w:val="009A3DA0"/>
    <w:rsid w:val="009A402B"/>
    <w:rsid w:val="009A41F0"/>
    <w:rsid w:val="009A4321"/>
    <w:rsid w:val="009A46B9"/>
    <w:rsid w:val="009A4A04"/>
    <w:rsid w:val="009A4A94"/>
    <w:rsid w:val="009A4CD7"/>
    <w:rsid w:val="009A4D3E"/>
    <w:rsid w:val="009A4F66"/>
    <w:rsid w:val="009A50A4"/>
    <w:rsid w:val="009A5831"/>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94D"/>
    <w:rsid w:val="009B09D9"/>
    <w:rsid w:val="009B0A3C"/>
    <w:rsid w:val="009B0CA1"/>
    <w:rsid w:val="009B0F4B"/>
    <w:rsid w:val="009B106D"/>
    <w:rsid w:val="009B1547"/>
    <w:rsid w:val="009B1561"/>
    <w:rsid w:val="009B15F1"/>
    <w:rsid w:val="009B172E"/>
    <w:rsid w:val="009B1742"/>
    <w:rsid w:val="009B1BCA"/>
    <w:rsid w:val="009B1CD1"/>
    <w:rsid w:val="009B1E2D"/>
    <w:rsid w:val="009B296B"/>
    <w:rsid w:val="009B2B38"/>
    <w:rsid w:val="009B33C7"/>
    <w:rsid w:val="009B3615"/>
    <w:rsid w:val="009B3B3A"/>
    <w:rsid w:val="009B4268"/>
    <w:rsid w:val="009B433D"/>
    <w:rsid w:val="009B46AF"/>
    <w:rsid w:val="009B4797"/>
    <w:rsid w:val="009B47BE"/>
    <w:rsid w:val="009B4CFD"/>
    <w:rsid w:val="009B4D72"/>
    <w:rsid w:val="009B4E72"/>
    <w:rsid w:val="009B504B"/>
    <w:rsid w:val="009B53BD"/>
    <w:rsid w:val="009B57EC"/>
    <w:rsid w:val="009B5BA4"/>
    <w:rsid w:val="009B5E8D"/>
    <w:rsid w:val="009B5F42"/>
    <w:rsid w:val="009B5FC2"/>
    <w:rsid w:val="009B61B8"/>
    <w:rsid w:val="009B6596"/>
    <w:rsid w:val="009B65AD"/>
    <w:rsid w:val="009B6B3D"/>
    <w:rsid w:val="009B6DA1"/>
    <w:rsid w:val="009B6F81"/>
    <w:rsid w:val="009B7003"/>
    <w:rsid w:val="009B782C"/>
    <w:rsid w:val="009B7E72"/>
    <w:rsid w:val="009B7EC9"/>
    <w:rsid w:val="009C056C"/>
    <w:rsid w:val="009C0732"/>
    <w:rsid w:val="009C0A90"/>
    <w:rsid w:val="009C0BE8"/>
    <w:rsid w:val="009C11F9"/>
    <w:rsid w:val="009C1250"/>
    <w:rsid w:val="009C1251"/>
    <w:rsid w:val="009C1551"/>
    <w:rsid w:val="009C1694"/>
    <w:rsid w:val="009C181E"/>
    <w:rsid w:val="009C18C4"/>
    <w:rsid w:val="009C1A28"/>
    <w:rsid w:val="009C1CDC"/>
    <w:rsid w:val="009C1D89"/>
    <w:rsid w:val="009C1E4E"/>
    <w:rsid w:val="009C20FD"/>
    <w:rsid w:val="009C22B2"/>
    <w:rsid w:val="009C235B"/>
    <w:rsid w:val="009C28FD"/>
    <w:rsid w:val="009C2E33"/>
    <w:rsid w:val="009C2F12"/>
    <w:rsid w:val="009C3222"/>
    <w:rsid w:val="009C33D9"/>
    <w:rsid w:val="009C34D0"/>
    <w:rsid w:val="009C3526"/>
    <w:rsid w:val="009C3623"/>
    <w:rsid w:val="009C3A20"/>
    <w:rsid w:val="009C3CD6"/>
    <w:rsid w:val="009C3E2F"/>
    <w:rsid w:val="009C3E87"/>
    <w:rsid w:val="009C40AA"/>
    <w:rsid w:val="009C40EF"/>
    <w:rsid w:val="009C46AC"/>
    <w:rsid w:val="009C4B49"/>
    <w:rsid w:val="009C4BBB"/>
    <w:rsid w:val="009C4C6C"/>
    <w:rsid w:val="009C4D2B"/>
    <w:rsid w:val="009C4F45"/>
    <w:rsid w:val="009C5039"/>
    <w:rsid w:val="009C5067"/>
    <w:rsid w:val="009C50A7"/>
    <w:rsid w:val="009C55B8"/>
    <w:rsid w:val="009C5634"/>
    <w:rsid w:val="009C565D"/>
    <w:rsid w:val="009C56E0"/>
    <w:rsid w:val="009C57B3"/>
    <w:rsid w:val="009C5864"/>
    <w:rsid w:val="009C5D3E"/>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B5"/>
    <w:rsid w:val="009D15AE"/>
    <w:rsid w:val="009D17EA"/>
    <w:rsid w:val="009D17FA"/>
    <w:rsid w:val="009D18AC"/>
    <w:rsid w:val="009D1A01"/>
    <w:rsid w:val="009D1F0C"/>
    <w:rsid w:val="009D1F29"/>
    <w:rsid w:val="009D203F"/>
    <w:rsid w:val="009D268F"/>
    <w:rsid w:val="009D2740"/>
    <w:rsid w:val="009D2B9C"/>
    <w:rsid w:val="009D2BD0"/>
    <w:rsid w:val="009D2DE3"/>
    <w:rsid w:val="009D38C0"/>
    <w:rsid w:val="009D3A3D"/>
    <w:rsid w:val="009D3B39"/>
    <w:rsid w:val="009D3C12"/>
    <w:rsid w:val="009D3D89"/>
    <w:rsid w:val="009D4016"/>
    <w:rsid w:val="009D4291"/>
    <w:rsid w:val="009D4778"/>
    <w:rsid w:val="009D51AA"/>
    <w:rsid w:val="009D5417"/>
    <w:rsid w:val="009D569C"/>
    <w:rsid w:val="009D579A"/>
    <w:rsid w:val="009D58F8"/>
    <w:rsid w:val="009D5941"/>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75C"/>
    <w:rsid w:val="009E175E"/>
    <w:rsid w:val="009E187B"/>
    <w:rsid w:val="009E19FF"/>
    <w:rsid w:val="009E1CA3"/>
    <w:rsid w:val="009E1D65"/>
    <w:rsid w:val="009E1DD1"/>
    <w:rsid w:val="009E1E6F"/>
    <w:rsid w:val="009E216E"/>
    <w:rsid w:val="009E2245"/>
    <w:rsid w:val="009E22DA"/>
    <w:rsid w:val="009E276A"/>
    <w:rsid w:val="009E27E3"/>
    <w:rsid w:val="009E29A1"/>
    <w:rsid w:val="009E2D74"/>
    <w:rsid w:val="009E2FE1"/>
    <w:rsid w:val="009E2FF2"/>
    <w:rsid w:val="009E3297"/>
    <w:rsid w:val="009E3E52"/>
    <w:rsid w:val="009E3EBA"/>
    <w:rsid w:val="009E430F"/>
    <w:rsid w:val="009E449A"/>
    <w:rsid w:val="009E44BB"/>
    <w:rsid w:val="009E4A53"/>
    <w:rsid w:val="009E4C2D"/>
    <w:rsid w:val="009E4CA1"/>
    <w:rsid w:val="009E4CC5"/>
    <w:rsid w:val="009E4F89"/>
    <w:rsid w:val="009E5394"/>
    <w:rsid w:val="009E53D3"/>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CDE"/>
    <w:rsid w:val="009E71AF"/>
    <w:rsid w:val="009E72D8"/>
    <w:rsid w:val="009E734D"/>
    <w:rsid w:val="009E7364"/>
    <w:rsid w:val="009E74F7"/>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1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D7F"/>
    <w:rsid w:val="00A073CF"/>
    <w:rsid w:val="00A0752A"/>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403"/>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9F7"/>
    <w:rsid w:val="00A15C50"/>
    <w:rsid w:val="00A15CF5"/>
    <w:rsid w:val="00A15F89"/>
    <w:rsid w:val="00A1649C"/>
    <w:rsid w:val="00A1660F"/>
    <w:rsid w:val="00A16616"/>
    <w:rsid w:val="00A16B1D"/>
    <w:rsid w:val="00A16C9D"/>
    <w:rsid w:val="00A16EBB"/>
    <w:rsid w:val="00A1735A"/>
    <w:rsid w:val="00A1785B"/>
    <w:rsid w:val="00A178CF"/>
    <w:rsid w:val="00A17926"/>
    <w:rsid w:val="00A17DAE"/>
    <w:rsid w:val="00A203C1"/>
    <w:rsid w:val="00A203E2"/>
    <w:rsid w:val="00A20603"/>
    <w:rsid w:val="00A20925"/>
    <w:rsid w:val="00A20A4E"/>
    <w:rsid w:val="00A20C1B"/>
    <w:rsid w:val="00A2100F"/>
    <w:rsid w:val="00A21277"/>
    <w:rsid w:val="00A212EF"/>
    <w:rsid w:val="00A21569"/>
    <w:rsid w:val="00A217EC"/>
    <w:rsid w:val="00A21AE9"/>
    <w:rsid w:val="00A21B58"/>
    <w:rsid w:val="00A2222A"/>
    <w:rsid w:val="00A224EB"/>
    <w:rsid w:val="00A225CB"/>
    <w:rsid w:val="00A22951"/>
    <w:rsid w:val="00A22B7E"/>
    <w:rsid w:val="00A22CC1"/>
    <w:rsid w:val="00A23113"/>
    <w:rsid w:val="00A23177"/>
    <w:rsid w:val="00A231F2"/>
    <w:rsid w:val="00A236CB"/>
    <w:rsid w:val="00A237E3"/>
    <w:rsid w:val="00A23968"/>
    <w:rsid w:val="00A23B78"/>
    <w:rsid w:val="00A23C2D"/>
    <w:rsid w:val="00A23D71"/>
    <w:rsid w:val="00A23D7F"/>
    <w:rsid w:val="00A243EF"/>
    <w:rsid w:val="00A24401"/>
    <w:rsid w:val="00A244A8"/>
    <w:rsid w:val="00A24CB3"/>
    <w:rsid w:val="00A253A6"/>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73"/>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4E6"/>
    <w:rsid w:val="00A46772"/>
    <w:rsid w:val="00A467B3"/>
    <w:rsid w:val="00A46FB6"/>
    <w:rsid w:val="00A4708A"/>
    <w:rsid w:val="00A4723A"/>
    <w:rsid w:val="00A47B6C"/>
    <w:rsid w:val="00A47CB5"/>
    <w:rsid w:val="00A47E64"/>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403"/>
    <w:rsid w:val="00A544E6"/>
    <w:rsid w:val="00A54925"/>
    <w:rsid w:val="00A54A3E"/>
    <w:rsid w:val="00A54C1D"/>
    <w:rsid w:val="00A54DE9"/>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2B8"/>
    <w:rsid w:val="00A60708"/>
    <w:rsid w:val="00A60BFE"/>
    <w:rsid w:val="00A60DF7"/>
    <w:rsid w:val="00A60EEA"/>
    <w:rsid w:val="00A610FA"/>
    <w:rsid w:val="00A612B7"/>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677C7"/>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B7D"/>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E8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1A"/>
    <w:rsid w:val="00A80C47"/>
    <w:rsid w:val="00A80FCE"/>
    <w:rsid w:val="00A81089"/>
    <w:rsid w:val="00A8111C"/>
    <w:rsid w:val="00A813B1"/>
    <w:rsid w:val="00A81D11"/>
    <w:rsid w:val="00A81EFB"/>
    <w:rsid w:val="00A8210E"/>
    <w:rsid w:val="00A8212E"/>
    <w:rsid w:val="00A8236D"/>
    <w:rsid w:val="00A823E1"/>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B62"/>
    <w:rsid w:val="00A84B65"/>
    <w:rsid w:val="00A84C30"/>
    <w:rsid w:val="00A84C41"/>
    <w:rsid w:val="00A85115"/>
    <w:rsid w:val="00A8546E"/>
    <w:rsid w:val="00A855C1"/>
    <w:rsid w:val="00A8597C"/>
    <w:rsid w:val="00A859E5"/>
    <w:rsid w:val="00A85C13"/>
    <w:rsid w:val="00A85C6A"/>
    <w:rsid w:val="00A861D1"/>
    <w:rsid w:val="00A862C5"/>
    <w:rsid w:val="00A86418"/>
    <w:rsid w:val="00A86617"/>
    <w:rsid w:val="00A86E24"/>
    <w:rsid w:val="00A86F95"/>
    <w:rsid w:val="00A870D1"/>
    <w:rsid w:val="00A87180"/>
    <w:rsid w:val="00A87261"/>
    <w:rsid w:val="00A87514"/>
    <w:rsid w:val="00A87648"/>
    <w:rsid w:val="00A878D1"/>
    <w:rsid w:val="00A87CC9"/>
    <w:rsid w:val="00A90154"/>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8CC"/>
    <w:rsid w:val="00A92B1E"/>
    <w:rsid w:val="00A92DBF"/>
    <w:rsid w:val="00A9343B"/>
    <w:rsid w:val="00A945D4"/>
    <w:rsid w:val="00A9466D"/>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3DA"/>
    <w:rsid w:val="00AA1532"/>
    <w:rsid w:val="00AA1757"/>
    <w:rsid w:val="00AA181B"/>
    <w:rsid w:val="00AA1907"/>
    <w:rsid w:val="00AA2221"/>
    <w:rsid w:val="00AA2801"/>
    <w:rsid w:val="00AA29BD"/>
    <w:rsid w:val="00AA2BE2"/>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09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60"/>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787"/>
    <w:rsid w:val="00AB77E5"/>
    <w:rsid w:val="00AB78D9"/>
    <w:rsid w:val="00AB7DC2"/>
    <w:rsid w:val="00AB7E74"/>
    <w:rsid w:val="00AB7FD0"/>
    <w:rsid w:val="00AC00F3"/>
    <w:rsid w:val="00AC0222"/>
    <w:rsid w:val="00AC04C8"/>
    <w:rsid w:val="00AC0AB1"/>
    <w:rsid w:val="00AC1217"/>
    <w:rsid w:val="00AC1346"/>
    <w:rsid w:val="00AC18D9"/>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A47"/>
    <w:rsid w:val="00AC4B2B"/>
    <w:rsid w:val="00AC527B"/>
    <w:rsid w:val="00AC53F6"/>
    <w:rsid w:val="00AC542C"/>
    <w:rsid w:val="00AC59A7"/>
    <w:rsid w:val="00AC5B6C"/>
    <w:rsid w:val="00AC5BE8"/>
    <w:rsid w:val="00AC5C06"/>
    <w:rsid w:val="00AC5EFE"/>
    <w:rsid w:val="00AC68C8"/>
    <w:rsid w:val="00AC6955"/>
    <w:rsid w:val="00AC6AFA"/>
    <w:rsid w:val="00AC6F35"/>
    <w:rsid w:val="00AC6FDE"/>
    <w:rsid w:val="00AC717A"/>
    <w:rsid w:val="00AC77CB"/>
    <w:rsid w:val="00AC782D"/>
    <w:rsid w:val="00AC7908"/>
    <w:rsid w:val="00AC79A0"/>
    <w:rsid w:val="00AC7A16"/>
    <w:rsid w:val="00AC7C5A"/>
    <w:rsid w:val="00AC7E54"/>
    <w:rsid w:val="00AD0009"/>
    <w:rsid w:val="00AD012E"/>
    <w:rsid w:val="00AD069D"/>
    <w:rsid w:val="00AD081B"/>
    <w:rsid w:val="00AD084B"/>
    <w:rsid w:val="00AD0A55"/>
    <w:rsid w:val="00AD0C38"/>
    <w:rsid w:val="00AD101C"/>
    <w:rsid w:val="00AD1295"/>
    <w:rsid w:val="00AD14C1"/>
    <w:rsid w:val="00AD16F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88"/>
    <w:rsid w:val="00AD38A2"/>
    <w:rsid w:val="00AD38EF"/>
    <w:rsid w:val="00AD3A52"/>
    <w:rsid w:val="00AD3A59"/>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D7FC8"/>
    <w:rsid w:val="00AE00E2"/>
    <w:rsid w:val="00AE01CF"/>
    <w:rsid w:val="00AE01E4"/>
    <w:rsid w:val="00AE0677"/>
    <w:rsid w:val="00AE0A3A"/>
    <w:rsid w:val="00AE0C87"/>
    <w:rsid w:val="00AE0DCC"/>
    <w:rsid w:val="00AE0E89"/>
    <w:rsid w:val="00AE1315"/>
    <w:rsid w:val="00AE1842"/>
    <w:rsid w:val="00AE1C39"/>
    <w:rsid w:val="00AE2025"/>
    <w:rsid w:val="00AE2421"/>
    <w:rsid w:val="00AE26DD"/>
    <w:rsid w:val="00AE2A19"/>
    <w:rsid w:val="00AE2EA0"/>
    <w:rsid w:val="00AE368F"/>
    <w:rsid w:val="00AE386E"/>
    <w:rsid w:val="00AE41B1"/>
    <w:rsid w:val="00AE4240"/>
    <w:rsid w:val="00AE43E9"/>
    <w:rsid w:val="00AE45D5"/>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B34"/>
    <w:rsid w:val="00AF3C5C"/>
    <w:rsid w:val="00AF3D83"/>
    <w:rsid w:val="00AF3DCD"/>
    <w:rsid w:val="00AF427C"/>
    <w:rsid w:val="00AF45D7"/>
    <w:rsid w:val="00AF47D4"/>
    <w:rsid w:val="00AF48C4"/>
    <w:rsid w:val="00AF495B"/>
    <w:rsid w:val="00AF49DD"/>
    <w:rsid w:val="00AF4F9C"/>
    <w:rsid w:val="00AF52BC"/>
    <w:rsid w:val="00AF5337"/>
    <w:rsid w:val="00AF540E"/>
    <w:rsid w:val="00AF57F7"/>
    <w:rsid w:val="00AF5C5D"/>
    <w:rsid w:val="00AF64B6"/>
    <w:rsid w:val="00AF64C5"/>
    <w:rsid w:val="00AF659E"/>
    <w:rsid w:val="00AF6681"/>
    <w:rsid w:val="00AF66A9"/>
    <w:rsid w:val="00AF67DD"/>
    <w:rsid w:val="00AF692A"/>
    <w:rsid w:val="00AF6CF2"/>
    <w:rsid w:val="00AF744E"/>
    <w:rsid w:val="00AF74C2"/>
    <w:rsid w:val="00AF76E1"/>
    <w:rsid w:val="00AF79E5"/>
    <w:rsid w:val="00AF7A9B"/>
    <w:rsid w:val="00AF7E92"/>
    <w:rsid w:val="00B00018"/>
    <w:rsid w:val="00B000BE"/>
    <w:rsid w:val="00B0030E"/>
    <w:rsid w:val="00B00879"/>
    <w:rsid w:val="00B00938"/>
    <w:rsid w:val="00B00C29"/>
    <w:rsid w:val="00B00D80"/>
    <w:rsid w:val="00B012CA"/>
    <w:rsid w:val="00B01369"/>
    <w:rsid w:val="00B01D56"/>
    <w:rsid w:val="00B01E3F"/>
    <w:rsid w:val="00B023FD"/>
    <w:rsid w:val="00B0249F"/>
    <w:rsid w:val="00B02584"/>
    <w:rsid w:val="00B029D0"/>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510E"/>
    <w:rsid w:val="00B05139"/>
    <w:rsid w:val="00B052F6"/>
    <w:rsid w:val="00B05423"/>
    <w:rsid w:val="00B05D68"/>
    <w:rsid w:val="00B05FEC"/>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B3E"/>
    <w:rsid w:val="00B12F0E"/>
    <w:rsid w:val="00B12F3B"/>
    <w:rsid w:val="00B13015"/>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548"/>
    <w:rsid w:val="00B169DB"/>
    <w:rsid w:val="00B169F0"/>
    <w:rsid w:val="00B16AEC"/>
    <w:rsid w:val="00B16C7D"/>
    <w:rsid w:val="00B16EFC"/>
    <w:rsid w:val="00B17232"/>
    <w:rsid w:val="00B17491"/>
    <w:rsid w:val="00B177E3"/>
    <w:rsid w:val="00B17AFB"/>
    <w:rsid w:val="00B17F37"/>
    <w:rsid w:val="00B17F6C"/>
    <w:rsid w:val="00B20090"/>
    <w:rsid w:val="00B202D4"/>
    <w:rsid w:val="00B20515"/>
    <w:rsid w:val="00B20E42"/>
    <w:rsid w:val="00B20E6A"/>
    <w:rsid w:val="00B20E83"/>
    <w:rsid w:val="00B21057"/>
    <w:rsid w:val="00B2112B"/>
    <w:rsid w:val="00B2145F"/>
    <w:rsid w:val="00B216EC"/>
    <w:rsid w:val="00B21868"/>
    <w:rsid w:val="00B21A36"/>
    <w:rsid w:val="00B21A6C"/>
    <w:rsid w:val="00B21B7A"/>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03B"/>
    <w:rsid w:val="00B261AA"/>
    <w:rsid w:val="00B261DE"/>
    <w:rsid w:val="00B2621B"/>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AF"/>
    <w:rsid w:val="00B302ED"/>
    <w:rsid w:val="00B305A8"/>
    <w:rsid w:val="00B3087F"/>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DE3"/>
    <w:rsid w:val="00B3750F"/>
    <w:rsid w:val="00B37757"/>
    <w:rsid w:val="00B37D40"/>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3C1"/>
    <w:rsid w:val="00B44422"/>
    <w:rsid w:val="00B44674"/>
    <w:rsid w:val="00B44915"/>
    <w:rsid w:val="00B44C24"/>
    <w:rsid w:val="00B4507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F0C"/>
    <w:rsid w:val="00B50331"/>
    <w:rsid w:val="00B50334"/>
    <w:rsid w:val="00B50C5A"/>
    <w:rsid w:val="00B50D1D"/>
    <w:rsid w:val="00B50DBD"/>
    <w:rsid w:val="00B50EB7"/>
    <w:rsid w:val="00B50EBE"/>
    <w:rsid w:val="00B5135D"/>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2F34"/>
    <w:rsid w:val="00B530DC"/>
    <w:rsid w:val="00B5313E"/>
    <w:rsid w:val="00B53267"/>
    <w:rsid w:val="00B53387"/>
    <w:rsid w:val="00B534F0"/>
    <w:rsid w:val="00B53AEF"/>
    <w:rsid w:val="00B53BC9"/>
    <w:rsid w:val="00B53D03"/>
    <w:rsid w:val="00B53E86"/>
    <w:rsid w:val="00B5417C"/>
    <w:rsid w:val="00B546E2"/>
    <w:rsid w:val="00B5548E"/>
    <w:rsid w:val="00B55AC6"/>
    <w:rsid w:val="00B55D56"/>
    <w:rsid w:val="00B55F9E"/>
    <w:rsid w:val="00B55FBA"/>
    <w:rsid w:val="00B560F0"/>
    <w:rsid w:val="00B56134"/>
    <w:rsid w:val="00B566BA"/>
    <w:rsid w:val="00B569A4"/>
    <w:rsid w:val="00B569B8"/>
    <w:rsid w:val="00B570F1"/>
    <w:rsid w:val="00B57DC9"/>
    <w:rsid w:val="00B57E2F"/>
    <w:rsid w:val="00B60670"/>
    <w:rsid w:val="00B60950"/>
    <w:rsid w:val="00B609BB"/>
    <w:rsid w:val="00B609ED"/>
    <w:rsid w:val="00B60D86"/>
    <w:rsid w:val="00B60DEB"/>
    <w:rsid w:val="00B61127"/>
    <w:rsid w:val="00B6114D"/>
    <w:rsid w:val="00B6132E"/>
    <w:rsid w:val="00B613EC"/>
    <w:rsid w:val="00B615D3"/>
    <w:rsid w:val="00B61650"/>
    <w:rsid w:val="00B61714"/>
    <w:rsid w:val="00B61EB6"/>
    <w:rsid w:val="00B62148"/>
    <w:rsid w:val="00B62226"/>
    <w:rsid w:val="00B626A3"/>
    <w:rsid w:val="00B62746"/>
    <w:rsid w:val="00B62954"/>
    <w:rsid w:val="00B62DAF"/>
    <w:rsid w:val="00B62E1E"/>
    <w:rsid w:val="00B62F2A"/>
    <w:rsid w:val="00B62FE1"/>
    <w:rsid w:val="00B6392E"/>
    <w:rsid w:val="00B63BA9"/>
    <w:rsid w:val="00B63C03"/>
    <w:rsid w:val="00B64103"/>
    <w:rsid w:val="00B641A2"/>
    <w:rsid w:val="00B6429C"/>
    <w:rsid w:val="00B64AB2"/>
    <w:rsid w:val="00B64BBD"/>
    <w:rsid w:val="00B651FC"/>
    <w:rsid w:val="00B65207"/>
    <w:rsid w:val="00B6522F"/>
    <w:rsid w:val="00B65343"/>
    <w:rsid w:val="00B654FC"/>
    <w:rsid w:val="00B65BE6"/>
    <w:rsid w:val="00B65C8F"/>
    <w:rsid w:val="00B65D39"/>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7D2"/>
    <w:rsid w:val="00B72965"/>
    <w:rsid w:val="00B72A38"/>
    <w:rsid w:val="00B72A3E"/>
    <w:rsid w:val="00B72E6C"/>
    <w:rsid w:val="00B72F17"/>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B2C"/>
    <w:rsid w:val="00B75E18"/>
    <w:rsid w:val="00B76067"/>
    <w:rsid w:val="00B76260"/>
    <w:rsid w:val="00B76399"/>
    <w:rsid w:val="00B76706"/>
    <w:rsid w:val="00B76966"/>
    <w:rsid w:val="00B76E0E"/>
    <w:rsid w:val="00B76EBD"/>
    <w:rsid w:val="00B76ECE"/>
    <w:rsid w:val="00B77545"/>
    <w:rsid w:val="00B775BE"/>
    <w:rsid w:val="00B776CD"/>
    <w:rsid w:val="00B77801"/>
    <w:rsid w:val="00B80197"/>
    <w:rsid w:val="00B801A8"/>
    <w:rsid w:val="00B80214"/>
    <w:rsid w:val="00B80476"/>
    <w:rsid w:val="00B8064C"/>
    <w:rsid w:val="00B806CB"/>
    <w:rsid w:val="00B808E4"/>
    <w:rsid w:val="00B80A92"/>
    <w:rsid w:val="00B80C40"/>
    <w:rsid w:val="00B80E47"/>
    <w:rsid w:val="00B81052"/>
    <w:rsid w:val="00B81156"/>
    <w:rsid w:val="00B812BD"/>
    <w:rsid w:val="00B815B0"/>
    <w:rsid w:val="00B81879"/>
    <w:rsid w:val="00B81A78"/>
    <w:rsid w:val="00B81B6B"/>
    <w:rsid w:val="00B81C89"/>
    <w:rsid w:val="00B81E3E"/>
    <w:rsid w:val="00B82082"/>
    <w:rsid w:val="00B82321"/>
    <w:rsid w:val="00B8255F"/>
    <w:rsid w:val="00B825B0"/>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979"/>
    <w:rsid w:val="00B92CB2"/>
    <w:rsid w:val="00B92DCC"/>
    <w:rsid w:val="00B92FE6"/>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DB"/>
    <w:rsid w:val="00B964E1"/>
    <w:rsid w:val="00B9652D"/>
    <w:rsid w:val="00B965FB"/>
    <w:rsid w:val="00B965FD"/>
    <w:rsid w:val="00B96766"/>
    <w:rsid w:val="00B96C7F"/>
    <w:rsid w:val="00B96E51"/>
    <w:rsid w:val="00B970A0"/>
    <w:rsid w:val="00B97189"/>
    <w:rsid w:val="00B972E1"/>
    <w:rsid w:val="00B972F6"/>
    <w:rsid w:val="00B973EA"/>
    <w:rsid w:val="00B977E4"/>
    <w:rsid w:val="00B97A18"/>
    <w:rsid w:val="00B97B3D"/>
    <w:rsid w:val="00BA015D"/>
    <w:rsid w:val="00BA0229"/>
    <w:rsid w:val="00BA0860"/>
    <w:rsid w:val="00BA0A8E"/>
    <w:rsid w:val="00BA0ECC"/>
    <w:rsid w:val="00BA17E4"/>
    <w:rsid w:val="00BA1A10"/>
    <w:rsid w:val="00BA1B35"/>
    <w:rsid w:val="00BA1B99"/>
    <w:rsid w:val="00BA1C72"/>
    <w:rsid w:val="00BA1C8A"/>
    <w:rsid w:val="00BA2652"/>
    <w:rsid w:val="00BA2914"/>
    <w:rsid w:val="00BA2B6F"/>
    <w:rsid w:val="00BA2DD7"/>
    <w:rsid w:val="00BA3072"/>
    <w:rsid w:val="00BA30B8"/>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7246"/>
    <w:rsid w:val="00BA7262"/>
    <w:rsid w:val="00BA7269"/>
    <w:rsid w:val="00BA757B"/>
    <w:rsid w:val="00BA7AAD"/>
    <w:rsid w:val="00BA7AB6"/>
    <w:rsid w:val="00BA7B74"/>
    <w:rsid w:val="00BA7D3A"/>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AB0"/>
    <w:rsid w:val="00BC0C75"/>
    <w:rsid w:val="00BC0E32"/>
    <w:rsid w:val="00BC0E33"/>
    <w:rsid w:val="00BC0F7E"/>
    <w:rsid w:val="00BC126B"/>
    <w:rsid w:val="00BC130F"/>
    <w:rsid w:val="00BC18C9"/>
    <w:rsid w:val="00BC1918"/>
    <w:rsid w:val="00BC1A76"/>
    <w:rsid w:val="00BC1AB4"/>
    <w:rsid w:val="00BC1B77"/>
    <w:rsid w:val="00BC1F72"/>
    <w:rsid w:val="00BC1FFB"/>
    <w:rsid w:val="00BC2122"/>
    <w:rsid w:val="00BC23A5"/>
    <w:rsid w:val="00BC265E"/>
    <w:rsid w:val="00BC269F"/>
    <w:rsid w:val="00BC29C7"/>
    <w:rsid w:val="00BC2BC9"/>
    <w:rsid w:val="00BC2BE0"/>
    <w:rsid w:val="00BC2D2B"/>
    <w:rsid w:val="00BC2DB1"/>
    <w:rsid w:val="00BC2DD0"/>
    <w:rsid w:val="00BC33CF"/>
    <w:rsid w:val="00BC35A6"/>
    <w:rsid w:val="00BC38CE"/>
    <w:rsid w:val="00BC3991"/>
    <w:rsid w:val="00BC3FD0"/>
    <w:rsid w:val="00BC4609"/>
    <w:rsid w:val="00BC4B45"/>
    <w:rsid w:val="00BC4B70"/>
    <w:rsid w:val="00BC5462"/>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9A6"/>
    <w:rsid w:val="00BC79B3"/>
    <w:rsid w:val="00BC7C7C"/>
    <w:rsid w:val="00BD0322"/>
    <w:rsid w:val="00BD05D8"/>
    <w:rsid w:val="00BD06E7"/>
    <w:rsid w:val="00BD0A2B"/>
    <w:rsid w:val="00BD0C7F"/>
    <w:rsid w:val="00BD0CAD"/>
    <w:rsid w:val="00BD1463"/>
    <w:rsid w:val="00BD1838"/>
    <w:rsid w:val="00BD1BAB"/>
    <w:rsid w:val="00BD1CFD"/>
    <w:rsid w:val="00BD20C3"/>
    <w:rsid w:val="00BD216D"/>
    <w:rsid w:val="00BD2C72"/>
    <w:rsid w:val="00BD2CF3"/>
    <w:rsid w:val="00BD3003"/>
    <w:rsid w:val="00BD30D1"/>
    <w:rsid w:val="00BD31D7"/>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60A"/>
    <w:rsid w:val="00BD4D9A"/>
    <w:rsid w:val="00BD4FEC"/>
    <w:rsid w:val="00BD503E"/>
    <w:rsid w:val="00BD5550"/>
    <w:rsid w:val="00BD559C"/>
    <w:rsid w:val="00BD56B8"/>
    <w:rsid w:val="00BD5802"/>
    <w:rsid w:val="00BD618C"/>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83F"/>
    <w:rsid w:val="00BE2A26"/>
    <w:rsid w:val="00BE2A83"/>
    <w:rsid w:val="00BE2A90"/>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4FD"/>
    <w:rsid w:val="00BE7598"/>
    <w:rsid w:val="00BE78AF"/>
    <w:rsid w:val="00BE7912"/>
    <w:rsid w:val="00BE7CF2"/>
    <w:rsid w:val="00BE7DC5"/>
    <w:rsid w:val="00BF000B"/>
    <w:rsid w:val="00BF0046"/>
    <w:rsid w:val="00BF0052"/>
    <w:rsid w:val="00BF026E"/>
    <w:rsid w:val="00BF0398"/>
    <w:rsid w:val="00BF044C"/>
    <w:rsid w:val="00BF0757"/>
    <w:rsid w:val="00BF0A16"/>
    <w:rsid w:val="00BF0BA0"/>
    <w:rsid w:val="00BF0E35"/>
    <w:rsid w:val="00BF0F33"/>
    <w:rsid w:val="00BF132A"/>
    <w:rsid w:val="00BF16CF"/>
    <w:rsid w:val="00BF198A"/>
    <w:rsid w:val="00BF19BB"/>
    <w:rsid w:val="00BF1AF8"/>
    <w:rsid w:val="00BF24D5"/>
    <w:rsid w:val="00BF2509"/>
    <w:rsid w:val="00BF2632"/>
    <w:rsid w:val="00BF27F2"/>
    <w:rsid w:val="00BF2B0D"/>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F43"/>
    <w:rsid w:val="00C03F48"/>
    <w:rsid w:val="00C03FD8"/>
    <w:rsid w:val="00C04513"/>
    <w:rsid w:val="00C04557"/>
    <w:rsid w:val="00C04CDB"/>
    <w:rsid w:val="00C04DD1"/>
    <w:rsid w:val="00C0502A"/>
    <w:rsid w:val="00C05121"/>
    <w:rsid w:val="00C05248"/>
    <w:rsid w:val="00C056C9"/>
    <w:rsid w:val="00C057EB"/>
    <w:rsid w:val="00C05900"/>
    <w:rsid w:val="00C05AE7"/>
    <w:rsid w:val="00C05EFF"/>
    <w:rsid w:val="00C05FFB"/>
    <w:rsid w:val="00C06179"/>
    <w:rsid w:val="00C06186"/>
    <w:rsid w:val="00C0691E"/>
    <w:rsid w:val="00C069F1"/>
    <w:rsid w:val="00C06BCE"/>
    <w:rsid w:val="00C06DB4"/>
    <w:rsid w:val="00C06F28"/>
    <w:rsid w:val="00C06FD0"/>
    <w:rsid w:val="00C0707C"/>
    <w:rsid w:val="00C07267"/>
    <w:rsid w:val="00C0747B"/>
    <w:rsid w:val="00C076C2"/>
    <w:rsid w:val="00C07972"/>
    <w:rsid w:val="00C07E81"/>
    <w:rsid w:val="00C07ED2"/>
    <w:rsid w:val="00C101EA"/>
    <w:rsid w:val="00C10448"/>
    <w:rsid w:val="00C105C2"/>
    <w:rsid w:val="00C109CB"/>
    <w:rsid w:val="00C10C9B"/>
    <w:rsid w:val="00C10CC1"/>
    <w:rsid w:val="00C10F6E"/>
    <w:rsid w:val="00C10F78"/>
    <w:rsid w:val="00C11561"/>
    <w:rsid w:val="00C117BA"/>
    <w:rsid w:val="00C1200C"/>
    <w:rsid w:val="00C1249E"/>
    <w:rsid w:val="00C124C9"/>
    <w:rsid w:val="00C12554"/>
    <w:rsid w:val="00C1256A"/>
    <w:rsid w:val="00C127B6"/>
    <w:rsid w:val="00C12A64"/>
    <w:rsid w:val="00C12DD6"/>
    <w:rsid w:val="00C138AF"/>
    <w:rsid w:val="00C13C42"/>
    <w:rsid w:val="00C14C63"/>
    <w:rsid w:val="00C14F48"/>
    <w:rsid w:val="00C151E3"/>
    <w:rsid w:val="00C15221"/>
    <w:rsid w:val="00C152E3"/>
    <w:rsid w:val="00C154CD"/>
    <w:rsid w:val="00C15507"/>
    <w:rsid w:val="00C15671"/>
    <w:rsid w:val="00C158D3"/>
    <w:rsid w:val="00C158DA"/>
    <w:rsid w:val="00C160CD"/>
    <w:rsid w:val="00C165B2"/>
    <w:rsid w:val="00C16703"/>
    <w:rsid w:val="00C16AB2"/>
    <w:rsid w:val="00C16C05"/>
    <w:rsid w:val="00C17036"/>
    <w:rsid w:val="00C17215"/>
    <w:rsid w:val="00C173AD"/>
    <w:rsid w:val="00C1758F"/>
    <w:rsid w:val="00C176CB"/>
    <w:rsid w:val="00C17B66"/>
    <w:rsid w:val="00C17DE5"/>
    <w:rsid w:val="00C17E68"/>
    <w:rsid w:val="00C17F3E"/>
    <w:rsid w:val="00C17FB2"/>
    <w:rsid w:val="00C208D5"/>
    <w:rsid w:val="00C20B43"/>
    <w:rsid w:val="00C20CAB"/>
    <w:rsid w:val="00C20F77"/>
    <w:rsid w:val="00C20F7A"/>
    <w:rsid w:val="00C21163"/>
    <w:rsid w:val="00C2128A"/>
    <w:rsid w:val="00C214C5"/>
    <w:rsid w:val="00C214E6"/>
    <w:rsid w:val="00C2151A"/>
    <w:rsid w:val="00C219FD"/>
    <w:rsid w:val="00C21A38"/>
    <w:rsid w:val="00C21C30"/>
    <w:rsid w:val="00C21EAB"/>
    <w:rsid w:val="00C21F8F"/>
    <w:rsid w:val="00C220D3"/>
    <w:rsid w:val="00C224F6"/>
    <w:rsid w:val="00C2251E"/>
    <w:rsid w:val="00C225D6"/>
    <w:rsid w:val="00C22D7F"/>
    <w:rsid w:val="00C22EDF"/>
    <w:rsid w:val="00C23005"/>
    <w:rsid w:val="00C230B7"/>
    <w:rsid w:val="00C2346D"/>
    <w:rsid w:val="00C236F1"/>
    <w:rsid w:val="00C2374B"/>
    <w:rsid w:val="00C23C8C"/>
    <w:rsid w:val="00C23EC1"/>
    <w:rsid w:val="00C23F67"/>
    <w:rsid w:val="00C240BF"/>
    <w:rsid w:val="00C24245"/>
    <w:rsid w:val="00C2479D"/>
    <w:rsid w:val="00C247BF"/>
    <w:rsid w:val="00C24BE2"/>
    <w:rsid w:val="00C24ED1"/>
    <w:rsid w:val="00C24F1D"/>
    <w:rsid w:val="00C24F6C"/>
    <w:rsid w:val="00C25159"/>
    <w:rsid w:val="00C253E2"/>
    <w:rsid w:val="00C25D5F"/>
    <w:rsid w:val="00C26040"/>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810"/>
    <w:rsid w:val="00C3184B"/>
    <w:rsid w:val="00C318E5"/>
    <w:rsid w:val="00C31D95"/>
    <w:rsid w:val="00C31DE4"/>
    <w:rsid w:val="00C31FBA"/>
    <w:rsid w:val="00C323D1"/>
    <w:rsid w:val="00C32576"/>
    <w:rsid w:val="00C325F9"/>
    <w:rsid w:val="00C32AFA"/>
    <w:rsid w:val="00C32C12"/>
    <w:rsid w:val="00C32C39"/>
    <w:rsid w:val="00C32E32"/>
    <w:rsid w:val="00C33439"/>
    <w:rsid w:val="00C33DAD"/>
    <w:rsid w:val="00C348C9"/>
    <w:rsid w:val="00C349B8"/>
    <w:rsid w:val="00C34A49"/>
    <w:rsid w:val="00C34BAA"/>
    <w:rsid w:val="00C34F1C"/>
    <w:rsid w:val="00C35415"/>
    <w:rsid w:val="00C354E3"/>
    <w:rsid w:val="00C355EB"/>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CB"/>
    <w:rsid w:val="00C378EA"/>
    <w:rsid w:val="00C37BC1"/>
    <w:rsid w:val="00C37C88"/>
    <w:rsid w:val="00C37DE9"/>
    <w:rsid w:val="00C37FB8"/>
    <w:rsid w:val="00C401D1"/>
    <w:rsid w:val="00C40483"/>
    <w:rsid w:val="00C407AB"/>
    <w:rsid w:val="00C40AAF"/>
    <w:rsid w:val="00C40C50"/>
    <w:rsid w:val="00C40F89"/>
    <w:rsid w:val="00C41695"/>
    <w:rsid w:val="00C41801"/>
    <w:rsid w:val="00C41B04"/>
    <w:rsid w:val="00C41D69"/>
    <w:rsid w:val="00C41F7A"/>
    <w:rsid w:val="00C42042"/>
    <w:rsid w:val="00C4265D"/>
    <w:rsid w:val="00C42674"/>
    <w:rsid w:val="00C428A6"/>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5EA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831"/>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667"/>
    <w:rsid w:val="00C54668"/>
    <w:rsid w:val="00C546C6"/>
    <w:rsid w:val="00C5472E"/>
    <w:rsid w:val="00C548E5"/>
    <w:rsid w:val="00C54DFB"/>
    <w:rsid w:val="00C55124"/>
    <w:rsid w:val="00C552C8"/>
    <w:rsid w:val="00C5537A"/>
    <w:rsid w:val="00C55395"/>
    <w:rsid w:val="00C55402"/>
    <w:rsid w:val="00C5552B"/>
    <w:rsid w:val="00C5579F"/>
    <w:rsid w:val="00C5599F"/>
    <w:rsid w:val="00C55A42"/>
    <w:rsid w:val="00C55BED"/>
    <w:rsid w:val="00C55D4D"/>
    <w:rsid w:val="00C56A0D"/>
    <w:rsid w:val="00C56E99"/>
    <w:rsid w:val="00C5700F"/>
    <w:rsid w:val="00C5723C"/>
    <w:rsid w:val="00C576C3"/>
    <w:rsid w:val="00C576E5"/>
    <w:rsid w:val="00C57ADB"/>
    <w:rsid w:val="00C57B31"/>
    <w:rsid w:val="00C57BC4"/>
    <w:rsid w:val="00C57C19"/>
    <w:rsid w:val="00C60337"/>
    <w:rsid w:val="00C60372"/>
    <w:rsid w:val="00C6054F"/>
    <w:rsid w:val="00C60659"/>
    <w:rsid w:val="00C6066C"/>
    <w:rsid w:val="00C606D0"/>
    <w:rsid w:val="00C606E8"/>
    <w:rsid w:val="00C607C3"/>
    <w:rsid w:val="00C60C67"/>
    <w:rsid w:val="00C612E0"/>
    <w:rsid w:val="00C61516"/>
    <w:rsid w:val="00C61646"/>
    <w:rsid w:val="00C616E3"/>
    <w:rsid w:val="00C61856"/>
    <w:rsid w:val="00C618C3"/>
    <w:rsid w:val="00C61916"/>
    <w:rsid w:val="00C619ED"/>
    <w:rsid w:val="00C61E6A"/>
    <w:rsid w:val="00C62091"/>
    <w:rsid w:val="00C62171"/>
    <w:rsid w:val="00C622F5"/>
    <w:rsid w:val="00C62699"/>
    <w:rsid w:val="00C626A2"/>
    <w:rsid w:val="00C62853"/>
    <w:rsid w:val="00C62975"/>
    <w:rsid w:val="00C629C6"/>
    <w:rsid w:val="00C62E15"/>
    <w:rsid w:val="00C62E42"/>
    <w:rsid w:val="00C62F90"/>
    <w:rsid w:val="00C63051"/>
    <w:rsid w:val="00C6305A"/>
    <w:rsid w:val="00C630A4"/>
    <w:rsid w:val="00C632C3"/>
    <w:rsid w:val="00C636CC"/>
    <w:rsid w:val="00C6371E"/>
    <w:rsid w:val="00C6376F"/>
    <w:rsid w:val="00C6386F"/>
    <w:rsid w:val="00C63F0A"/>
    <w:rsid w:val="00C641E9"/>
    <w:rsid w:val="00C646E0"/>
    <w:rsid w:val="00C646F0"/>
    <w:rsid w:val="00C6492D"/>
    <w:rsid w:val="00C64AF1"/>
    <w:rsid w:val="00C64B75"/>
    <w:rsid w:val="00C64CA8"/>
    <w:rsid w:val="00C64E07"/>
    <w:rsid w:val="00C652DA"/>
    <w:rsid w:val="00C65572"/>
    <w:rsid w:val="00C65655"/>
    <w:rsid w:val="00C657DD"/>
    <w:rsid w:val="00C65A5E"/>
    <w:rsid w:val="00C65A69"/>
    <w:rsid w:val="00C65A6A"/>
    <w:rsid w:val="00C65D4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70017"/>
    <w:rsid w:val="00C7026C"/>
    <w:rsid w:val="00C7031D"/>
    <w:rsid w:val="00C704C0"/>
    <w:rsid w:val="00C704C9"/>
    <w:rsid w:val="00C70720"/>
    <w:rsid w:val="00C70A1C"/>
    <w:rsid w:val="00C70BC1"/>
    <w:rsid w:val="00C70ED2"/>
    <w:rsid w:val="00C71189"/>
    <w:rsid w:val="00C71824"/>
    <w:rsid w:val="00C71889"/>
    <w:rsid w:val="00C7198A"/>
    <w:rsid w:val="00C72074"/>
    <w:rsid w:val="00C7217C"/>
    <w:rsid w:val="00C7233C"/>
    <w:rsid w:val="00C72406"/>
    <w:rsid w:val="00C7288A"/>
    <w:rsid w:val="00C72BA9"/>
    <w:rsid w:val="00C72C42"/>
    <w:rsid w:val="00C732CF"/>
    <w:rsid w:val="00C73474"/>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AAB"/>
    <w:rsid w:val="00C76BB9"/>
    <w:rsid w:val="00C76C31"/>
    <w:rsid w:val="00C76E57"/>
    <w:rsid w:val="00C770CE"/>
    <w:rsid w:val="00C7724F"/>
    <w:rsid w:val="00C77281"/>
    <w:rsid w:val="00C777A7"/>
    <w:rsid w:val="00C777E9"/>
    <w:rsid w:val="00C77804"/>
    <w:rsid w:val="00C80A72"/>
    <w:rsid w:val="00C80AF3"/>
    <w:rsid w:val="00C8110D"/>
    <w:rsid w:val="00C81331"/>
    <w:rsid w:val="00C81975"/>
    <w:rsid w:val="00C81BF0"/>
    <w:rsid w:val="00C82540"/>
    <w:rsid w:val="00C82624"/>
    <w:rsid w:val="00C82EBF"/>
    <w:rsid w:val="00C82ED3"/>
    <w:rsid w:val="00C82FB5"/>
    <w:rsid w:val="00C83405"/>
    <w:rsid w:val="00C83613"/>
    <w:rsid w:val="00C83958"/>
    <w:rsid w:val="00C83F9A"/>
    <w:rsid w:val="00C84324"/>
    <w:rsid w:val="00C8434D"/>
    <w:rsid w:val="00C84898"/>
    <w:rsid w:val="00C848A0"/>
    <w:rsid w:val="00C84A98"/>
    <w:rsid w:val="00C84AE5"/>
    <w:rsid w:val="00C84D61"/>
    <w:rsid w:val="00C850F8"/>
    <w:rsid w:val="00C85145"/>
    <w:rsid w:val="00C85608"/>
    <w:rsid w:val="00C85B6F"/>
    <w:rsid w:val="00C86183"/>
    <w:rsid w:val="00C86245"/>
    <w:rsid w:val="00C86370"/>
    <w:rsid w:val="00C867AE"/>
    <w:rsid w:val="00C867E1"/>
    <w:rsid w:val="00C86D7B"/>
    <w:rsid w:val="00C86EEC"/>
    <w:rsid w:val="00C87318"/>
    <w:rsid w:val="00C875F0"/>
    <w:rsid w:val="00C8771A"/>
    <w:rsid w:val="00C87C1D"/>
    <w:rsid w:val="00C904A8"/>
    <w:rsid w:val="00C90603"/>
    <w:rsid w:val="00C90DA1"/>
    <w:rsid w:val="00C90F11"/>
    <w:rsid w:val="00C9131E"/>
    <w:rsid w:val="00C915A0"/>
    <w:rsid w:val="00C9185A"/>
    <w:rsid w:val="00C919DA"/>
    <w:rsid w:val="00C91A1D"/>
    <w:rsid w:val="00C91AB0"/>
    <w:rsid w:val="00C91BE3"/>
    <w:rsid w:val="00C91DFE"/>
    <w:rsid w:val="00C91E07"/>
    <w:rsid w:val="00C91E8F"/>
    <w:rsid w:val="00C91F7A"/>
    <w:rsid w:val="00C9215C"/>
    <w:rsid w:val="00C92222"/>
    <w:rsid w:val="00C9268B"/>
    <w:rsid w:val="00C9268D"/>
    <w:rsid w:val="00C92957"/>
    <w:rsid w:val="00C92C0C"/>
    <w:rsid w:val="00C92CFA"/>
    <w:rsid w:val="00C92F0A"/>
    <w:rsid w:val="00C92F77"/>
    <w:rsid w:val="00C930C9"/>
    <w:rsid w:val="00C93579"/>
    <w:rsid w:val="00C937E9"/>
    <w:rsid w:val="00C93A91"/>
    <w:rsid w:val="00C93C2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6DF"/>
    <w:rsid w:val="00C97969"/>
    <w:rsid w:val="00C97AB4"/>
    <w:rsid w:val="00C97ADC"/>
    <w:rsid w:val="00C97BE8"/>
    <w:rsid w:val="00C97D4F"/>
    <w:rsid w:val="00C97E64"/>
    <w:rsid w:val="00CA0104"/>
    <w:rsid w:val="00CA0188"/>
    <w:rsid w:val="00CA03B4"/>
    <w:rsid w:val="00CA0416"/>
    <w:rsid w:val="00CA04BA"/>
    <w:rsid w:val="00CA0576"/>
    <w:rsid w:val="00CA05D1"/>
    <w:rsid w:val="00CA0719"/>
    <w:rsid w:val="00CA07B2"/>
    <w:rsid w:val="00CA09D3"/>
    <w:rsid w:val="00CA0C34"/>
    <w:rsid w:val="00CA0D7E"/>
    <w:rsid w:val="00CA0E1E"/>
    <w:rsid w:val="00CA0FA1"/>
    <w:rsid w:val="00CA114E"/>
    <w:rsid w:val="00CA19B2"/>
    <w:rsid w:val="00CA1B6B"/>
    <w:rsid w:val="00CA1C94"/>
    <w:rsid w:val="00CA20F7"/>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76F9"/>
    <w:rsid w:val="00CA7700"/>
    <w:rsid w:val="00CA7755"/>
    <w:rsid w:val="00CA776B"/>
    <w:rsid w:val="00CA7A40"/>
    <w:rsid w:val="00CA7AA0"/>
    <w:rsid w:val="00CA7BAC"/>
    <w:rsid w:val="00CA7D9A"/>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EB3"/>
    <w:rsid w:val="00CB346D"/>
    <w:rsid w:val="00CB34E4"/>
    <w:rsid w:val="00CB3621"/>
    <w:rsid w:val="00CB373A"/>
    <w:rsid w:val="00CB38DE"/>
    <w:rsid w:val="00CB400B"/>
    <w:rsid w:val="00CB4184"/>
    <w:rsid w:val="00CB41DB"/>
    <w:rsid w:val="00CB421E"/>
    <w:rsid w:val="00CB469E"/>
    <w:rsid w:val="00CB486E"/>
    <w:rsid w:val="00CB494A"/>
    <w:rsid w:val="00CB4995"/>
    <w:rsid w:val="00CB4D0B"/>
    <w:rsid w:val="00CB50D9"/>
    <w:rsid w:val="00CB52FD"/>
    <w:rsid w:val="00CB5470"/>
    <w:rsid w:val="00CB56EC"/>
    <w:rsid w:val="00CB56F2"/>
    <w:rsid w:val="00CB5A25"/>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1463"/>
    <w:rsid w:val="00CC158D"/>
    <w:rsid w:val="00CC168E"/>
    <w:rsid w:val="00CC1C59"/>
    <w:rsid w:val="00CC1D4B"/>
    <w:rsid w:val="00CC1E96"/>
    <w:rsid w:val="00CC20BF"/>
    <w:rsid w:val="00CC2255"/>
    <w:rsid w:val="00CC237C"/>
    <w:rsid w:val="00CC246F"/>
    <w:rsid w:val="00CC25A8"/>
    <w:rsid w:val="00CC263C"/>
    <w:rsid w:val="00CC2E07"/>
    <w:rsid w:val="00CC31E7"/>
    <w:rsid w:val="00CC349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5"/>
    <w:rsid w:val="00CD34DD"/>
    <w:rsid w:val="00CD34FA"/>
    <w:rsid w:val="00CD3544"/>
    <w:rsid w:val="00CD3E8B"/>
    <w:rsid w:val="00CD41DD"/>
    <w:rsid w:val="00CD47F2"/>
    <w:rsid w:val="00CD4E1C"/>
    <w:rsid w:val="00CD4EBB"/>
    <w:rsid w:val="00CD5571"/>
    <w:rsid w:val="00CD5991"/>
    <w:rsid w:val="00CD5AC0"/>
    <w:rsid w:val="00CD5DA8"/>
    <w:rsid w:val="00CD5DAA"/>
    <w:rsid w:val="00CD5F0A"/>
    <w:rsid w:val="00CD5F4D"/>
    <w:rsid w:val="00CD6331"/>
    <w:rsid w:val="00CD6406"/>
    <w:rsid w:val="00CD64C9"/>
    <w:rsid w:val="00CD6540"/>
    <w:rsid w:val="00CD6703"/>
    <w:rsid w:val="00CD6A12"/>
    <w:rsid w:val="00CD6DD4"/>
    <w:rsid w:val="00CD730B"/>
    <w:rsid w:val="00CD7314"/>
    <w:rsid w:val="00CD7479"/>
    <w:rsid w:val="00CD756A"/>
    <w:rsid w:val="00CD7AB0"/>
    <w:rsid w:val="00CD7C05"/>
    <w:rsid w:val="00CD7C10"/>
    <w:rsid w:val="00CD7D8D"/>
    <w:rsid w:val="00CD7EA8"/>
    <w:rsid w:val="00CE00CD"/>
    <w:rsid w:val="00CE014C"/>
    <w:rsid w:val="00CE0627"/>
    <w:rsid w:val="00CE073F"/>
    <w:rsid w:val="00CE091F"/>
    <w:rsid w:val="00CE09C2"/>
    <w:rsid w:val="00CE0A3E"/>
    <w:rsid w:val="00CE0BE4"/>
    <w:rsid w:val="00CE1128"/>
    <w:rsid w:val="00CE1253"/>
    <w:rsid w:val="00CE1636"/>
    <w:rsid w:val="00CE185B"/>
    <w:rsid w:val="00CE19D8"/>
    <w:rsid w:val="00CE1A6A"/>
    <w:rsid w:val="00CE1BFB"/>
    <w:rsid w:val="00CE1EF2"/>
    <w:rsid w:val="00CE1FA2"/>
    <w:rsid w:val="00CE1FBD"/>
    <w:rsid w:val="00CE2001"/>
    <w:rsid w:val="00CE20D4"/>
    <w:rsid w:val="00CE2C4C"/>
    <w:rsid w:val="00CE2FEC"/>
    <w:rsid w:val="00CE3343"/>
    <w:rsid w:val="00CE3552"/>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572"/>
    <w:rsid w:val="00CE76EE"/>
    <w:rsid w:val="00CE7B52"/>
    <w:rsid w:val="00CE7E70"/>
    <w:rsid w:val="00CF0243"/>
    <w:rsid w:val="00CF02A7"/>
    <w:rsid w:val="00CF02FB"/>
    <w:rsid w:val="00CF0607"/>
    <w:rsid w:val="00CF0D39"/>
    <w:rsid w:val="00CF0E85"/>
    <w:rsid w:val="00CF0FAC"/>
    <w:rsid w:val="00CF0FFE"/>
    <w:rsid w:val="00CF101F"/>
    <w:rsid w:val="00CF132F"/>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C30"/>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64D"/>
    <w:rsid w:val="00D00664"/>
    <w:rsid w:val="00D0075D"/>
    <w:rsid w:val="00D007E4"/>
    <w:rsid w:val="00D008E3"/>
    <w:rsid w:val="00D00993"/>
    <w:rsid w:val="00D0099E"/>
    <w:rsid w:val="00D009AA"/>
    <w:rsid w:val="00D009BA"/>
    <w:rsid w:val="00D00B45"/>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712F"/>
    <w:rsid w:val="00D07276"/>
    <w:rsid w:val="00D0742A"/>
    <w:rsid w:val="00D07497"/>
    <w:rsid w:val="00D07528"/>
    <w:rsid w:val="00D07682"/>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B4"/>
    <w:rsid w:val="00D15578"/>
    <w:rsid w:val="00D158A2"/>
    <w:rsid w:val="00D15E75"/>
    <w:rsid w:val="00D160C6"/>
    <w:rsid w:val="00D161E6"/>
    <w:rsid w:val="00D16440"/>
    <w:rsid w:val="00D166A4"/>
    <w:rsid w:val="00D16B2F"/>
    <w:rsid w:val="00D16C40"/>
    <w:rsid w:val="00D16E07"/>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3D17"/>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6E6"/>
    <w:rsid w:val="00D25773"/>
    <w:rsid w:val="00D257D5"/>
    <w:rsid w:val="00D25CBB"/>
    <w:rsid w:val="00D25CCA"/>
    <w:rsid w:val="00D26150"/>
    <w:rsid w:val="00D2641F"/>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D72"/>
    <w:rsid w:val="00D36E44"/>
    <w:rsid w:val="00D36F14"/>
    <w:rsid w:val="00D3736D"/>
    <w:rsid w:val="00D37550"/>
    <w:rsid w:val="00D376ED"/>
    <w:rsid w:val="00D37715"/>
    <w:rsid w:val="00D37B46"/>
    <w:rsid w:val="00D400B0"/>
    <w:rsid w:val="00D4030A"/>
    <w:rsid w:val="00D403C0"/>
    <w:rsid w:val="00D4075C"/>
    <w:rsid w:val="00D40CD6"/>
    <w:rsid w:val="00D40CE6"/>
    <w:rsid w:val="00D40E31"/>
    <w:rsid w:val="00D40F7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7C5"/>
    <w:rsid w:val="00D4589B"/>
    <w:rsid w:val="00D45EFB"/>
    <w:rsid w:val="00D460EB"/>
    <w:rsid w:val="00D463E2"/>
    <w:rsid w:val="00D4659C"/>
    <w:rsid w:val="00D46635"/>
    <w:rsid w:val="00D468D0"/>
    <w:rsid w:val="00D46AE2"/>
    <w:rsid w:val="00D46C8F"/>
    <w:rsid w:val="00D47073"/>
    <w:rsid w:val="00D479E4"/>
    <w:rsid w:val="00D47AEB"/>
    <w:rsid w:val="00D47CBD"/>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BF9"/>
    <w:rsid w:val="00D54E5B"/>
    <w:rsid w:val="00D5500B"/>
    <w:rsid w:val="00D5547D"/>
    <w:rsid w:val="00D55572"/>
    <w:rsid w:val="00D5560D"/>
    <w:rsid w:val="00D557C6"/>
    <w:rsid w:val="00D557EE"/>
    <w:rsid w:val="00D5583B"/>
    <w:rsid w:val="00D55AA4"/>
    <w:rsid w:val="00D55AB3"/>
    <w:rsid w:val="00D5640B"/>
    <w:rsid w:val="00D56C12"/>
    <w:rsid w:val="00D57040"/>
    <w:rsid w:val="00D57446"/>
    <w:rsid w:val="00D576BC"/>
    <w:rsid w:val="00D579A6"/>
    <w:rsid w:val="00D579CC"/>
    <w:rsid w:val="00D57A73"/>
    <w:rsid w:val="00D57D22"/>
    <w:rsid w:val="00D60235"/>
    <w:rsid w:val="00D60339"/>
    <w:rsid w:val="00D6035A"/>
    <w:rsid w:val="00D6053E"/>
    <w:rsid w:val="00D60564"/>
    <w:rsid w:val="00D6083C"/>
    <w:rsid w:val="00D6088B"/>
    <w:rsid w:val="00D60C5B"/>
    <w:rsid w:val="00D60EED"/>
    <w:rsid w:val="00D60F21"/>
    <w:rsid w:val="00D615AD"/>
    <w:rsid w:val="00D617CC"/>
    <w:rsid w:val="00D61820"/>
    <w:rsid w:val="00D6183D"/>
    <w:rsid w:val="00D61A02"/>
    <w:rsid w:val="00D62208"/>
    <w:rsid w:val="00D625F2"/>
    <w:rsid w:val="00D62AAF"/>
    <w:rsid w:val="00D62B8A"/>
    <w:rsid w:val="00D634A7"/>
    <w:rsid w:val="00D634E9"/>
    <w:rsid w:val="00D636AA"/>
    <w:rsid w:val="00D63CDA"/>
    <w:rsid w:val="00D643C5"/>
    <w:rsid w:val="00D64791"/>
    <w:rsid w:val="00D647D7"/>
    <w:rsid w:val="00D6480C"/>
    <w:rsid w:val="00D64A46"/>
    <w:rsid w:val="00D64B5A"/>
    <w:rsid w:val="00D64CE8"/>
    <w:rsid w:val="00D64F53"/>
    <w:rsid w:val="00D65064"/>
    <w:rsid w:val="00D6563A"/>
    <w:rsid w:val="00D656B9"/>
    <w:rsid w:val="00D65BA6"/>
    <w:rsid w:val="00D65E4D"/>
    <w:rsid w:val="00D66132"/>
    <w:rsid w:val="00D66287"/>
    <w:rsid w:val="00D662C9"/>
    <w:rsid w:val="00D665A3"/>
    <w:rsid w:val="00D66AD6"/>
    <w:rsid w:val="00D66CDA"/>
    <w:rsid w:val="00D66CDB"/>
    <w:rsid w:val="00D66EFF"/>
    <w:rsid w:val="00D66F39"/>
    <w:rsid w:val="00D67710"/>
    <w:rsid w:val="00D677CA"/>
    <w:rsid w:val="00D67C18"/>
    <w:rsid w:val="00D70039"/>
    <w:rsid w:val="00D70318"/>
    <w:rsid w:val="00D70604"/>
    <w:rsid w:val="00D70631"/>
    <w:rsid w:val="00D708BC"/>
    <w:rsid w:val="00D709D6"/>
    <w:rsid w:val="00D70B9C"/>
    <w:rsid w:val="00D70C68"/>
    <w:rsid w:val="00D70C6E"/>
    <w:rsid w:val="00D70E1F"/>
    <w:rsid w:val="00D70EFA"/>
    <w:rsid w:val="00D711FF"/>
    <w:rsid w:val="00D714AE"/>
    <w:rsid w:val="00D7165F"/>
    <w:rsid w:val="00D717C5"/>
    <w:rsid w:val="00D724E2"/>
    <w:rsid w:val="00D72500"/>
    <w:rsid w:val="00D72826"/>
    <w:rsid w:val="00D728E2"/>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31DD"/>
    <w:rsid w:val="00D832A1"/>
    <w:rsid w:val="00D832D6"/>
    <w:rsid w:val="00D83420"/>
    <w:rsid w:val="00D83753"/>
    <w:rsid w:val="00D83BC6"/>
    <w:rsid w:val="00D84463"/>
    <w:rsid w:val="00D8455B"/>
    <w:rsid w:val="00D845B3"/>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10"/>
    <w:rsid w:val="00D87A6E"/>
    <w:rsid w:val="00D87EAA"/>
    <w:rsid w:val="00D900EF"/>
    <w:rsid w:val="00D90555"/>
    <w:rsid w:val="00D907B3"/>
    <w:rsid w:val="00D9089A"/>
    <w:rsid w:val="00D90932"/>
    <w:rsid w:val="00D90C91"/>
    <w:rsid w:val="00D90CD2"/>
    <w:rsid w:val="00D912E6"/>
    <w:rsid w:val="00D913F5"/>
    <w:rsid w:val="00D91D74"/>
    <w:rsid w:val="00D91E52"/>
    <w:rsid w:val="00D91E68"/>
    <w:rsid w:val="00D9201D"/>
    <w:rsid w:val="00D925AB"/>
    <w:rsid w:val="00D92877"/>
    <w:rsid w:val="00D9294C"/>
    <w:rsid w:val="00D92A24"/>
    <w:rsid w:val="00D92BFF"/>
    <w:rsid w:val="00D92DE5"/>
    <w:rsid w:val="00D92F09"/>
    <w:rsid w:val="00D930B9"/>
    <w:rsid w:val="00D937F1"/>
    <w:rsid w:val="00D93FD0"/>
    <w:rsid w:val="00D940D6"/>
    <w:rsid w:val="00D941A4"/>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D00"/>
    <w:rsid w:val="00D97EFE"/>
    <w:rsid w:val="00DA008F"/>
    <w:rsid w:val="00DA01BF"/>
    <w:rsid w:val="00DA08BB"/>
    <w:rsid w:val="00DA09AF"/>
    <w:rsid w:val="00DA09D2"/>
    <w:rsid w:val="00DA0B44"/>
    <w:rsid w:val="00DA14F6"/>
    <w:rsid w:val="00DA1801"/>
    <w:rsid w:val="00DA1803"/>
    <w:rsid w:val="00DA1923"/>
    <w:rsid w:val="00DA1F2D"/>
    <w:rsid w:val="00DA1F83"/>
    <w:rsid w:val="00DA2176"/>
    <w:rsid w:val="00DA2223"/>
    <w:rsid w:val="00DA22ED"/>
    <w:rsid w:val="00DA24E6"/>
    <w:rsid w:val="00DA26FA"/>
    <w:rsid w:val="00DA2720"/>
    <w:rsid w:val="00DA2838"/>
    <w:rsid w:val="00DA2885"/>
    <w:rsid w:val="00DA3167"/>
    <w:rsid w:val="00DA31B5"/>
    <w:rsid w:val="00DA3497"/>
    <w:rsid w:val="00DA349D"/>
    <w:rsid w:val="00DA3767"/>
    <w:rsid w:val="00DA385D"/>
    <w:rsid w:val="00DA39FF"/>
    <w:rsid w:val="00DA3A17"/>
    <w:rsid w:val="00DA3D62"/>
    <w:rsid w:val="00DA3DE7"/>
    <w:rsid w:val="00DA4049"/>
    <w:rsid w:val="00DA43F1"/>
    <w:rsid w:val="00DA4549"/>
    <w:rsid w:val="00DA455E"/>
    <w:rsid w:val="00DA48EF"/>
    <w:rsid w:val="00DA49CA"/>
    <w:rsid w:val="00DA49CF"/>
    <w:rsid w:val="00DA5281"/>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C6"/>
    <w:rsid w:val="00DB28E3"/>
    <w:rsid w:val="00DB3507"/>
    <w:rsid w:val="00DB37CD"/>
    <w:rsid w:val="00DB39D1"/>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2B3"/>
    <w:rsid w:val="00DC0646"/>
    <w:rsid w:val="00DC07AC"/>
    <w:rsid w:val="00DC07F1"/>
    <w:rsid w:val="00DC0A11"/>
    <w:rsid w:val="00DC0AA5"/>
    <w:rsid w:val="00DC0F1F"/>
    <w:rsid w:val="00DC12EB"/>
    <w:rsid w:val="00DC16EC"/>
    <w:rsid w:val="00DC1B38"/>
    <w:rsid w:val="00DC1BA2"/>
    <w:rsid w:val="00DC1BD3"/>
    <w:rsid w:val="00DC1C8D"/>
    <w:rsid w:val="00DC22CF"/>
    <w:rsid w:val="00DC2492"/>
    <w:rsid w:val="00DC252C"/>
    <w:rsid w:val="00DC25B5"/>
    <w:rsid w:val="00DC26F6"/>
    <w:rsid w:val="00DC27BC"/>
    <w:rsid w:val="00DC2904"/>
    <w:rsid w:val="00DC2926"/>
    <w:rsid w:val="00DC2DC7"/>
    <w:rsid w:val="00DC2E42"/>
    <w:rsid w:val="00DC31C7"/>
    <w:rsid w:val="00DC3405"/>
    <w:rsid w:val="00DC35AC"/>
    <w:rsid w:val="00DC39F8"/>
    <w:rsid w:val="00DC3A72"/>
    <w:rsid w:val="00DC3C0D"/>
    <w:rsid w:val="00DC3C85"/>
    <w:rsid w:val="00DC3CEC"/>
    <w:rsid w:val="00DC3E91"/>
    <w:rsid w:val="00DC4063"/>
    <w:rsid w:val="00DC409B"/>
    <w:rsid w:val="00DC4401"/>
    <w:rsid w:val="00DC4502"/>
    <w:rsid w:val="00DC479B"/>
    <w:rsid w:val="00DC4BF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4022"/>
    <w:rsid w:val="00DD419B"/>
    <w:rsid w:val="00DD42BA"/>
    <w:rsid w:val="00DD453D"/>
    <w:rsid w:val="00DD4556"/>
    <w:rsid w:val="00DD473F"/>
    <w:rsid w:val="00DD478F"/>
    <w:rsid w:val="00DD4901"/>
    <w:rsid w:val="00DD49C0"/>
    <w:rsid w:val="00DD49E2"/>
    <w:rsid w:val="00DD4BE6"/>
    <w:rsid w:val="00DD513E"/>
    <w:rsid w:val="00DD55DE"/>
    <w:rsid w:val="00DD577E"/>
    <w:rsid w:val="00DD5812"/>
    <w:rsid w:val="00DD58DE"/>
    <w:rsid w:val="00DD59C0"/>
    <w:rsid w:val="00DD5ABC"/>
    <w:rsid w:val="00DD60CD"/>
    <w:rsid w:val="00DD6C24"/>
    <w:rsid w:val="00DD70F4"/>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E58"/>
    <w:rsid w:val="00DF3087"/>
    <w:rsid w:val="00DF35EF"/>
    <w:rsid w:val="00DF3705"/>
    <w:rsid w:val="00DF3D7C"/>
    <w:rsid w:val="00DF3FB0"/>
    <w:rsid w:val="00DF40BD"/>
    <w:rsid w:val="00DF4758"/>
    <w:rsid w:val="00DF48F5"/>
    <w:rsid w:val="00DF4927"/>
    <w:rsid w:val="00DF4F79"/>
    <w:rsid w:val="00DF507F"/>
    <w:rsid w:val="00DF554D"/>
    <w:rsid w:val="00DF576F"/>
    <w:rsid w:val="00DF58BC"/>
    <w:rsid w:val="00DF5BE3"/>
    <w:rsid w:val="00DF5D06"/>
    <w:rsid w:val="00DF5F70"/>
    <w:rsid w:val="00DF6122"/>
    <w:rsid w:val="00DF62DB"/>
    <w:rsid w:val="00DF6667"/>
    <w:rsid w:val="00DF66B7"/>
    <w:rsid w:val="00DF68C4"/>
    <w:rsid w:val="00DF6C35"/>
    <w:rsid w:val="00DF6DD9"/>
    <w:rsid w:val="00DF7124"/>
    <w:rsid w:val="00DF7233"/>
    <w:rsid w:val="00DF7320"/>
    <w:rsid w:val="00DF7433"/>
    <w:rsid w:val="00DF7465"/>
    <w:rsid w:val="00DF7560"/>
    <w:rsid w:val="00DF7682"/>
    <w:rsid w:val="00DF78DE"/>
    <w:rsid w:val="00DF7CA7"/>
    <w:rsid w:val="00DF7D59"/>
    <w:rsid w:val="00DF7F6D"/>
    <w:rsid w:val="00DF7F9B"/>
    <w:rsid w:val="00E003DE"/>
    <w:rsid w:val="00E005AA"/>
    <w:rsid w:val="00E0095A"/>
    <w:rsid w:val="00E00A7F"/>
    <w:rsid w:val="00E00BAB"/>
    <w:rsid w:val="00E00CA8"/>
    <w:rsid w:val="00E01174"/>
    <w:rsid w:val="00E01404"/>
    <w:rsid w:val="00E017F5"/>
    <w:rsid w:val="00E019FC"/>
    <w:rsid w:val="00E01A90"/>
    <w:rsid w:val="00E0209A"/>
    <w:rsid w:val="00E02147"/>
    <w:rsid w:val="00E02795"/>
    <w:rsid w:val="00E02815"/>
    <w:rsid w:val="00E0316F"/>
    <w:rsid w:val="00E0353D"/>
    <w:rsid w:val="00E03549"/>
    <w:rsid w:val="00E03709"/>
    <w:rsid w:val="00E0370A"/>
    <w:rsid w:val="00E03898"/>
    <w:rsid w:val="00E03AC2"/>
    <w:rsid w:val="00E04144"/>
    <w:rsid w:val="00E044A6"/>
    <w:rsid w:val="00E0470E"/>
    <w:rsid w:val="00E04B9E"/>
    <w:rsid w:val="00E04B9F"/>
    <w:rsid w:val="00E04E00"/>
    <w:rsid w:val="00E04FAA"/>
    <w:rsid w:val="00E05046"/>
    <w:rsid w:val="00E05097"/>
    <w:rsid w:val="00E05165"/>
    <w:rsid w:val="00E051C8"/>
    <w:rsid w:val="00E051EE"/>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55"/>
    <w:rsid w:val="00E07B62"/>
    <w:rsid w:val="00E07DD8"/>
    <w:rsid w:val="00E07E21"/>
    <w:rsid w:val="00E07E9C"/>
    <w:rsid w:val="00E07EB8"/>
    <w:rsid w:val="00E07F78"/>
    <w:rsid w:val="00E1015B"/>
    <w:rsid w:val="00E10385"/>
    <w:rsid w:val="00E103F8"/>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35"/>
    <w:rsid w:val="00E13EF6"/>
    <w:rsid w:val="00E143C6"/>
    <w:rsid w:val="00E14731"/>
    <w:rsid w:val="00E14759"/>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E94"/>
    <w:rsid w:val="00E31064"/>
    <w:rsid w:val="00E311E3"/>
    <w:rsid w:val="00E317EA"/>
    <w:rsid w:val="00E318E0"/>
    <w:rsid w:val="00E31E9C"/>
    <w:rsid w:val="00E31EC3"/>
    <w:rsid w:val="00E32127"/>
    <w:rsid w:val="00E322B5"/>
    <w:rsid w:val="00E3250E"/>
    <w:rsid w:val="00E326B6"/>
    <w:rsid w:val="00E3296B"/>
    <w:rsid w:val="00E32985"/>
    <w:rsid w:val="00E32C30"/>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46D"/>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B67"/>
    <w:rsid w:val="00E51E55"/>
    <w:rsid w:val="00E51FE4"/>
    <w:rsid w:val="00E52544"/>
    <w:rsid w:val="00E52569"/>
    <w:rsid w:val="00E53101"/>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679"/>
    <w:rsid w:val="00E55F2E"/>
    <w:rsid w:val="00E561B5"/>
    <w:rsid w:val="00E5640A"/>
    <w:rsid w:val="00E56599"/>
    <w:rsid w:val="00E568A7"/>
    <w:rsid w:val="00E56C87"/>
    <w:rsid w:val="00E56F06"/>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37"/>
    <w:rsid w:val="00E630DE"/>
    <w:rsid w:val="00E635A3"/>
    <w:rsid w:val="00E6372E"/>
    <w:rsid w:val="00E637E2"/>
    <w:rsid w:val="00E63FEC"/>
    <w:rsid w:val="00E64107"/>
    <w:rsid w:val="00E6462F"/>
    <w:rsid w:val="00E64C05"/>
    <w:rsid w:val="00E64EF3"/>
    <w:rsid w:val="00E64F2A"/>
    <w:rsid w:val="00E65083"/>
    <w:rsid w:val="00E653A1"/>
    <w:rsid w:val="00E6599E"/>
    <w:rsid w:val="00E65A14"/>
    <w:rsid w:val="00E65A52"/>
    <w:rsid w:val="00E65A67"/>
    <w:rsid w:val="00E65B5E"/>
    <w:rsid w:val="00E65B73"/>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EE4"/>
    <w:rsid w:val="00E66F28"/>
    <w:rsid w:val="00E67357"/>
    <w:rsid w:val="00E674BF"/>
    <w:rsid w:val="00E67998"/>
    <w:rsid w:val="00E67BA0"/>
    <w:rsid w:val="00E67E01"/>
    <w:rsid w:val="00E70014"/>
    <w:rsid w:val="00E701EB"/>
    <w:rsid w:val="00E7034D"/>
    <w:rsid w:val="00E703D6"/>
    <w:rsid w:val="00E7065B"/>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697"/>
    <w:rsid w:val="00E72926"/>
    <w:rsid w:val="00E72C50"/>
    <w:rsid w:val="00E72ECE"/>
    <w:rsid w:val="00E72F7C"/>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947"/>
    <w:rsid w:val="00E7596A"/>
    <w:rsid w:val="00E759B2"/>
    <w:rsid w:val="00E75B45"/>
    <w:rsid w:val="00E75FC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47F"/>
    <w:rsid w:val="00E9259F"/>
    <w:rsid w:val="00E926C9"/>
    <w:rsid w:val="00E92755"/>
    <w:rsid w:val="00E92762"/>
    <w:rsid w:val="00E92AEE"/>
    <w:rsid w:val="00E93126"/>
    <w:rsid w:val="00E93279"/>
    <w:rsid w:val="00E93799"/>
    <w:rsid w:val="00E93D4E"/>
    <w:rsid w:val="00E93FE0"/>
    <w:rsid w:val="00E946BB"/>
    <w:rsid w:val="00E9543D"/>
    <w:rsid w:val="00E95626"/>
    <w:rsid w:val="00E95723"/>
    <w:rsid w:val="00E95859"/>
    <w:rsid w:val="00E95AE1"/>
    <w:rsid w:val="00E95B16"/>
    <w:rsid w:val="00E95B6C"/>
    <w:rsid w:val="00E95C86"/>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485"/>
    <w:rsid w:val="00E97584"/>
    <w:rsid w:val="00E9772C"/>
    <w:rsid w:val="00E97795"/>
    <w:rsid w:val="00E977AA"/>
    <w:rsid w:val="00E977DB"/>
    <w:rsid w:val="00E97864"/>
    <w:rsid w:val="00E97D5E"/>
    <w:rsid w:val="00E97E68"/>
    <w:rsid w:val="00EA0241"/>
    <w:rsid w:val="00EA045F"/>
    <w:rsid w:val="00EA04DA"/>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7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5B73"/>
    <w:rsid w:val="00EA6602"/>
    <w:rsid w:val="00EA6ECA"/>
    <w:rsid w:val="00EA7007"/>
    <w:rsid w:val="00EA73A2"/>
    <w:rsid w:val="00EA75DC"/>
    <w:rsid w:val="00EA7828"/>
    <w:rsid w:val="00EA7A72"/>
    <w:rsid w:val="00EA7C4C"/>
    <w:rsid w:val="00EB0340"/>
    <w:rsid w:val="00EB077B"/>
    <w:rsid w:val="00EB0B6C"/>
    <w:rsid w:val="00EB0EB9"/>
    <w:rsid w:val="00EB0EEC"/>
    <w:rsid w:val="00EB190B"/>
    <w:rsid w:val="00EB1CD5"/>
    <w:rsid w:val="00EB1CE6"/>
    <w:rsid w:val="00EB1DAC"/>
    <w:rsid w:val="00EB1E29"/>
    <w:rsid w:val="00EB2769"/>
    <w:rsid w:val="00EB2874"/>
    <w:rsid w:val="00EB28DB"/>
    <w:rsid w:val="00EB29D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AF8"/>
    <w:rsid w:val="00EB5B9D"/>
    <w:rsid w:val="00EB68EF"/>
    <w:rsid w:val="00EB6B54"/>
    <w:rsid w:val="00EB6BF9"/>
    <w:rsid w:val="00EB6F9A"/>
    <w:rsid w:val="00EB7333"/>
    <w:rsid w:val="00EB749E"/>
    <w:rsid w:val="00EB74A6"/>
    <w:rsid w:val="00EB76E7"/>
    <w:rsid w:val="00EB7788"/>
    <w:rsid w:val="00EB7AE0"/>
    <w:rsid w:val="00EB7EDD"/>
    <w:rsid w:val="00EB7EF5"/>
    <w:rsid w:val="00EB7F52"/>
    <w:rsid w:val="00EB7FF5"/>
    <w:rsid w:val="00EC01B0"/>
    <w:rsid w:val="00EC02E9"/>
    <w:rsid w:val="00EC0667"/>
    <w:rsid w:val="00EC0743"/>
    <w:rsid w:val="00EC094E"/>
    <w:rsid w:val="00EC0B35"/>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A8"/>
    <w:rsid w:val="00EC38B5"/>
    <w:rsid w:val="00EC39C6"/>
    <w:rsid w:val="00EC3A6B"/>
    <w:rsid w:val="00EC3D09"/>
    <w:rsid w:val="00EC3F3C"/>
    <w:rsid w:val="00EC4B5E"/>
    <w:rsid w:val="00EC4DBB"/>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5F4"/>
    <w:rsid w:val="00EE0926"/>
    <w:rsid w:val="00EE0932"/>
    <w:rsid w:val="00EE0A27"/>
    <w:rsid w:val="00EE0D82"/>
    <w:rsid w:val="00EE0DA7"/>
    <w:rsid w:val="00EE0ED5"/>
    <w:rsid w:val="00EE1019"/>
    <w:rsid w:val="00EE10D5"/>
    <w:rsid w:val="00EE161B"/>
    <w:rsid w:val="00EE1622"/>
    <w:rsid w:val="00EE1951"/>
    <w:rsid w:val="00EE1B3E"/>
    <w:rsid w:val="00EE1BB6"/>
    <w:rsid w:val="00EE1C01"/>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EC1"/>
    <w:rsid w:val="00EE5154"/>
    <w:rsid w:val="00EE56C9"/>
    <w:rsid w:val="00EE5AAD"/>
    <w:rsid w:val="00EE5ADD"/>
    <w:rsid w:val="00EE5D24"/>
    <w:rsid w:val="00EE5F0D"/>
    <w:rsid w:val="00EE623A"/>
    <w:rsid w:val="00EE664D"/>
    <w:rsid w:val="00EE67DD"/>
    <w:rsid w:val="00EE6C68"/>
    <w:rsid w:val="00EE6F30"/>
    <w:rsid w:val="00EE72E4"/>
    <w:rsid w:val="00EE7551"/>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BB"/>
    <w:rsid w:val="00F00AD5"/>
    <w:rsid w:val="00F00B17"/>
    <w:rsid w:val="00F0135A"/>
    <w:rsid w:val="00F01A65"/>
    <w:rsid w:val="00F02197"/>
    <w:rsid w:val="00F0219B"/>
    <w:rsid w:val="00F023D8"/>
    <w:rsid w:val="00F02440"/>
    <w:rsid w:val="00F02465"/>
    <w:rsid w:val="00F02500"/>
    <w:rsid w:val="00F02759"/>
    <w:rsid w:val="00F027C0"/>
    <w:rsid w:val="00F02862"/>
    <w:rsid w:val="00F02901"/>
    <w:rsid w:val="00F037F9"/>
    <w:rsid w:val="00F03837"/>
    <w:rsid w:val="00F03934"/>
    <w:rsid w:val="00F03A8E"/>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A7F"/>
    <w:rsid w:val="00F05A8D"/>
    <w:rsid w:val="00F05C9A"/>
    <w:rsid w:val="00F05D80"/>
    <w:rsid w:val="00F064C4"/>
    <w:rsid w:val="00F06830"/>
    <w:rsid w:val="00F06A6B"/>
    <w:rsid w:val="00F06D2A"/>
    <w:rsid w:val="00F06E36"/>
    <w:rsid w:val="00F07501"/>
    <w:rsid w:val="00F07789"/>
    <w:rsid w:val="00F102C5"/>
    <w:rsid w:val="00F104E1"/>
    <w:rsid w:val="00F10541"/>
    <w:rsid w:val="00F109AA"/>
    <w:rsid w:val="00F110EE"/>
    <w:rsid w:val="00F11159"/>
    <w:rsid w:val="00F11195"/>
    <w:rsid w:val="00F11230"/>
    <w:rsid w:val="00F11A18"/>
    <w:rsid w:val="00F11C38"/>
    <w:rsid w:val="00F11F62"/>
    <w:rsid w:val="00F12941"/>
    <w:rsid w:val="00F12BFC"/>
    <w:rsid w:val="00F12E19"/>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DAA"/>
    <w:rsid w:val="00F14E67"/>
    <w:rsid w:val="00F14FC2"/>
    <w:rsid w:val="00F150F8"/>
    <w:rsid w:val="00F152BC"/>
    <w:rsid w:val="00F15614"/>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1"/>
    <w:rsid w:val="00F247D4"/>
    <w:rsid w:val="00F24A48"/>
    <w:rsid w:val="00F24A59"/>
    <w:rsid w:val="00F25012"/>
    <w:rsid w:val="00F25485"/>
    <w:rsid w:val="00F25E1A"/>
    <w:rsid w:val="00F26131"/>
    <w:rsid w:val="00F262FC"/>
    <w:rsid w:val="00F26331"/>
    <w:rsid w:val="00F2658D"/>
    <w:rsid w:val="00F26666"/>
    <w:rsid w:val="00F26E7F"/>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20E2"/>
    <w:rsid w:val="00F322A0"/>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BB"/>
    <w:rsid w:val="00F339B9"/>
    <w:rsid w:val="00F33B7B"/>
    <w:rsid w:val="00F33BD4"/>
    <w:rsid w:val="00F3437D"/>
    <w:rsid w:val="00F34561"/>
    <w:rsid w:val="00F34622"/>
    <w:rsid w:val="00F34AA8"/>
    <w:rsid w:val="00F34ADB"/>
    <w:rsid w:val="00F35160"/>
    <w:rsid w:val="00F351CA"/>
    <w:rsid w:val="00F35587"/>
    <w:rsid w:val="00F35A7F"/>
    <w:rsid w:val="00F35FE0"/>
    <w:rsid w:val="00F36149"/>
    <w:rsid w:val="00F3623A"/>
    <w:rsid w:val="00F36674"/>
    <w:rsid w:val="00F36729"/>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C82"/>
    <w:rsid w:val="00F43066"/>
    <w:rsid w:val="00F4309B"/>
    <w:rsid w:val="00F430BF"/>
    <w:rsid w:val="00F4339C"/>
    <w:rsid w:val="00F436A4"/>
    <w:rsid w:val="00F43ABF"/>
    <w:rsid w:val="00F43C91"/>
    <w:rsid w:val="00F43E2F"/>
    <w:rsid w:val="00F43EB1"/>
    <w:rsid w:val="00F44238"/>
    <w:rsid w:val="00F44506"/>
    <w:rsid w:val="00F445B7"/>
    <w:rsid w:val="00F44ABA"/>
    <w:rsid w:val="00F45818"/>
    <w:rsid w:val="00F4587C"/>
    <w:rsid w:val="00F45B75"/>
    <w:rsid w:val="00F45C13"/>
    <w:rsid w:val="00F45EAC"/>
    <w:rsid w:val="00F46190"/>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641"/>
    <w:rsid w:val="00F526B3"/>
    <w:rsid w:val="00F526F2"/>
    <w:rsid w:val="00F52808"/>
    <w:rsid w:val="00F5297C"/>
    <w:rsid w:val="00F52AFE"/>
    <w:rsid w:val="00F52D02"/>
    <w:rsid w:val="00F52D1C"/>
    <w:rsid w:val="00F52D5B"/>
    <w:rsid w:val="00F53502"/>
    <w:rsid w:val="00F535E0"/>
    <w:rsid w:val="00F535EC"/>
    <w:rsid w:val="00F536E1"/>
    <w:rsid w:val="00F5375B"/>
    <w:rsid w:val="00F53979"/>
    <w:rsid w:val="00F53D3A"/>
    <w:rsid w:val="00F53DC6"/>
    <w:rsid w:val="00F5413B"/>
    <w:rsid w:val="00F541BF"/>
    <w:rsid w:val="00F542DE"/>
    <w:rsid w:val="00F54301"/>
    <w:rsid w:val="00F54368"/>
    <w:rsid w:val="00F543A3"/>
    <w:rsid w:val="00F54453"/>
    <w:rsid w:val="00F5467C"/>
    <w:rsid w:val="00F54A3F"/>
    <w:rsid w:val="00F54B3B"/>
    <w:rsid w:val="00F54DDD"/>
    <w:rsid w:val="00F54E47"/>
    <w:rsid w:val="00F5510A"/>
    <w:rsid w:val="00F551C8"/>
    <w:rsid w:val="00F551F5"/>
    <w:rsid w:val="00F5538A"/>
    <w:rsid w:val="00F55630"/>
    <w:rsid w:val="00F556A9"/>
    <w:rsid w:val="00F556DF"/>
    <w:rsid w:val="00F55773"/>
    <w:rsid w:val="00F55976"/>
    <w:rsid w:val="00F55D7B"/>
    <w:rsid w:val="00F560EB"/>
    <w:rsid w:val="00F562DA"/>
    <w:rsid w:val="00F564A3"/>
    <w:rsid w:val="00F564A4"/>
    <w:rsid w:val="00F56655"/>
    <w:rsid w:val="00F566D5"/>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1505"/>
    <w:rsid w:val="00F619A9"/>
    <w:rsid w:val="00F61CC0"/>
    <w:rsid w:val="00F61DDA"/>
    <w:rsid w:val="00F62114"/>
    <w:rsid w:val="00F623A6"/>
    <w:rsid w:val="00F623D5"/>
    <w:rsid w:val="00F624BA"/>
    <w:rsid w:val="00F62577"/>
    <w:rsid w:val="00F62583"/>
    <w:rsid w:val="00F62986"/>
    <w:rsid w:val="00F62CC8"/>
    <w:rsid w:val="00F63311"/>
    <w:rsid w:val="00F63851"/>
    <w:rsid w:val="00F63A58"/>
    <w:rsid w:val="00F63E86"/>
    <w:rsid w:val="00F64115"/>
    <w:rsid w:val="00F6434A"/>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562"/>
    <w:rsid w:val="00F765D2"/>
    <w:rsid w:val="00F76BDA"/>
    <w:rsid w:val="00F76D01"/>
    <w:rsid w:val="00F770BE"/>
    <w:rsid w:val="00F773E1"/>
    <w:rsid w:val="00F776DF"/>
    <w:rsid w:val="00F77EAA"/>
    <w:rsid w:val="00F803B8"/>
    <w:rsid w:val="00F806AC"/>
    <w:rsid w:val="00F807CA"/>
    <w:rsid w:val="00F808E9"/>
    <w:rsid w:val="00F80D68"/>
    <w:rsid w:val="00F80D79"/>
    <w:rsid w:val="00F8102E"/>
    <w:rsid w:val="00F81434"/>
    <w:rsid w:val="00F81457"/>
    <w:rsid w:val="00F81509"/>
    <w:rsid w:val="00F815A4"/>
    <w:rsid w:val="00F81671"/>
    <w:rsid w:val="00F81765"/>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F93"/>
    <w:rsid w:val="00F834DC"/>
    <w:rsid w:val="00F835CA"/>
    <w:rsid w:val="00F83BAB"/>
    <w:rsid w:val="00F840B5"/>
    <w:rsid w:val="00F8419D"/>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6F7B"/>
    <w:rsid w:val="00F875D2"/>
    <w:rsid w:val="00F8769A"/>
    <w:rsid w:val="00F8769C"/>
    <w:rsid w:val="00F876CC"/>
    <w:rsid w:val="00F876E5"/>
    <w:rsid w:val="00F87AA6"/>
    <w:rsid w:val="00F87F8A"/>
    <w:rsid w:val="00F90229"/>
    <w:rsid w:val="00F90345"/>
    <w:rsid w:val="00F9051C"/>
    <w:rsid w:val="00F90788"/>
    <w:rsid w:val="00F909DD"/>
    <w:rsid w:val="00F90A2B"/>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4AB"/>
    <w:rsid w:val="00F95666"/>
    <w:rsid w:val="00F95689"/>
    <w:rsid w:val="00F956F3"/>
    <w:rsid w:val="00F95A4D"/>
    <w:rsid w:val="00F95C96"/>
    <w:rsid w:val="00F95D78"/>
    <w:rsid w:val="00F96289"/>
    <w:rsid w:val="00F9651A"/>
    <w:rsid w:val="00F96752"/>
    <w:rsid w:val="00F968F9"/>
    <w:rsid w:val="00F96AD5"/>
    <w:rsid w:val="00F96C3F"/>
    <w:rsid w:val="00F96E2C"/>
    <w:rsid w:val="00F97088"/>
    <w:rsid w:val="00F976C0"/>
    <w:rsid w:val="00F97836"/>
    <w:rsid w:val="00FA04D6"/>
    <w:rsid w:val="00FA04EF"/>
    <w:rsid w:val="00FA0795"/>
    <w:rsid w:val="00FA08C2"/>
    <w:rsid w:val="00FA0986"/>
    <w:rsid w:val="00FA0DA2"/>
    <w:rsid w:val="00FA0E2B"/>
    <w:rsid w:val="00FA104D"/>
    <w:rsid w:val="00FA113C"/>
    <w:rsid w:val="00FA120B"/>
    <w:rsid w:val="00FA162C"/>
    <w:rsid w:val="00FA17F0"/>
    <w:rsid w:val="00FA1933"/>
    <w:rsid w:val="00FA1B8D"/>
    <w:rsid w:val="00FA2708"/>
    <w:rsid w:val="00FA2727"/>
    <w:rsid w:val="00FA2771"/>
    <w:rsid w:val="00FA2A3D"/>
    <w:rsid w:val="00FA2B96"/>
    <w:rsid w:val="00FA2E23"/>
    <w:rsid w:val="00FA31E3"/>
    <w:rsid w:val="00FA35E8"/>
    <w:rsid w:val="00FA3A0A"/>
    <w:rsid w:val="00FA4329"/>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279"/>
    <w:rsid w:val="00FB42AB"/>
    <w:rsid w:val="00FB45B7"/>
    <w:rsid w:val="00FB4942"/>
    <w:rsid w:val="00FB4967"/>
    <w:rsid w:val="00FB49AF"/>
    <w:rsid w:val="00FB4D53"/>
    <w:rsid w:val="00FB5182"/>
    <w:rsid w:val="00FB53E3"/>
    <w:rsid w:val="00FB566D"/>
    <w:rsid w:val="00FB5B40"/>
    <w:rsid w:val="00FB5D16"/>
    <w:rsid w:val="00FB5E9C"/>
    <w:rsid w:val="00FB5F51"/>
    <w:rsid w:val="00FB60DF"/>
    <w:rsid w:val="00FB6449"/>
    <w:rsid w:val="00FB6504"/>
    <w:rsid w:val="00FB6773"/>
    <w:rsid w:val="00FB69CF"/>
    <w:rsid w:val="00FB6AB4"/>
    <w:rsid w:val="00FB6B07"/>
    <w:rsid w:val="00FB6BA1"/>
    <w:rsid w:val="00FB6C90"/>
    <w:rsid w:val="00FB6CB2"/>
    <w:rsid w:val="00FB6D4D"/>
    <w:rsid w:val="00FB7222"/>
    <w:rsid w:val="00FB7396"/>
    <w:rsid w:val="00FB76B8"/>
    <w:rsid w:val="00FB77C5"/>
    <w:rsid w:val="00FB7934"/>
    <w:rsid w:val="00FB7B97"/>
    <w:rsid w:val="00FB7EF3"/>
    <w:rsid w:val="00FB7F6F"/>
    <w:rsid w:val="00FC0004"/>
    <w:rsid w:val="00FC0013"/>
    <w:rsid w:val="00FC00FE"/>
    <w:rsid w:val="00FC0193"/>
    <w:rsid w:val="00FC0D0E"/>
    <w:rsid w:val="00FC0DD5"/>
    <w:rsid w:val="00FC0E23"/>
    <w:rsid w:val="00FC13FD"/>
    <w:rsid w:val="00FC143F"/>
    <w:rsid w:val="00FC162E"/>
    <w:rsid w:val="00FC1D70"/>
    <w:rsid w:val="00FC1E5C"/>
    <w:rsid w:val="00FC1E9F"/>
    <w:rsid w:val="00FC1EE3"/>
    <w:rsid w:val="00FC20E6"/>
    <w:rsid w:val="00FC242A"/>
    <w:rsid w:val="00FC2434"/>
    <w:rsid w:val="00FC2537"/>
    <w:rsid w:val="00FC2867"/>
    <w:rsid w:val="00FC2886"/>
    <w:rsid w:val="00FC29ED"/>
    <w:rsid w:val="00FC32CE"/>
    <w:rsid w:val="00FC32D5"/>
    <w:rsid w:val="00FC33E2"/>
    <w:rsid w:val="00FC3413"/>
    <w:rsid w:val="00FC34E1"/>
    <w:rsid w:val="00FC3E5D"/>
    <w:rsid w:val="00FC4058"/>
    <w:rsid w:val="00FC4181"/>
    <w:rsid w:val="00FC42E9"/>
    <w:rsid w:val="00FC44A5"/>
    <w:rsid w:val="00FC4528"/>
    <w:rsid w:val="00FC48FE"/>
    <w:rsid w:val="00FC4D41"/>
    <w:rsid w:val="00FC4FC9"/>
    <w:rsid w:val="00FC52FB"/>
    <w:rsid w:val="00FC592E"/>
    <w:rsid w:val="00FC5937"/>
    <w:rsid w:val="00FC5C8E"/>
    <w:rsid w:val="00FC5FD2"/>
    <w:rsid w:val="00FC608D"/>
    <w:rsid w:val="00FC60A5"/>
    <w:rsid w:val="00FC617F"/>
    <w:rsid w:val="00FC6372"/>
    <w:rsid w:val="00FC63C2"/>
    <w:rsid w:val="00FC64B0"/>
    <w:rsid w:val="00FC64F6"/>
    <w:rsid w:val="00FC656F"/>
    <w:rsid w:val="00FC672F"/>
    <w:rsid w:val="00FC6C6D"/>
    <w:rsid w:val="00FC6C8E"/>
    <w:rsid w:val="00FC6CCF"/>
    <w:rsid w:val="00FC720C"/>
    <w:rsid w:val="00FC7346"/>
    <w:rsid w:val="00FC73EB"/>
    <w:rsid w:val="00FD01AF"/>
    <w:rsid w:val="00FD0BB7"/>
    <w:rsid w:val="00FD0CD2"/>
    <w:rsid w:val="00FD0E43"/>
    <w:rsid w:val="00FD0F39"/>
    <w:rsid w:val="00FD1555"/>
    <w:rsid w:val="00FD15B5"/>
    <w:rsid w:val="00FD1856"/>
    <w:rsid w:val="00FD1BD1"/>
    <w:rsid w:val="00FD1EA3"/>
    <w:rsid w:val="00FD1FBF"/>
    <w:rsid w:val="00FD2054"/>
    <w:rsid w:val="00FD20D6"/>
    <w:rsid w:val="00FD20F4"/>
    <w:rsid w:val="00FD21B0"/>
    <w:rsid w:val="00FD2236"/>
    <w:rsid w:val="00FD22F7"/>
    <w:rsid w:val="00FD24E4"/>
    <w:rsid w:val="00FD2504"/>
    <w:rsid w:val="00FD2617"/>
    <w:rsid w:val="00FD275C"/>
    <w:rsid w:val="00FD2778"/>
    <w:rsid w:val="00FD2B0D"/>
    <w:rsid w:val="00FD2ED7"/>
    <w:rsid w:val="00FD3303"/>
    <w:rsid w:val="00FD335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51"/>
    <w:rsid w:val="00FD61DA"/>
    <w:rsid w:val="00FD6381"/>
    <w:rsid w:val="00FD6503"/>
    <w:rsid w:val="00FD6584"/>
    <w:rsid w:val="00FD65A8"/>
    <w:rsid w:val="00FD6833"/>
    <w:rsid w:val="00FD6CE6"/>
    <w:rsid w:val="00FD6EEB"/>
    <w:rsid w:val="00FD6F5F"/>
    <w:rsid w:val="00FD6F78"/>
    <w:rsid w:val="00FD7445"/>
    <w:rsid w:val="00FD7AF4"/>
    <w:rsid w:val="00FD7B19"/>
    <w:rsid w:val="00FD7FD1"/>
    <w:rsid w:val="00FE00A5"/>
    <w:rsid w:val="00FE00B6"/>
    <w:rsid w:val="00FE00BC"/>
    <w:rsid w:val="00FE03D6"/>
    <w:rsid w:val="00FE04B8"/>
    <w:rsid w:val="00FE0523"/>
    <w:rsid w:val="00FE1077"/>
    <w:rsid w:val="00FE1136"/>
    <w:rsid w:val="00FE12BF"/>
    <w:rsid w:val="00FE1773"/>
    <w:rsid w:val="00FE1813"/>
    <w:rsid w:val="00FE1AEA"/>
    <w:rsid w:val="00FE1F1C"/>
    <w:rsid w:val="00FE21BD"/>
    <w:rsid w:val="00FE2839"/>
    <w:rsid w:val="00FE2AD3"/>
    <w:rsid w:val="00FE2BDA"/>
    <w:rsid w:val="00FE313D"/>
    <w:rsid w:val="00FE315A"/>
    <w:rsid w:val="00FE32E0"/>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278"/>
    <w:rsid w:val="00FF1807"/>
    <w:rsid w:val="00FF184D"/>
    <w:rsid w:val="00FF1E82"/>
    <w:rsid w:val="00FF1ECE"/>
    <w:rsid w:val="00FF1F20"/>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C3C"/>
    <w:rsid w:val="00FF3DF5"/>
    <w:rsid w:val="00FF3F26"/>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9D"/>
    <w:rsid w:val="00FF6BB9"/>
    <w:rsid w:val="00FF6DE6"/>
    <w:rsid w:val="00FF6F78"/>
    <w:rsid w:val="00FF6FBA"/>
    <w:rsid w:val="00FF72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233143"/>
  <w15:docId w15:val="{E15034B2-1450-411F-AA24-B4BD4F981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40"/>
      <w:jc w:val="both"/>
    </w:pPr>
    <w:rPr>
      <w:rFonts w:ascii="Courier New" w:hAnsi="Courier New"/>
      <w:sz w:val="24"/>
      <w:lang w:val="en-GB" w:eastAsia="en-GB"/>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val="en-GB" w:eastAsia="en-GB"/>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eastAsia="en-GB"/>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lang w:val="en-GB" w:eastAsia="en-GB"/>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
    <w:semiHidden/>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val="en-GB"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val="en-GB"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lang w:val="en-GB" w:eastAsia="en-GB"/>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Char1,(NECG) Footnote Reference,fr,Style 6,Signature Ch"/>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CF0D39"/>
  </w:style>
  <w:style w:type="character" w:customStyle="1" w:styleId="ScenesetterText">
    <w:name w:val="Scene setter Text"/>
    <w:uiPriority w:val="12"/>
    <w:qFormat/>
    <w:rsid w:val="00F34622"/>
    <w:rPr>
      <w:rFonts w:ascii="Times New Roman Bold" w:hAnsi="Times New Roman Bold"/>
      <w:b/>
      <w:bCs/>
      <w:i w:val="0"/>
      <w:color w:val="auto"/>
      <w:sz w:val="24"/>
    </w:rPr>
  </w:style>
  <w:style w:type="paragraph" w:customStyle="1" w:styleId="Body">
    <w:name w:val="Body"/>
    <w:rsid w:val="0008040A"/>
    <w:pPr>
      <w:pBdr>
        <w:top w:val="none" w:sz="96" w:space="31" w:color="FFFFFF" w:frame="1"/>
        <w:left w:val="none" w:sz="96" w:space="31" w:color="FFFFFF" w:frame="1"/>
        <w:bottom w:val="none" w:sz="96" w:space="31" w:color="FFFFFF" w:frame="1"/>
        <w:right w:val="none" w:sz="96" w:space="31" w:color="FFFFFF" w:frame="1"/>
      </w:pBdr>
      <w:spacing w:after="240"/>
      <w:jc w:val="both"/>
    </w:pPr>
    <w:rPr>
      <w:color w:val="000000"/>
      <w:sz w:val="24"/>
      <w:szCs w:val="24"/>
      <w:u w:color="000000"/>
      <w:lang w:val="en-GB" w:eastAsia="en-GB"/>
    </w:rPr>
  </w:style>
  <w:style w:type="paragraph" w:customStyle="1" w:styleId="BodyA">
    <w:name w:val="Body A"/>
    <w:rsid w:val="000A7C9B"/>
    <w:pPr>
      <w:pBdr>
        <w:top w:val="nil"/>
        <w:left w:val="nil"/>
        <w:bottom w:val="nil"/>
        <w:right w:val="nil"/>
        <w:between w:val="nil"/>
        <w:bar w:val="nil"/>
      </w:pBdr>
      <w:spacing w:after="240"/>
      <w:jc w:val="both"/>
    </w:pPr>
    <w:rPr>
      <w:color w:val="000000"/>
      <w:sz w:val="24"/>
      <w:szCs w:val="24"/>
      <w:u w:color="000000"/>
      <w:bdr w:val="nil"/>
      <w:lang w:val="en-US" w:eastAsia="en-GB"/>
    </w:rPr>
  </w:style>
  <w:style w:type="character" w:styleId="UnresolvedMention">
    <w:name w:val="Unresolved Mention"/>
    <w:uiPriority w:val="99"/>
    <w:semiHidden/>
    <w:unhideWhenUsed/>
    <w:rsid w:val="008A1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15721">
      <w:bodyDiv w:val="1"/>
      <w:marLeft w:val="0"/>
      <w:marRight w:val="0"/>
      <w:marTop w:val="0"/>
      <w:marBottom w:val="0"/>
      <w:divBdr>
        <w:top w:val="none" w:sz="0" w:space="0" w:color="auto"/>
        <w:left w:val="none" w:sz="0" w:space="0" w:color="auto"/>
        <w:bottom w:val="none" w:sz="0" w:space="0" w:color="auto"/>
        <w:right w:val="none" w:sz="0" w:space="0" w:color="auto"/>
      </w:divBdr>
    </w:div>
    <w:div w:id="255598586">
      <w:bodyDiv w:val="1"/>
      <w:marLeft w:val="0"/>
      <w:marRight w:val="0"/>
      <w:marTop w:val="0"/>
      <w:marBottom w:val="0"/>
      <w:divBdr>
        <w:top w:val="none" w:sz="0" w:space="0" w:color="auto"/>
        <w:left w:val="none" w:sz="0" w:space="0" w:color="auto"/>
        <w:bottom w:val="none" w:sz="0" w:space="0" w:color="auto"/>
        <w:right w:val="none" w:sz="0" w:space="0" w:color="auto"/>
      </w:divBdr>
    </w:div>
    <w:div w:id="486551088">
      <w:bodyDiv w:val="1"/>
      <w:marLeft w:val="0"/>
      <w:marRight w:val="0"/>
      <w:marTop w:val="0"/>
      <w:marBottom w:val="0"/>
      <w:divBdr>
        <w:top w:val="none" w:sz="0" w:space="0" w:color="auto"/>
        <w:left w:val="none" w:sz="0" w:space="0" w:color="auto"/>
        <w:bottom w:val="none" w:sz="0" w:space="0" w:color="auto"/>
        <w:right w:val="none" w:sz="0" w:space="0" w:color="auto"/>
      </w:divBdr>
    </w:div>
    <w:div w:id="538783121">
      <w:bodyDiv w:val="1"/>
      <w:marLeft w:val="0"/>
      <w:marRight w:val="0"/>
      <w:marTop w:val="0"/>
      <w:marBottom w:val="0"/>
      <w:divBdr>
        <w:top w:val="none" w:sz="0" w:space="0" w:color="auto"/>
        <w:left w:val="none" w:sz="0" w:space="0" w:color="auto"/>
        <w:bottom w:val="none" w:sz="0" w:space="0" w:color="auto"/>
        <w:right w:val="none" w:sz="0" w:space="0" w:color="auto"/>
      </w:divBdr>
    </w:div>
    <w:div w:id="916479106">
      <w:bodyDiv w:val="1"/>
      <w:marLeft w:val="0"/>
      <w:marRight w:val="0"/>
      <w:marTop w:val="0"/>
      <w:marBottom w:val="0"/>
      <w:divBdr>
        <w:top w:val="none" w:sz="0" w:space="0" w:color="auto"/>
        <w:left w:val="none" w:sz="0" w:space="0" w:color="auto"/>
        <w:bottom w:val="none" w:sz="0" w:space="0" w:color="auto"/>
        <w:right w:val="none" w:sz="0" w:space="0" w:color="auto"/>
      </w:divBdr>
    </w:div>
    <w:div w:id="1213469407">
      <w:bodyDiv w:val="1"/>
      <w:marLeft w:val="0"/>
      <w:marRight w:val="0"/>
      <w:marTop w:val="0"/>
      <w:marBottom w:val="0"/>
      <w:divBdr>
        <w:top w:val="none" w:sz="0" w:space="0" w:color="auto"/>
        <w:left w:val="none" w:sz="0" w:space="0" w:color="auto"/>
        <w:bottom w:val="none" w:sz="0" w:space="0" w:color="auto"/>
        <w:right w:val="none" w:sz="0" w:space="0" w:color="auto"/>
      </w:divBdr>
    </w:div>
    <w:div w:id="1222447501">
      <w:bodyDiv w:val="1"/>
      <w:marLeft w:val="0"/>
      <w:marRight w:val="0"/>
      <w:marTop w:val="0"/>
      <w:marBottom w:val="0"/>
      <w:divBdr>
        <w:top w:val="none" w:sz="0" w:space="0" w:color="auto"/>
        <w:left w:val="none" w:sz="0" w:space="0" w:color="auto"/>
        <w:bottom w:val="none" w:sz="0" w:space="0" w:color="auto"/>
        <w:right w:val="none" w:sz="0" w:space="0" w:color="auto"/>
      </w:divBdr>
    </w:div>
    <w:div w:id="1513757670">
      <w:bodyDiv w:val="1"/>
      <w:marLeft w:val="0"/>
      <w:marRight w:val="0"/>
      <w:marTop w:val="0"/>
      <w:marBottom w:val="0"/>
      <w:divBdr>
        <w:top w:val="none" w:sz="0" w:space="0" w:color="auto"/>
        <w:left w:val="none" w:sz="0" w:space="0" w:color="auto"/>
        <w:bottom w:val="none" w:sz="0" w:space="0" w:color="auto"/>
        <w:right w:val="none" w:sz="0" w:space="0" w:color="auto"/>
      </w:divBdr>
    </w:div>
    <w:div w:id="1722242203">
      <w:bodyDiv w:val="1"/>
      <w:marLeft w:val="0"/>
      <w:marRight w:val="0"/>
      <w:marTop w:val="0"/>
      <w:marBottom w:val="0"/>
      <w:divBdr>
        <w:top w:val="none" w:sz="0" w:space="0" w:color="auto"/>
        <w:left w:val="none" w:sz="0" w:space="0" w:color="auto"/>
        <w:bottom w:val="none" w:sz="0" w:space="0" w:color="auto"/>
        <w:right w:val="none" w:sz="0" w:space="0" w:color="auto"/>
      </w:divBdr>
    </w:div>
    <w:div w:id="2000883374">
      <w:bodyDiv w:val="1"/>
      <w:marLeft w:val="0"/>
      <w:marRight w:val="0"/>
      <w:marTop w:val="0"/>
      <w:marBottom w:val="0"/>
      <w:divBdr>
        <w:top w:val="none" w:sz="0" w:space="0" w:color="auto"/>
        <w:left w:val="none" w:sz="0" w:space="0" w:color="auto"/>
        <w:bottom w:val="none" w:sz="0" w:space="0" w:color="auto"/>
        <w:right w:val="none" w:sz="0" w:space="0" w:color="auto"/>
      </w:divBdr>
    </w:div>
    <w:div w:id="2135054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eur-lex.europa.eu/eli/reg/2016/679/oj" TargetMode="External"/><Relationship Id="rId3" Type="http://schemas.openxmlformats.org/officeDocument/2006/relationships/hyperlink" Target="https://www.ombudsman.europa.eu/en/doc/correspondence/en/157681" TargetMode="External"/><Relationship Id="rId7" Type="http://schemas.openxmlformats.org/officeDocument/2006/relationships/hyperlink" Target="http://data.europa.eu/eli/reg/2021/1060/oj" TargetMode="External"/><Relationship Id="rId2" Type="http://schemas.openxmlformats.org/officeDocument/2006/relationships/hyperlink" Target="https://www.ombudsman.europa.eu/en/special-report/en/175425" TargetMode="External"/><Relationship Id="rId1" Type="http://schemas.openxmlformats.org/officeDocument/2006/relationships/hyperlink" Target="http://data.europa.eu/eli/reg/2001/1049/art_4/oj" TargetMode="External"/><Relationship Id="rId6" Type="http://schemas.openxmlformats.org/officeDocument/2006/relationships/hyperlink" Target="http://data.europa.eu/eli/reg/2013/883/oj" TargetMode="External"/><Relationship Id="rId5" Type="http://schemas.openxmlformats.org/officeDocument/2006/relationships/hyperlink" Target="https://commission.europa.eu/publications/annual-reports-monitoring-application-eu-law_en" TargetMode="External"/><Relationship Id="rId4" Type="http://schemas.openxmlformats.org/officeDocument/2006/relationships/hyperlink" Target="https://ec.europa.eu/atwork/applying-eu-law/infringements-proceedings/infringement_decisions/?lang_code=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00459C-FDC6-4A45-B856-F1FCD291A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TEL.DOTM</Template>
  <TotalTime>3</TotalTime>
  <Pages>9</Pages>
  <Words>4851</Words>
  <Characters>27802</Characters>
  <Application>Microsoft Office Word</Application>
  <DocSecurity>0</DocSecurity>
  <PresentationFormat>Microsoft Word 8.0b</PresentationFormat>
  <Lines>386</Lines>
  <Paragraphs>35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32618</CharactersWithSpaces>
  <SharedDoc>false</SharedDoc>
  <HLinks>
    <vt:vector size="12" baseType="variant">
      <vt:variant>
        <vt:i4>851996</vt:i4>
      </vt:variant>
      <vt:variant>
        <vt:i4>3</vt:i4>
      </vt:variant>
      <vt:variant>
        <vt:i4>0</vt:i4>
      </vt:variant>
      <vt:variant>
        <vt:i4>5</vt:i4>
      </vt:variant>
      <vt:variant>
        <vt:lpwstr>http://www.europarl.europa.eu/sides/getDoc.do?type=REPORT&amp;mode=XML&amp;reference=A8-2016-0345&amp;language=EN</vt:lpwstr>
      </vt:variant>
      <vt:variant>
        <vt:lpwstr/>
      </vt: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DELBAER Gerda (SG)</cp:lastModifiedBy>
  <cp:revision>5</cp:revision>
  <cp:lastPrinted>2017-11-23T08:27:00Z</cp:lastPrinted>
  <dcterms:created xsi:type="dcterms:W3CDTF">2024-03-07T17:09:00Z</dcterms:created>
  <dcterms:modified xsi:type="dcterms:W3CDTF">2024-06-11T09:53:00Z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2023-03-06T16:57:17Z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fed4ca29-9366-4f08-a0f8-47b4b7a2a3a2</vt:lpwstr>
  </property>
  <property fmtid="{D5CDD505-2E9C-101B-9397-08002B2CF9AE}" pid="19" name="MSIP_Label_6bd9ddd1-4d20-43f6-abfa-fc3c07406f94_ContentBits">
    <vt:lpwstr>0</vt:lpwstr>
  </property>
</Properties>
</file>