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06BFF" w14:textId="77777777" w:rsidR="00DC57C5" w:rsidRPr="00DC57C5" w:rsidRDefault="00DC57C5" w:rsidP="00DC57C5">
      <w:pPr>
        <w:spacing w:after="600"/>
        <w:jc w:val="center"/>
        <w:rPr>
          <w:rFonts w:ascii="Times New Roman" w:hAnsi="Times New Roman"/>
          <w:b/>
        </w:rPr>
      </w:pPr>
      <w:bookmarkStart w:id="0" w:name="PEGA"/>
      <w:r w:rsidRPr="00DC57C5">
        <w:rPr>
          <w:rFonts w:ascii="Times New Roman" w:hAnsi="Times New Roman"/>
          <w:b/>
          <w:bCs/>
        </w:rPr>
        <w:t xml:space="preserve">Follow up to the </w:t>
      </w:r>
      <w:r w:rsidRPr="00DC57C5">
        <w:rPr>
          <w:rFonts w:ascii="Times New Roman" w:hAnsi="Times New Roman"/>
          <w:b/>
        </w:rPr>
        <w:t xml:space="preserve">European Parliament </w:t>
      </w:r>
      <w:r w:rsidRPr="00DC57C5">
        <w:rPr>
          <w:rFonts w:ascii="Times New Roman" w:hAnsi="Times New Roman"/>
          <w:b/>
          <w:szCs w:val="24"/>
        </w:rPr>
        <w:t xml:space="preserve">non-legislative </w:t>
      </w:r>
      <w:r w:rsidRPr="00DC57C5">
        <w:rPr>
          <w:rFonts w:ascii="Times New Roman" w:hAnsi="Times New Roman"/>
          <w:b/>
        </w:rPr>
        <w:t xml:space="preserve">resolution on the lack of legislative follow-up by the Commission to the PEGA </w:t>
      </w:r>
      <w:proofErr w:type="gramStart"/>
      <w:r w:rsidRPr="00DC57C5">
        <w:rPr>
          <w:rFonts w:ascii="Times New Roman" w:hAnsi="Times New Roman"/>
          <w:b/>
        </w:rPr>
        <w:t>resolution</w:t>
      </w:r>
      <w:proofErr w:type="gramEnd"/>
    </w:p>
    <w:bookmarkEnd w:id="0"/>
    <w:p w14:paraId="1BDC17F1" w14:textId="77777777" w:rsidR="00DC57C5" w:rsidRPr="00DC57C5" w:rsidRDefault="00DC57C5" w:rsidP="00DC57C5">
      <w:pPr>
        <w:numPr>
          <w:ilvl w:val="0"/>
          <w:numId w:val="27"/>
        </w:numPr>
        <w:ind w:left="567" w:hanging="567"/>
        <w:rPr>
          <w:rFonts w:ascii="Times New Roman" w:hAnsi="Times New Roman"/>
          <w:b/>
          <w:szCs w:val="24"/>
        </w:rPr>
      </w:pPr>
      <w:r w:rsidRPr="00DC57C5">
        <w:rPr>
          <w:rFonts w:ascii="Times New Roman" w:hAnsi="Times New Roman"/>
          <w:b/>
          <w:szCs w:val="24"/>
        </w:rPr>
        <w:t xml:space="preserve">Resolution tabled pursuant to Rule </w:t>
      </w:r>
      <w:r w:rsidRPr="00DC57C5">
        <w:rPr>
          <w:rFonts w:ascii="Times New Roman" w:hAnsi="Times New Roman"/>
          <w:b/>
          <w:iCs/>
          <w:szCs w:val="24"/>
        </w:rPr>
        <w:t>123(2) of</w:t>
      </w:r>
      <w:r w:rsidRPr="00DC57C5">
        <w:rPr>
          <w:rFonts w:ascii="Times New Roman" w:hAnsi="Times New Roman"/>
          <w:b/>
          <w:szCs w:val="24"/>
        </w:rPr>
        <w:t xml:space="preserve"> the European Parliament's Rules of </w:t>
      </w:r>
      <w:proofErr w:type="gramStart"/>
      <w:r w:rsidRPr="00DC57C5">
        <w:rPr>
          <w:rFonts w:ascii="Times New Roman" w:hAnsi="Times New Roman"/>
          <w:b/>
          <w:szCs w:val="24"/>
        </w:rPr>
        <w:t>procedure</w:t>
      </w:r>
      <w:proofErr w:type="gramEnd"/>
    </w:p>
    <w:p w14:paraId="658F2727" w14:textId="77777777" w:rsidR="00DC57C5" w:rsidRPr="00DC57C5" w:rsidRDefault="00DC57C5" w:rsidP="00DC57C5">
      <w:pPr>
        <w:numPr>
          <w:ilvl w:val="0"/>
          <w:numId w:val="27"/>
        </w:numPr>
        <w:ind w:left="567" w:hanging="567"/>
        <w:rPr>
          <w:rFonts w:ascii="Times New Roman" w:hAnsi="Times New Roman"/>
          <w:szCs w:val="24"/>
        </w:rPr>
      </w:pPr>
      <w:r w:rsidRPr="00DC57C5">
        <w:rPr>
          <w:rFonts w:ascii="Times New Roman" w:hAnsi="Times New Roman"/>
          <w:b/>
          <w:szCs w:val="24"/>
        </w:rPr>
        <w:t>Reference numbers:</w:t>
      </w:r>
      <w:r w:rsidRPr="00DC57C5">
        <w:rPr>
          <w:rFonts w:ascii="Times New Roman" w:hAnsi="Times New Roman"/>
          <w:bCs/>
          <w:szCs w:val="24"/>
        </w:rPr>
        <w:t xml:space="preserve"> </w:t>
      </w:r>
      <w:hyperlink r:id="rId11" w:history="1">
        <w:r w:rsidRPr="00DC57C5">
          <w:rPr>
            <w:rFonts w:ascii="Times New Roman" w:hAnsi="Times New Roman"/>
          </w:rPr>
          <w:t>2023/2988 (RSP)</w:t>
        </w:r>
      </w:hyperlink>
      <w:r w:rsidRPr="00DC57C5">
        <w:rPr>
          <w:rFonts w:ascii="Times New Roman" w:hAnsi="Times New Roman"/>
        </w:rPr>
        <w:t xml:space="preserve"> / B9-0464/2023 / P9_TA(2023)0440</w:t>
      </w:r>
    </w:p>
    <w:p w14:paraId="3FDE029F" w14:textId="77777777" w:rsidR="00DC57C5" w:rsidRPr="00DC57C5" w:rsidRDefault="00DC57C5" w:rsidP="00DC57C5">
      <w:pPr>
        <w:numPr>
          <w:ilvl w:val="0"/>
          <w:numId w:val="27"/>
        </w:numPr>
        <w:ind w:left="567" w:hanging="567"/>
        <w:rPr>
          <w:rFonts w:ascii="Times New Roman" w:hAnsi="Times New Roman"/>
          <w:szCs w:val="24"/>
        </w:rPr>
      </w:pPr>
      <w:r w:rsidRPr="00DC57C5">
        <w:rPr>
          <w:rFonts w:ascii="Times New Roman" w:hAnsi="Times New Roman"/>
          <w:b/>
          <w:szCs w:val="24"/>
        </w:rPr>
        <w:t xml:space="preserve">Date of adoption of the resolution: </w:t>
      </w:r>
      <w:r w:rsidRPr="00DC57C5">
        <w:rPr>
          <w:rFonts w:ascii="Times New Roman" w:hAnsi="Times New Roman"/>
          <w:iCs/>
        </w:rPr>
        <w:t>23 November 2023</w:t>
      </w:r>
    </w:p>
    <w:p w14:paraId="4317667A" w14:textId="77777777" w:rsidR="00DC57C5" w:rsidRPr="00DC57C5" w:rsidRDefault="00DC57C5" w:rsidP="00DC57C5">
      <w:pPr>
        <w:numPr>
          <w:ilvl w:val="0"/>
          <w:numId w:val="27"/>
        </w:numPr>
        <w:ind w:left="567" w:hanging="567"/>
        <w:rPr>
          <w:rFonts w:ascii="Times New Roman" w:hAnsi="Times New Roman"/>
          <w:b/>
        </w:rPr>
      </w:pPr>
      <w:r w:rsidRPr="00DC57C5">
        <w:rPr>
          <w:rFonts w:ascii="Times New Roman" w:hAnsi="Times New Roman"/>
          <w:b/>
        </w:rPr>
        <w:t>Competent Parliamentary Committee:</w:t>
      </w:r>
      <w:r w:rsidRPr="00DC57C5">
        <w:rPr>
          <w:rFonts w:ascii="Times New Roman" w:hAnsi="Times New Roman"/>
          <w:bCs/>
        </w:rPr>
        <w:t xml:space="preserve"> N/A</w:t>
      </w:r>
    </w:p>
    <w:p w14:paraId="73C3328E" w14:textId="77777777" w:rsidR="00DC57C5" w:rsidRPr="00DC57C5" w:rsidRDefault="00DC57C5" w:rsidP="00DC57C5">
      <w:pPr>
        <w:widowControl w:val="0"/>
        <w:numPr>
          <w:ilvl w:val="0"/>
          <w:numId w:val="27"/>
        </w:numPr>
        <w:shd w:val="clear" w:color="auto" w:fill="FFFFFF"/>
        <w:ind w:left="567" w:hanging="567"/>
        <w:rPr>
          <w:rFonts w:ascii="Arial" w:hAnsi="Arial" w:cs="Arial"/>
          <w:color w:val="666666"/>
          <w:sz w:val="18"/>
          <w:szCs w:val="18"/>
        </w:rPr>
      </w:pPr>
      <w:r w:rsidRPr="00DC57C5">
        <w:rPr>
          <w:rFonts w:ascii="Times New Roman" w:hAnsi="Times New Roman"/>
          <w:b/>
        </w:rPr>
        <w:t xml:space="preserve">Brief </w:t>
      </w:r>
      <w:r w:rsidRPr="00DC57C5">
        <w:rPr>
          <w:rFonts w:ascii="Times New Roman" w:hAnsi="Times New Roman"/>
          <w:b/>
          <w:szCs w:val="24"/>
        </w:rPr>
        <w:t>analysis/ assessment of the resolution and requests made in it:</w:t>
      </w:r>
      <w:r w:rsidRPr="00DC57C5">
        <w:rPr>
          <w:rFonts w:ascii="Times New Roman" w:hAnsi="Times New Roman"/>
          <w:szCs w:val="24"/>
        </w:rPr>
        <w:t xml:space="preserve"> </w:t>
      </w:r>
    </w:p>
    <w:p w14:paraId="2277626E" w14:textId="77777777" w:rsidR="00DC57C5" w:rsidRPr="00DC57C5" w:rsidRDefault="00DC57C5" w:rsidP="00DC57C5">
      <w:pPr>
        <w:widowControl w:val="0"/>
        <w:shd w:val="clear" w:color="auto" w:fill="FFFFFF"/>
        <w:spacing w:after="120"/>
        <w:rPr>
          <w:rFonts w:ascii="Arial" w:hAnsi="Arial" w:cs="Arial"/>
          <w:iCs/>
          <w:color w:val="666666"/>
          <w:sz w:val="18"/>
          <w:szCs w:val="18"/>
        </w:rPr>
      </w:pPr>
      <w:r w:rsidRPr="00DC57C5">
        <w:rPr>
          <w:rFonts w:ascii="Times New Roman" w:hAnsi="Times New Roman"/>
          <w:iCs/>
        </w:rPr>
        <w:t xml:space="preserve">The European Parliament strongly regrets the Commission’s lack of enforcement measures and legislative follow-up to Parliament’s recommendation of 15 June 2023 following the investigation of alleged contraventions and maladministration in the application of Union law in relation to the use of Pegasus and equivalent surveillance spyware. The Parliament warns against neglecting the threats posed to people and democracy in the EU stemming from the abuse of spyware and calls on the Commission to present a plan of measures to prevent the abuse of spyware in the EU without undue delay, making full use of all available legislative and non-legislative means provided by the European Treaties. The Parliament also recalls its call on the Commission to assess, by 30 November 2023, the fulfilment of the specific conditions for Cyprus, Greece, Hungary, </w:t>
      </w:r>
      <w:proofErr w:type="gramStart"/>
      <w:r w:rsidRPr="00DC57C5">
        <w:rPr>
          <w:rFonts w:ascii="Times New Roman" w:hAnsi="Times New Roman"/>
          <w:iCs/>
        </w:rPr>
        <w:t>Poland</w:t>
      </w:r>
      <w:proofErr w:type="gramEnd"/>
      <w:r w:rsidRPr="00DC57C5">
        <w:rPr>
          <w:rFonts w:ascii="Times New Roman" w:hAnsi="Times New Roman"/>
          <w:iCs/>
        </w:rPr>
        <w:t xml:space="preserve"> and Spain set out in the recommendation. </w:t>
      </w:r>
    </w:p>
    <w:p w14:paraId="5907DEB7" w14:textId="77777777" w:rsidR="00DC57C5" w:rsidRPr="00DC57C5" w:rsidRDefault="00DC57C5" w:rsidP="00DC57C5">
      <w:pPr>
        <w:widowControl w:val="0"/>
        <w:numPr>
          <w:ilvl w:val="0"/>
          <w:numId w:val="27"/>
        </w:numPr>
        <w:ind w:left="567" w:hanging="567"/>
        <w:rPr>
          <w:rFonts w:ascii="Times New Roman" w:hAnsi="Times New Roman"/>
          <w:b/>
          <w:i/>
          <w:szCs w:val="24"/>
        </w:rPr>
      </w:pPr>
      <w:r w:rsidRPr="00DC57C5">
        <w:rPr>
          <w:rFonts w:ascii="Times New Roman" w:hAnsi="Times New Roman"/>
          <w:b/>
          <w:szCs w:val="24"/>
        </w:rPr>
        <w:t>Response to the requests and overview of the action taken, or intended to be taken, by the Commission:</w:t>
      </w:r>
      <w:r w:rsidRPr="00DC57C5">
        <w:rPr>
          <w:rFonts w:ascii="Times New Roman" w:hAnsi="Times New Roman"/>
          <w:szCs w:val="24"/>
        </w:rPr>
        <w:t xml:space="preserve"> </w:t>
      </w:r>
    </w:p>
    <w:p w14:paraId="1DF7FAA2" w14:textId="77777777" w:rsidR="00DC57C5" w:rsidRPr="00DC57C5" w:rsidRDefault="00DC57C5" w:rsidP="00DC57C5">
      <w:pPr>
        <w:pStyle w:val="ListParagraph"/>
        <w:widowControl w:val="0"/>
        <w:spacing w:after="120" w:line="240" w:lineRule="auto"/>
        <w:ind w:left="0"/>
        <w:contextualSpacing w:val="0"/>
        <w:jc w:val="both"/>
        <w:rPr>
          <w:rFonts w:ascii="Times New Roman" w:hAnsi="Times New Roman"/>
          <w:sz w:val="24"/>
          <w:szCs w:val="24"/>
          <w:lang w:val="en-IE"/>
        </w:rPr>
      </w:pPr>
      <w:r w:rsidRPr="00DC57C5">
        <w:rPr>
          <w:rFonts w:ascii="Times New Roman" w:eastAsia="Times New Roman" w:hAnsi="Times New Roman"/>
          <w:sz w:val="24"/>
          <w:szCs w:val="24"/>
          <w:lang w:val="en-IE" w:eastAsia="en-GB"/>
        </w:rPr>
        <w:t xml:space="preserve">The Commission strongly condemns any illegal access to interpersonal communications and other data stored on users’ devices, whoever the authors of such illegal access are. Any attempt to illegally access the data of citizens, including journalists and political opponents, if confirmed, is unacceptable. Spyware is a particularly intrusive technology which, if deployed under unjustified or disproportionate conditions or misused, strikes against our core values. This is why it </w:t>
      </w:r>
      <w:r w:rsidRPr="00DC57C5">
        <w:rPr>
          <w:rFonts w:ascii="Times New Roman" w:hAnsi="Times New Roman"/>
          <w:sz w:val="24"/>
          <w:szCs w:val="24"/>
          <w:lang w:val="en-IE"/>
        </w:rPr>
        <w:t>is of utmost importance that the internal market rules, and the fundamental rights to privacy and data protection and freedom of expression, as enshrined in EU law, are fully respected all over the Union.</w:t>
      </w:r>
    </w:p>
    <w:p w14:paraId="4D56DEC2" w14:textId="77777777" w:rsidR="00DC57C5" w:rsidRPr="00DC57C5" w:rsidRDefault="00DC57C5" w:rsidP="00DC57C5">
      <w:pPr>
        <w:pStyle w:val="ListParagraph"/>
        <w:widowControl w:val="0"/>
        <w:spacing w:after="120" w:line="240" w:lineRule="auto"/>
        <w:ind w:left="0"/>
        <w:contextualSpacing w:val="0"/>
        <w:jc w:val="both"/>
        <w:rPr>
          <w:rFonts w:ascii="Times New Roman" w:eastAsia="Times New Roman" w:hAnsi="Times New Roman"/>
          <w:sz w:val="24"/>
          <w:szCs w:val="24"/>
          <w:lang w:val="en-IE" w:eastAsia="en-GB"/>
        </w:rPr>
      </w:pPr>
      <w:r w:rsidRPr="00DC57C5">
        <w:rPr>
          <w:rFonts w:ascii="Times New Roman" w:eastAsia="Times New Roman" w:hAnsi="Times New Roman"/>
          <w:sz w:val="24"/>
          <w:szCs w:val="24"/>
          <w:lang w:val="en-IE" w:eastAsia="en-GB"/>
        </w:rPr>
        <w:t xml:space="preserve">The Commission takes note of the Parliament’s call to present a plan of measures to prevent the unlawful use of spyware in the EU. </w:t>
      </w:r>
    </w:p>
    <w:p w14:paraId="18ACA460" w14:textId="77777777" w:rsidR="00DC57C5" w:rsidRPr="00DC57C5" w:rsidRDefault="00DC57C5" w:rsidP="00DC57C5">
      <w:pPr>
        <w:pStyle w:val="ListParagraph"/>
        <w:widowControl w:val="0"/>
        <w:spacing w:after="120" w:line="240" w:lineRule="auto"/>
        <w:ind w:left="0"/>
        <w:contextualSpacing w:val="0"/>
        <w:jc w:val="both"/>
        <w:rPr>
          <w:rFonts w:ascii="Times New Roman" w:eastAsia="Times New Roman" w:hAnsi="Times New Roman"/>
          <w:sz w:val="24"/>
          <w:szCs w:val="24"/>
          <w:lang w:val="en-IE" w:eastAsia="en-GB"/>
        </w:rPr>
      </w:pPr>
      <w:r w:rsidRPr="00DC57C5">
        <w:rPr>
          <w:rFonts w:ascii="Times New Roman" w:eastAsia="Times New Roman" w:hAnsi="Times New Roman"/>
          <w:sz w:val="24"/>
          <w:szCs w:val="24"/>
          <w:lang w:val="en-IE" w:eastAsia="en-GB"/>
        </w:rPr>
        <w:t xml:space="preserve">The Commission recalls that </w:t>
      </w:r>
      <w:r w:rsidRPr="00DC57C5">
        <w:rPr>
          <w:rFonts w:ascii="Times New Roman" w:eastAsia="Times New Roman" w:hAnsi="Times New Roman"/>
          <w:i/>
          <w:iCs/>
          <w:sz w:val="24"/>
          <w:szCs w:val="24"/>
          <w:lang w:val="en-IE" w:eastAsia="en-GB"/>
        </w:rPr>
        <w:t>inter alia</w:t>
      </w:r>
      <w:r w:rsidRPr="00DC57C5">
        <w:rPr>
          <w:rFonts w:ascii="Times New Roman" w:eastAsia="Times New Roman" w:hAnsi="Times New Roman"/>
          <w:sz w:val="24"/>
          <w:szCs w:val="24"/>
          <w:lang w:val="en-IE" w:eastAsia="en-GB"/>
        </w:rPr>
        <w:t xml:space="preserve"> the freedom to provide and receive services guaranteed by Article 56 of the Treaty on the Functioning of the European Union (TFEU) is applicable. Indeed, freedom of service providers such as journalists/newspapers, lawyers, businessmen, in fact any economic operators detaining sensitive or confidential information, may be hindered, if hit by spyware. Given the invasiveness of spyware, such as Pegasus, to the extent that there is an actual or likely cross-border element, it may be considered that the mere possibility of hacking an individuals’ device using spyware is liable to hinder their activity, and thus constitutes a restriction to their freedom to provide services. Restrictions to a fundamental freedom are acceptable only if they are non-discriminatory, justified by an overriding reason of public interest, proportionate and in compliance with legal certainty and the fundamental rights guaranteed by the Charter of Fundamental Rights of the European Union.</w:t>
      </w:r>
    </w:p>
    <w:p w14:paraId="322ABFEE" w14:textId="77777777" w:rsidR="00DC57C5" w:rsidRPr="00DC57C5" w:rsidRDefault="00DC57C5" w:rsidP="00DC57C5">
      <w:pPr>
        <w:pStyle w:val="ListParagraph"/>
        <w:widowControl w:val="0"/>
        <w:spacing w:after="120" w:line="240" w:lineRule="auto"/>
        <w:ind w:left="0"/>
        <w:contextualSpacing w:val="0"/>
        <w:jc w:val="both"/>
        <w:rPr>
          <w:rFonts w:ascii="Times New Roman" w:eastAsia="Times New Roman" w:hAnsi="Times New Roman"/>
          <w:sz w:val="24"/>
          <w:szCs w:val="24"/>
          <w:lang w:val="en-IE" w:eastAsia="en-GB"/>
        </w:rPr>
      </w:pPr>
      <w:r w:rsidRPr="00DC57C5">
        <w:rPr>
          <w:rFonts w:ascii="Times New Roman" w:eastAsia="Times New Roman" w:hAnsi="Times New Roman"/>
          <w:sz w:val="24"/>
          <w:szCs w:val="24"/>
          <w:lang w:val="en-IE" w:eastAsia="en-GB"/>
        </w:rPr>
        <w:t xml:space="preserve">The Commission has sought to reflect the need to address this issue in several recent </w:t>
      </w:r>
      <w:r w:rsidRPr="00DC57C5">
        <w:rPr>
          <w:rFonts w:ascii="Times New Roman" w:eastAsia="Times New Roman" w:hAnsi="Times New Roman"/>
          <w:sz w:val="24"/>
          <w:szCs w:val="24"/>
          <w:lang w:val="en-IE" w:eastAsia="en-GB"/>
        </w:rPr>
        <w:lastRenderedPageBreak/>
        <w:t>legislative proposals. These seek both to address risks that spyware falls into the wrong hands, and to increase protection for the potential victims of spyware.</w:t>
      </w:r>
    </w:p>
    <w:p w14:paraId="2D11EB1F" w14:textId="77777777" w:rsidR="00DC57C5" w:rsidRPr="00DC57C5" w:rsidRDefault="00DC57C5" w:rsidP="00DC57C5">
      <w:pPr>
        <w:pStyle w:val="ListParagraph"/>
        <w:widowControl w:val="0"/>
        <w:spacing w:after="120" w:line="240" w:lineRule="auto"/>
        <w:ind w:left="0"/>
        <w:contextualSpacing w:val="0"/>
        <w:jc w:val="both"/>
        <w:rPr>
          <w:rFonts w:ascii="Times New Roman" w:eastAsia="Times New Roman" w:hAnsi="Times New Roman"/>
          <w:sz w:val="24"/>
          <w:szCs w:val="24"/>
          <w:lang w:val="en-IE" w:eastAsia="en-GB"/>
        </w:rPr>
      </w:pPr>
      <w:r w:rsidRPr="00DC57C5">
        <w:rPr>
          <w:rFonts w:ascii="Times New Roman" w:eastAsia="Times New Roman" w:hAnsi="Times New Roman"/>
          <w:sz w:val="24"/>
          <w:szCs w:val="24"/>
          <w:lang w:val="en-IE" w:eastAsia="en-GB"/>
        </w:rPr>
        <w:t xml:space="preserve">The </w:t>
      </w:r>
      <w:r w:rsidRPr="00DC57C5">
        <w:rPr>
          <w:rFonts w:ascii="Times New Roman" w:eastAsia="Times New Roman" w:hAnsi="Times New Roman"/>
          <w:b/>
          <w:bCs/>
          <w:sz w:val="24"/>
          <w:szCs w:val="24"/>
          <w:lang w:val="en-IE" w:eastAsia="en-GB"/>
        </w:rPr>
        <w:t>European Media Freedom Act</w:t>
      </w:r>
      <w:r w:rsidRPr="00DC57C5">
        <w:rPr>
          <w:rFonts w:ascii="Times New Roman" w:eastAsia="Times New Roman" w:hAnsi="Times New Roman"/>
          <w:sz w:val="24"/>
          <w:szCs w:val="24"/>
          <w:lang w:val="en-IE" w:eastAsia="en-GB"/>
        </w:rPr>
        <w:t>, on which co-legislators reached a provisional political agreement that the Parliament adopted on 13 March 2024, notably introduces robust protections for media service providers, including journalists, against intrusive surveillance software. This includes a general prohibition on the use of such software in Article 4, with narrowly defined exceptions for serious criminal investigations,</w:t>
      </w:r>
      <w:r w:rsidRPr="00DC57C5">
        <w:rPr>
          <w:rFonts w:ascii="Times New Roman" w:hAnsi="Times New Roman"/>
          <w:sz w:val="24"/>
          <w:szCs w:val="24"/>
          <w:lang w:val="en-IE"/>
        </w:rPr>
        <w:t xml:space="preserve"> under strict conditions, including </w:t>
      </w:r>
      <w:r w:rsidRPr="00DC57C5">
        <w:rPr>
          <w:rFonts w:ascii="Times New Roman" w:eastAsia="Times New Roman" w:hAnsi="Times New Roman"/>
          <w:sz w:val="24"/>
          <w:szCs w:val="24"/>
          <w:lang w:val="en-IE" w:eastAsia="en-GB"/>
        </w:rPr>
        <w:t>as a measure of last resort. This significant legislative step demonstrates the Commission’s commitment to safeguarding journalistic freedom but also to upholding the fundamental rights against the misuse of spyware within the EU.</w:t>
      </w:r>
    </w:p>
    <w:p w14:paraId="2375E00D" w14:textId="77777777" w:rsidR="00DC57C5" w:rsidRPr="00DC57C5" w:rsidRDefault="00DC57C5" w:rsidP="00DC57C5">
      <w:pPr>
        <w:pStyle w:val="ListParagraph"/>
        <w:widowControl w:val="0"/>
        <w:spacing w:after="120" w:line="240" w:lineRule="auto"/>
        <w:ind w:left="0"/>
        <w:contextualSpacing w:val="0"/>
        <w:jc w:val="both"/>
        <w:rPr>
          <w:rFonts w:ascii="Times New Roman" w:eastAsia="Times New Roman" w:hAnsi="Times New Roman"/>
          <w:sz w:val="24"/>
          <w:szCs w:val="24"/>
          <w:lang w:val="en-IE" w:eastAsia="en-GB"/>
        </w:rPr>
      </w:pPr>
      <w:r w:rsidRPr="00DC57C5">
        <w:rPr>
          <w:rFonts w:ascii="Times New Roman" w:eastAsia="Times New Roman" w:hAnsi="Times New Roman"/>
          <w:sz w:val="24"/>
          <w:szCs w:val="24"/>
          <w:lang w:val="en-IE" w:eastAsia="en-GB"/>
        </w:rPr>
        <w:t xml:space="preserve">The </w:t>
      </w:r>
      <w:proofErr w:type="spellStart"/>
      <w:r w:rsidRPr="00DC57C5">
        <w:rPr>
          <w:rFonts w:ascii="Times New Roman" w:eastAsia="Times New Roman" w:hAnsi="Times New Roman"/>
          <w:b/>
          <w:bCs/>
          <w:sz w:val="24"/>
          <w:szCs w:val="24"/>
          <w:lang w:val="en-IE" w:eastAsia="en-GB"/>
        </w:rPr>
        <w:t>ePrivacy</w:t>
      </w:r>
      <w:proofErr w:type="spellEnd"/>
      <w:r w:rsidRPr="00DC57C5">
        <w:rPr>
          <w:rFonts w:ascii="Times New Roman" w:eastAsia="Times New Roman" w:hAnsi="Times New Roman"/>
          <w:b/>
          <w:bCs/>
          <w:sz w:val="24"/>
          <w:szCs w:val="24"/>
          <w:lang w:val="en-IE" w:eastAsia="en-GB"/>
        </w:rPr>
        <w:t xml:space="preserve"> Directive</w:t>
      </w:r>
      <w:r w:rsidRPr="00DC57C5">
        <w:rPr>
          <w:rFonts w:ascii="Times New Roman" w:eastAsia="Times New Roman" w:hAnsi="Times New Roman"/>
          <w:sz w:val="24"/>
          <w:szCs w:val="24"/>
          <w:lang w:val="en-IE" w:eastAsia="en-GB"/>
        </w:rPr>
        <w:t xml:space="preserve"> prohibits the interception of communications and the storage of and access to information in the terminal equipment without the prior consent of the user concerned. This directive does not apply to activities of the State authorities in the areas of defence and national security without the involvement of processing activities of private entities. Where the </w:t>
      </w:r>
      <w:proofErr w:type="spellStart"/>
      <w:r w:rsidRPr="00DC57C5">
        <w:rPr>
          <w:rFonts w:ascii="Times New Roman" w:eastAsia="Times New Roman" w:hAnsi="Times New Roman"/>
          <w:sz w:val="24"/>
          <w:szCs w:val="24"/>
          <w:lang w:val="en-IE" w:eastAsia="en-GB"/>
        </w:rPr>
        <w:t>ePrivacy</w:t>
      </w:r>
      <w:proofErr w:type="spellEnd"/>
      <w:r w:rsidRPr="00DC57C5">
        <w:rPr>
          <w:rFonts w:ascii="Times New Roman" w:eastAsia="Times New Roman" w:hAnsi="Times New Roman"/>
          <w:sz w:val="24"/>
          <w:szCs w:val="24"/>
          <w:lang w:val="en-IE" w:eastAsia="en-GB"/>
        </w:rPr>
        <w:t xml:space="preserve"> Directive is not applicable, Member States are in any event bound by the guarantees laid down in other EU law instruments and</w:t>
      </w:r>
      <w:proofErr w:type="gramStart"/>
      <w:r w:rsidRPr="00DC57C5">
        <w:rPr>
          <w:rFonts w:ascii="Times New Roman" w:eastAsia="Times New Roman" w:hAnsi="Times New Roman"/>
          <w:sz w:val="24"/>
          <w:szCs w:val="24"/>
          <w:lang w:val="en-IE" w:eastAsia="en-GB"/>
        </w:rPr>
        <w:t>, as the case may be, by</w:t>
      </w:r>
      <w:proofErr w:type="gramEnd"/>
      <w:r w:rsidRPr="00DC57C5">
        <w:rPr>
          <w:rFonts w:ascii="Times New Roman" w:eastAsia="Times New Roman" w:hAnsi="Times New Roman"/>
          <w:sz w:val="24"/>
          <w:szCs w:val="24"/>
          <w:lang w:val="en-IE" w:eastAsia="en-GB"/>
        </w:rPr>
        <w:t xml:space="preserve"> the European Convention on Human Rights and by their national law.</w:t>
      </w:r>
      <w:bookmarkStart w:id="1" w:name="_Hlk148093431"/>
    </w:p>
    <w:p w14:paraId="7C2119C0" w14:textId="77777777" w:rsidR="00DC57C5" w:rsidRPr="00DC57C5" w:rsidRDefault="00DC57C5" w:rsidP="00DC57C5">
      <w:pPr>
        <w:pStyle w:val="ListParagraph"/>
        <w:widowControl w:val="0"/>
        <w:spacing w:after="120" w:line="240" w:lineRule="auto"/>
        <w:ind w:left="0"/>
        <w:contextualSpacing w:val="0"/>
        <w:jc w:val="both"/>
        <w:rPr>
          <w:rFonts w:ascii="Times New Roman" w:eastAsia="Times New Roman" w:hAnsi="Times New Roman"/>
          <w:sz w:val="24"/>
          <w:szCs w:val="24"/>
          <w:lang w:val="en-IE" w:eastAsia="en-GB"/>
        </w:rPr>
      </w:pPr>
      <w:r w:rsidRPr="00DC57C5">
        <w:rPr>
          <w:rFonts w:ascii="Times New Roman" w:eastAsia="Times New Roman" w:hAnsi="Times New Roman"/>
          <w:sz w:val="24"/>
          <w:szCs w:val="24"/>
          <w:lang w:val="en-IE" w:eastAsia="en-GB"/>
        </w:rPr>
        <w:t xml:space="preserve">In addition, the </w:t>
      </w:r>
      <w:r w:rsidRPr="00DC57C5">
        <w:rPr>
          <w:rFonts w:ascii="Times New Roman" w:eastAsia="Times New Roman" w:hAnsi="Times New Roman"/>
          <w:b/>
          <w:bCs/>
          <w:sz w:val="24"/>
          <w:szCs w:val="24"/>
          <w:lang w:val="en-IE" w:eastAsia="en-GB"/>
        </w:rPr>
        <w:t>Cyber Resilience Act</w:t>
      </w:r>
      <w:r w:rsidRPr="00DC57C5">
        <w:rPr>
          <w:rFonts w:ascii="Times New Roman" w:eastAsia="Times New Roman" w:hAnsi="Times New Roman"/>
          <w:sz w:val="24"/>
          <w:szCs w:val="24"/>
          <w:lang w:val="en-IE" w:eastAsia="en-GB"/>
        </w:rPr>
        <w:t>, on which the co-legislators reached a provisional political agreement that the Parliament adopted on 12 March 2024, aims to establish cybersecurity requirements for market access in the EU of hardware and software and sets out corresponding obligations for the manufacturers of these products. It will therefore further contribute to reducing the attack surface of hardware and software that spyware is trying to exploit.</w:t>
      </w:r>
    </w:p>
    <w:bookmarkEnd w:id="1"/>
    <w:p w14:paraId="1CE5E273" w14:textId="77777777" w:rsidR="00DC57C5" w:rsidRPr="00DC57C5" w:rsidRDefault="00DC57C5" w:rsidP="00DC57C5">
      <w:pPr>
        <w:pStyle w:val="ListParagraph"/>
        <w:widowControl w:val="0"/>
        <w:spacing w:after="120" w:line="240" w:lineRule="auto"/>
        <w:ind w:left="0"/>
        <w:contextualSpacing w:val="0"/>
        <w:jc w:val="both"/>
        <w:rPr>
          <w:rFonts w:ascii="Times New Roman" w:eastAsia="Times New Roman" w:hAnsi="Times New Roman"/>
          <w:sz w:val="24"/>
          <w:szCs w:val="24"/>
          <w:lang w:val="en-IE" w:eastAsia="en-GB"/>
        </w:rPr>
      </w:pPr>
      <w:r w:rsidRPr="00DC57C5">
        <w:rPr>
          <w:rFonts w:ascii="Times New Roman" w:eastAsia="Times New Roman" w:hAnsi="Times New Roman"/>
          <w:sz w:val="24"/>
          <w:szCs w:val="24"/>
          <w:lang w:val="en-IE" w:eastAsia="en-GB"/>
        </w:rPr>
        <w:t xml:space="preserve">The Commission is also continuing its efforts to strengthen export controls on cyber-surveillance items from the EU to third countries through effective implementation of the modernised </w:t>
      </w:r>
      <w:r w:rsidRPr="00DC57C5">
        <w:rPr>
          <w:rFonts w:ascii="Times New Roman" w:eastAsia="Times New Roman" w:hAnsi="Times New Roman"/>
          <w:b/>
          <w:bCs/>
          <w:sz w:val="24"/>
          <w:szCs w:val="24"/>
          <w:lang w:val="en-IE" w:eastAsia="en-GB"/>
        </w:rPr>
        <w:t>Dual-Use Regulation</w:t>
      </w:r>
      <w:r w:rsidRPr="00DC57C5">
        <w:rPr>
          <w:rFonts w:ascii="Times New Roman" w:eastAsia="Times New Roman" w:hAnsi="Times New Roman"/>
          <w:sz w:val="24"/>
          <w:szCs w:val="24"/>
          <w:lang w:val="en-IE" w:eastAsia="en-GB"/>
        </w:rPr>
        <w:t xml:space="preserve"> of 2021. Any such cyber-surveillance items cannot leave the EU territory without an export authorisation (or licence) issued by the competent authority of the Member States.</w:t>
      </w:r>
    </w:p>
    <w:p w14:paraId="3A2D0775" w14:textId="77777777" w:rsidR="00DC57C5" w:rsidRPr="00DC57C5" w:rsidRDefault="00DC57C5" w:rsidP="00DC57C5">
      <w:pPr>
        <w:pStyle w:val="ListParagraph"/>
        <w:widowControl w:val="0"/>
        <w:spacing w:after="120" w:line="240" w:lineRule="auto"/>
        <w:ind w:left="0"/>
        <w:contextualSpacing w:val="0"/>
        <w:jc w:val="both"/>
        <w:rPr>
          <w:rFonts w:ascii="Times New Roman" w:eastAsia="Times New Roman" w:hAnsi="Times New Roman"/>
          <w:sz w:val="24"/>
          <w:szCs w:val="24"/>
          <w:lang w:val="en-IE" w:eastAsia="en-GB"/>
        </w:rPr>
      </w:pPr>
      <w:r w:rsidRPr="00DC57C5">
        <w:rPr>
          <w:rFonts w:ascii="Times New Roman" w:eastAsia="Times New Roman" w:hAnsi="Times New Roman"/>
          <w:sz w:val="24"/>
          <w:szCs w:val="24"/>
          <w:lang w:val="en-IE" w:eastAsia="en-GB"/>
        </w:rPr>
        <w:t xml:space="preserve">The Commission is also working on a </w:t>
      </w:r>
      <w:r w:rsidRPr="00DC57C5">
        <w:rPr>
          <w:rFonts w:ascii="Times New Roman" w:eastAsia="Times New Roman" w:hAnsi="Times New Roman"/>
          <w:b/>
          <w:bCs/>
          <w:sz w:val="24"/>
          <w:szCs w:val="24"/>
          <w:lang w:val="en-IE" w:eastAsia="en-GB"/>
        </w:rPr>
        <w:t>non-legislative initiative clarifying the interplay between EU law, in particular the data protection and national security objectives when using spyware</w:t>
      </w:r>
      <w:r w:rsidRPr="00DC57C5">
        <w:rPr>
          <w:rFonts w:ascii="Times New Roman" w:eastAsia="Times New Roman" w:hAnsi="Times New Roman"/>
          <w:sz w:val="24"/>
          <w:szCs w:val="24"/>
          <w:lang w:val="en-IE" w:eastAsia="en-GB"/>
        </w:rPr>
        <w:t>.</w:t>
      </w:r>
    </w:p>
    <w:p w14:paraId="6E491CC3" w14:textId="76827C4F" w:rsidR="0011437E" w:rsidRPr="00DC57C5" w:rsidRDefault="00DC57C5" w:rsidP="00DC57C5">
      <w:pPr>
        <w:pStyle w:val="ListParagraph"/>
        <w:widowControl w:val="0"/>
        <w:spacing w:after="120" w:line="240" w:lineRule="auto"/>
        <w:ind w:left="0"/>
        <w:contextualSpacing w:val="0"/>
        <w:jc w:val="both"/>
        <w:rPr>
          <w:rFonts w:ascii="Times New Roman" w:hAnsi="Times New Roman"/>
          <w:iCs/>
          <w:sz w:val="32"/>
          <w:szCs w:val="32"/>
          <w:lang w:val="en-IE" w:eastAsia="en-GB"/>
        </w:rPr>
      </w:pPr>
      <w:r w:rsidRPr="00DC57C5">
        <w:rPr>
          <w:rFonts w:ascii="Times New Roman" w:eastAsia="Times New Roman" w:hAnsi="Times New Roman"/>
          <w:sz w:val="24"/>
          <w:szCs w:val="24"/>
          <w:lang w:val="en-IE" w:eastAsia="en-GB"/>
        </w:rPr>
        <w:t>Regarding the Parliament’s call to assess the specific conditions by several Member States, the Commission would like to recall that it has no investigative powers and therefore it cannot assess whether national security was at stake in individual cases. The Commission has no access to the relevant files, and no competence in this area and can only look at the safeguards that are in place at national level. The Commission expects national competent authorities and courts to make full use of their powers to thoroughly investigate allegations regarding any unlawful surveillance activitie</w:t>
      </w:r>
      <w:r w:rsidRPr="00DC57C5">
        <w:rPr>
          <w:rFonts w:ascii="Times New Roman" w:eastAsia="Times New Roman" w:hAnsi="Times New Roman"/>
          <w:sz w:val="24"/>
          <w:szCs w:val="24"/>
          <w:lang w:val="en-IE" w:eastAsia="en-GB"/>
        </w:rPr>
        <w:t>s.</w:t>
      </w:r>
    </w:p>
    <w:sectPr w:rsidR="0011437E" w:rsidRPr="00DC57C5" w:rsidSect="000A07D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C589" w14:textId="77777777" w:rsidR="00AC063A" w:rsidRDefault="00AC063A">
      <w:r>
        <w:separator/>
      </w:r>
    </w:p>
  </w:endnote>
  <w:endnote w:type="continuationSeparator" w:id="0">
    <w:p w14:paraId="224D28F8" w14:textId="77777777" w:rsidR="00AC063A" w:rsidRDefault="00AC063A">
      <w:r>
        <w:continuationSeparator/>
      </w:r>
    </w:p>
  </w:endnote>
  <w:endnote w:type="continuationNotice" w:id="1">
    <w:p w14:paraId="20EAFB0C" w14:textId="77777777" w:rsidR="00AC063A" w:rsidRDefault="00AC06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D4B8"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76087912"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8D2D"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246D">
      <w:rPr>
        <w:rStyle w:val="PageNumber"/>
        <w:noProof/>
      </w:rPr>
      <w:t>2</w:t>
    </w:r>
    <w:r>
      <w:rPr>
        <w:rStyle w:val="PageNumber"/>
      </w:rPr>
      <w:fldChar w:fldCharType="end"/>
    </w:r>
  </w:p>
  <w:p w14:paraId="4205FD78"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70B0" w14:textId="62D058A0" w:rsidR="005E6EC2" w:rsidRPr="00D12F5C" w:rsidRDefault="005E6EC2" w:rsidP="00D1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0C9F" w14:textId="77777777" w:rsidR="00AC063A" w:rsidRDefault="00AC063A">
      <w:r>
        <w:separator/>
      </w:r>
    </w:p>
  </w:footnote>
  <w:footnote w:type="continuationSeparator" w:id="0">
    <w:p w14:paraId="51996079" w14:textId="77777777" w:rsidR="00AC063A" w:rsidRDefault="00AC063A">
      <w:r>
        <w:continuationSeparator/>
      </w:r>
    </w:p>
  </w:footnote>
  <w:footnote w:type="continuationNotice" w:id="1">
    <w:p w14:paraId="7CCCC956" w14:textId="77777777" w:rsidR="00AC063A" w:rsidRDefault="00AC06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0E9B" w14:textId="77777777" w:rsidR="00D12F5C" w:rsidRDefault="00D12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2E63" w14:textId="77777777" w:rsidR="00D12F5C" w:rsidRDefault="00D12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50E6" w14:textId="77777777" w:rsidR="00D12F5C" w:rsidRDefault="00D12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254C7"/>
    <w:multiLevelType w:val="hybridMultilevel"/>
    <w:tmpl w:val="251C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EDE0B92"/>
    <w:multiLevelType w:val="hybridMultilevel"/>
    <w:tmpl w:val="3998048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0"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3"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6F170AF0"/>
    <w:multiLevelType w:val="hybridMultilevel"/>
    <w:tmpl w:val="64383108"/>
    <w:lvl w:ilvl="0" w:tplc="18090001">
      <w:start w:val="1"/>
      <w:numFmt w:val="bullet"/>
      <w:lvlText w:val=""/>
      <w:lvlJc w:val="left"/>
      <w:pPr>
        <w:ind w:left="720" w:hanging="360"/>
      </w:pPr>
      <w:rPr>
        <w:rFonts w:ascii="Symbol" w:hAnsi="Symbol" w:hint="default"/>
      </w:rPr>
    </w:lvl>
    <w:lvl w:ilvl="1" w:tplc="45CAB0E6">
      <w:numFmt w:val="bullet"/>
      <w:lvlText w:val="•"/>
      <w:lvlJc w:val="left"/>
      <w:rPr>
        <w:rFonts w:ascii="Times New Roman" w:eastAsia="Calibri"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5"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503513131">
    <w:abstractNumId w:val="6"/>
  </w:num>
  <w:num w:numId="2" w16cid:durableId="1581329978">
    <w:abstractNumId w:val="1"/>
  </w:num>
  <w:num w:numId="3" w16cid:durableId="107429785">
    <w:abstractNumId w:val="34"/>
  </w:num>
  <w:num w:numId="4" w16cid:durableId="1218474092">
    <w:abstractNumId w:val="12"/>
  </w:num>
  <w:num w:numId="5" w16cid:durableId="1320302990">
    <w:abstractNumId w:val="26"/>
  </w:num>
  <w:num w:numId="6" w16cid:durableId="1284653651">
    <w:abstractNumId w:val="10"/>
  </w:num>
  <w:num w:numId="7" w16cid:durableId="1519466209">
    <w:abstractNumId w:val="5"/>
  </w:num>
  <w:num w:numId="8" w16cid:durableId="1797210045">
    <w:abstractNumId w:val="16"/>
  </w:num>
  <w:num w:numId="9" w16cid:durableId="330064104">
    <w:abstractNumId w:val="33"/>
  </w:num>
  <w:num w:numId="10" w16cid:durableId="1229804744">
    <w:abstractNumId w:val="22"/>
  </w:num>
  <w:num w:numId="11" w16cid:durableId="397368532">
    <w:abstractNumId w:val="24"/>
  </w:num>
  <w:num w:numId="12" w16cid:durableId="947158286">
    <w:abstractNumId w:val="11"/>
  </w:num>
  <w:num w:numId="13" w16cid:durableId="1672677768">
    <w:abstractNumId w:val="17"/>
  </w:num>
  <w:num w:numId="14" w16cid:durableId="494146962">
    <w:abstractNumId w:val="29"/>
  </w:num>
  <w:num w:numId="15" w16cid:durableId="1531450143">
    <w:abstractNumId w:val="15"/>
  </w:num>
  <w:num w:numId="16" w16cid:durableId="48307307">
    <w:abstractNumId w:val="35"/>
  </w:num>
  <w:num w:numId="17" w16cid:durableId="1385985078">
    <w:abstractNumId w:val="32"/>
  </w:num>
  <w:num w:numId="18" w16cid:durableId="1550143719">
    <w:abstractNumId w:val="20"/>
  </w:num>
  <w:num w:numId="19" w16cid:durableId="1237397519">
    <w:abstractNumId w:val="21"/>
  </w:num>
  <w:num w:numId="20" w16cid:durableId="606815826">
    <w:abstractNumId w:val="25"/>
  </w:num>
  <w:num w:numId="21" w16cid:durableId="1767070670">
    <w:abstractNumId w:val="3"/>
  </w:num>
  <w:num w:numId="22" w16cid:durableId="1316908632">
    <w:abstractNumId w:val="4"/>
  </w:num>
  <w:num w:numId="23" w16cid:durableId="645208606">
    <w:abstractNumId w:val="19"/>
  </w:num>
  <w:num w:numId="24" w16cid:durableId="531840628">
    <w:abstractNumId w:val="30"/>
  </w:num>
  <w:num w:numId="25" w16cid:durableId="432045801">
    <w:abstractNumId w:val="9"/>
  </w:num>
  <w:num w:numId="26" w16cid:durableId="631130211">
    <w:abstractNumId w:val="31"/>
  </w:num>
  <w:num w:numId="27" w16cid:durableId="493187839">
    <w:abstractNumId w:val="8"/>
  </w:num>
  <w:num w:numId="28" w16cid:durableId="2000502042">
    <w:abstractNumId w:val="2"/>
  </w:num>
  <w:num w:numId="29" w16cid:durableId="566305266">
    <w:abstractNumId w:val="13"/>
  </w:num>
  <w:num w:numId="30" w16cid:durableId="8530291">
    <w:abstractNumId w:val="23"/>
  </w:num>
  <w:num w:numId="31" w16cid:durableId="803233711">
    <w:abstractNumId w:val="34"/>
  </w:num>
  <w:num w:numId="32" w16cid:durableId="1101612165">
    <w:abstractNumId w:val="28"/>
  </w:num>
  <w:num w:numId="33" w16cid:durableId="935985851">
    <w:abstractNumId w:val="14"/>
  </w:num>
  <w:num w:numId="34" w16cid:durableId="2075929381">
    <w:abstractNumId w:val="27"/>
  </w:num>
  <w:num w:numId="35" w16cid:durableId="1724252465">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4AEF"/>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B66"/>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262"/>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37E"/>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2D42"/>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042"/>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0F41"/>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DE8"/>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7B9"/>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063"/>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44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5528"/>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3D9"/>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4B76"/>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DCC"/>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37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2F"/>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2EB"/>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5E"/>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311"/>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97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57B"/>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B10"/>
    <w:rsid w:val="00430012"/>
    <w:rsid w:val="004302B7"/>
    <w:rsid w:val="0043054F"/>
    <w:rsid w:val="00430567"/>
    <w:rsid w:val="004308E5"/>
    <w:rsid w:val="004309E8"/>
    <w:rsid w:val="00430DFD"/>
    <w:rsid w:val="00431096"/>
    <w:rsid w:val="004322D4"/>
    <w:rsid w:val="00432570"/>
    <w:rsid w:val="0043269D"/>
    <w:rsid w:val="004328D3"/>
    <w:rsid w:val="00432A76"/>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0D7A"/>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87C"/>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2F78"/>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C6E"/>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0A"/>
    <w:rsid w:val="00582E7D"/>
    <w:rsid w:val="00582E8D"/>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87E93"/>
    <w:rsid w:val="00590248"/>
    <w:rsid w:val="005903FA"/>
    <w:rsid w:val="005906DF"/>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5F3"/>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C5A"/>
    <w:rsid w:val="005D10A9"/>
    <w:rsid w:val="005D1144"/>
    <w:rsid w:val="005D19AC"/>
    <w:rsid w:val="005D1C5B"/>
    <w:rsid w:val="005D1EF4"/>
    <w:rsid w:val="005D1F43"/>
    <w:rsid w:val="005D2072"/>
    <w:rsid w:val="005D221A"/>
    <w:rsid w:val="005D2333"/>
    <w:rsid w:val="005D234F"/>
    <w:rsid w:val="005D246D"/>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0DC0"/>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18"/>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CD4"/>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E5B"/>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627"/>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249"/>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0CA"/>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EE1"/>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71"/>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7FF"/>
    <w:rsid w:val="00723859"/>
    <w:rsid w:val="00723D05"/>
    <w:rsid w:val="00723D0A"/>
    <w:rsid w:val="00723F44"/>
    <w:rsid w:val="00724316"/>
    <w:rsid w:val="007249C7"/>
    <w:rsid w:val="00724C5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38"/>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A52"/>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4F3A"/>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580"/>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A6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1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8B8"/>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95C"/>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C79"/>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8A2"/>
    <w:rsid w:val="007D0C47"/>
    <w:rsid w:val="007D0D50"/>
    <w:rsid w:val="007D0DD4"/>
    <w:rsid w:val="007D0EF7"/>
    <w:rsid w:val="007D16FF"/>
    <w:rsid w:val="007D1A42"/>
    <w:rsid w:val="007D1A5A"/>
    <w:rsid w:val="007D1AFC"/>
    <w:rsid w:val="007D1DE9"/>
    <w:rsid w:val="007D213D"/>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7F"/>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433"/>
    <w:rsid w:val="008B1813"/>
    <w:rsid w:val="008B1862"/>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18A"/>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9FF"/>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29"/>
    <w:rsid w:val="008F3484"/>
    <w:rsid w:val="008F389C"/>
    <w:rsid w:val="008F4055"/>
    <w:rsid w:val="008F4547"/>
    <w:rsid w:val="008F45B6"/>
    <w:rsid w:val="008F45F2"/>
    <w:rsid w:val="008F46DA"/>
    <w:rsid w:val="008F4920"/>
    <w:rsid w:val="008F4C85"/>
    <w:rsid w:val="008F4E07"/>
    <w:rsid w:val="008F4F30"/>
    <w:rsid w:val="008F4F8E"/>
    <w:rsid w:val="008F55E8"/>
    <w:rsid w:val="008F56EA"/>
    <w:rsid w:val="008F5776"/>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1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0FD6"/>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581"/>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7AC"/>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C0"/>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5ED"/>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165"/>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33"/>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6F4D"/>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972"/>
    <w:rsid w:val="009F2E5F"/>
    <w:rsid w:val="009F2F2C"/>
    <w:rsid w:val="009F3077"/>
    <w:rsid w:val="009F30A9"/>
    <w:rsid w:val="009F3581"/>
    <w:rsid w:val="009F3A71"/>
    <w:rsid w:val="009F3AA4"/>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1DF"/>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900"/>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1B3"/>
    <w:rsid w:val="00A4025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432"/>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4FAD"/>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102"/>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3A"/>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A3E"/>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8F3"/>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248"/>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1A6"/>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5A2"/>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1BF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BC0"/>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4CA"/>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9C0"/>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D79C8"/>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6CEE"/>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F7A"/>
    <w:rsid w:val="00C42042"/>
    <w:rsid w:val="00C423DB"/>
    <w:rsid w:val="00C4265D"/>
    <w:rsid w:val="00C42674"/>
    <w:rsid w:val="00C42789"/>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57FD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2DD"/>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7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5F8"/>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265"/>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54B"/>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2E07"/>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2F5C"/>
    <w:rsid w:val="00D133EF"/>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0FEB"/>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4"/>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0B6"/>
    <w:rsid w:val="00D615AD"/>
    <w:rsid w:val="00D617CC"/>
    <w:rsid w:val="00D6183D"/>
    <w:rsid w:val="00D61A02"/>
    <w:rsid w:val="00D62208"/>
    <w:rsid w:val="00D6243E"/>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166"/>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567"/>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4F1D"/>
    <w:rsid w:val="00DC511F"/>
    <w:rsid w:val="00DC551C"/>
    <w:rsid w:val="00DC57C5"/>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C73"/>
    <w:rsid w:val="00DC7FD6"/>
    <w:rsid w:val="00DD0135"/>
    <w:rsid w:val="00DD0249"/>
    <w:rsid w:val="00DD042F"/>
    <w:rsid w:val="00DD05DC"/>
    <w:rsid w:val="00DD061A"/>
    <w:rsid w:val="00DD0948"/>
    <w:rsid w:val="00DD0A7A"/>
    <w:rsid w:val="00DD0B37"/>
    <w:rsid w:val="00DD0BCA"/>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972"/>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46"/>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DE9"/>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CC7"/>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189A"/>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912"/>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5B49"/>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37A"/>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2FDD"/>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C5A"/>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0E0"/>
    <w:rsid w:val="00F2357D"/>
    <w:rsid w:val="00F23605"/>
    <w:rsid w:val="00F23DB4"/>
    <w:rsid w:val="00F23DC8"/>
    <w:rsid w:val="00F23F9F"/>
    <w:rsid w:val="00F2424F"/>
    <w:rsid w:val="00F2443F"/>
    <w:rsid w:val="00F24580"/>
    <w:rsid w:val="00F24607"/>
    <w:rsid w:val="00F247D4"/>
    <w:rsid w:val="00F24A48"/>
    <w:rsid w:val="00F24A59"/>
    <w:rsid w:val="00F24C98"/>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298"/>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528"/>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32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C8"/>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087"/>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3BE"/>
    <w:rsid w:val="00FF6664"/>
    <w:rsid w:val="00FF6832"/>
    <w:rsid w:val="00FF6A9D"/>
    <w:rsid w:val="00FF6BB9"/>
    <w:rsid w:val="00FF6F78"/>
    <w:rsid w:val="00FF6FBA"/>
    <w:rsid w:val="00FF7211"/>
    <w:rsid w:val="00FF7E98"/>
    <w:rsid w:val="041B6E35"/>
    <w:rsid w:val="05064580"/>
    <w:rsid w:val="07905CA9"/>
    <w:rsid w:val="09194772"/>
    <w:rsid w:val="0B1623C5"/>
    <w:rsid w:val="0B64D237"/>
    <w:rsid w:val="0E9C72F9"/>
    <w:rsid w:val="0F8EE437"/>
    <w:rsid w:val="10FF2556"/>
    <w:rsid w:val="113EC97E"/>
    <w:rsid w:val="116E7A4A"/>
    <w:rsid w:val="11904413"/>
    <w:rsid w:val="152974E3"/>
    <w:rsid w:val="16A3A7A7"/>
    <w:rsid w:val="172660E5"/>
    <w:rsid w:val="19EFCCF1"/>
    <w:rsid w:val="1B714DDA"/>
    <w:rsid w:val="2064DAB9"/>
    <w:rsid w:val="2A009A8C"/>
    <w:rsid w:val="2D129B20"/>
    <w:rsid w:val="2D5F44DF"/>
    <w:rsid w:val="30D95A77"/>
    <w:rsid w:val="32A31680"/>
    <w:rsid w:val="348F0043"/>
    <w:rsid w:val="3673C2A7"/>
    <w:rsid w:val="368CAA4B"/>
    <w:rsid w:val="3889019E"/>
    <w:rsid w:val="3C4C53FC"/>
    <w:rsid w:val="3CF4797D"/>
    <w:rsid w:val="3E770883"/>
    <w:rsid w:val="41609A70"/>
    <w:rsid w:val="45AC24AD"/>
    <w:rsid w:val="46022F35"/>
    <w:rsid w:val="4699EFDF"/>
    <w:rsid w:val="474B924E"/>
    <w:rsid w:val="47E4FD22"/>
    <w:rsid w:val="525A4024"/>
    <w:rsid w:val="54B64C82"/>
    <w:rsid w:val="5571A590"/>
    <w:rsid w:val="5743CD1E"/>
    <w:rsid w:val="586509CD"/>
    <w:rsid w:val="5950B808"/>
    <w:rsid w:val="5DB1DFB2"/>
    <w:rsid w:val="5E0FF36B"/>
    <w:rsid w:val="5E47A368"/>
    <w:rsid w:val="5EF2B922"/>
    <w:rsid w:val="60F84DAE"/>
    <w:rsid w:val="61FDB2A1"/>
    <w:rsid w:val="632BBA4F"/>
    <w:rsid w:val="63F45685"/>
    <w:rsid w:val="7307CD8B"/>
    <w:rsid w:val="733BAF01"/>
    <w:rsid w:val="746CBBED"/>
    <w:rsid w:val="74D77F62"/>
    <w:rsid w:val="780F2024"/>
    <w:rsid w:val="78EA31CD"/>
    <w:rsid w:val="7C59825C"/>
    <w:rsid w:val="7E4F94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83784"/>
  <w15:docId w15:val="{79B46EBE-4451-4136-803E-A5F8E9B7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EE1"/>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Fiche List Paragraph,OBC Bullet,Dot pt,F5 List Paragraph,List Paragraph1,No Spacing1,List Paragraph Char Char Char,Indicator Text,Numbered Para 1,Bullet 1,Bullet Points,MAIN CONTENT,List Paragraph11,2,Bullet St,L,Conclusion de partie,EC"/>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customStyle="1" w:styleId="ListParagraphChar">
    <w:name w:val="List Paragraph Char"/>
    <w:aliases w:val="Fiche List Paragraph Char,OBC Bullet Char,Dot pt Char,F5 List Paragraph Char,List Paragraph1 Char,No Spacing1 Char,List Paragraph Char Char Char Char,Indicator Text Char,Numbered Para 1 Char,Bullet 1 Char,Bullet Points Char,2 Char"/>
    <w:link w:val="ListParagraph"/>
    <w:uiPriority w:val="34"/>
    <w:qFormat/>
    <w:locked/>
    <w:rsid w:val="0011437E"/>
    <w:rPr>
      <w:rFonts w:ascii="Calibri" w:eastAsia="Calibri" w:hAnsi="Calibri"/>
      <w:sz w:val="22"/>
      <w:szCs w:val="22"/>
      <w:lang w:val="en-US" w:eastAsia="en-US"/>
    </w:rPr>
  </w:style>
  <w:style w:type="character" w:customStyle="1" w:styleId="normaltextrun">
    <w:name w:val="normaltextrun"/>
    <w:basedOn w:val="DefaultParagraphFont"/>
    <w:rsid w:val="0011437E"/>
  </w:style>
  <w:style w:type="character" w:customStyle="1" w:styleId="eop">
    <w:name w:val="eop"/>
    <w:basedOn w:val="DefaultParagraphFont"/>
    <w:rsid w:val="0011437E"/>
  </w:style>
  <w:style w:type="character" w:styleId="Mention">
    <w:name w:val="Mention"/>
    <w:uiPriority w:val="99"/>
    <w:unhideWhenUsed/>
    <w:rsid w:val="00CC554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2531">
      <w:bodyDiv w:val="1"/>
      <w:marLeft w:val="0"/>
      <w:marRight w:val="0"/>
      <w:marTop w:val="0"/>
      <w:marBottom w:val="0"/>
      <w:divBdr>
        <w:top w:val="none" w:sz="0" w:space="0" w:color="auto"/>
        <w:left w:val="none" w:sz="0" w:space="0" w:color="auto"/>
        <w:bottom w:val="none" w:sz="0" w:space="0" w:color="auto"/>
        <w:right w:val="none" w:sz="0" w:space="0" w:color="auto"/>
      </w:divBdr>
    </w:div>
    <w:div w:id="1321041887">
      <w:bodyDiv w:val="1"/>
      <w:marLeft w:val="0"/>
      <w:marRight w:val="0"/>
      <w:marTop w:val="0"/>
      <w:marBottom w:val="0"/>
      <w:divBdr>
        <w:top w:val="none" w:sz="0" w:space="0" w:color="auto"/>
        <w:left w:val="none" w:sz="0" w:space="0" w:color="auto"/>
        <w:bottom w:val="none" w:sz="0" w:space="0" w:color="auto"/>
        <w:right w:val="none" w:sz="0" w:space="0" w:color="auto"/>
      </w:divBdr>
      <w:divsChild>
        <w:div w:id="94403530">
          <w:marLeft w:val="0"/>
          <w:marRight w:val="0"/>
          <w:marTop w:val="0"/>
          <w:marBottom w:val="0"/>
          <w:divBdr>
            <w:top w:val="none" w:sz="0" w:space="0" w:color="auto"/>
            <w:left w:val="none" w:sz="0" w:space="0" w:color="auto"/>
            <w:bottom w:val="none" w:sz="0" w:space="0" w:color="auto"/>
            <w:right w:val="none" w:sz="0" w:space="0" w:color="auto"/>
          </w:divBdr>
          <w:divsChild>
            <w:div w:id="878905294">
              <w:marLeft w:val="0"/>
              <w:marRight w:val="0"/>
              <w:marTop w:val="0"/>
              <w:marBottom w:val="0"/>
              <w:divBdr>
                <w:top w:val="none" w:sz="0" w:space="0" w:color="auto"/>
                <w:left w:val="none" w:sz="0" w:space="0" w:color="auto"/>
                <w:bottom w:val="none" w:sz="0" w:space="0" w:color="auto"/>
                <w:right w:val="none" w:sz="0" w:space="0" w:color="auto"/>
              </w:divBdr>
              <w:divsChild>
                <w:div w:id="998581742">
                  <w:marLeft w:val="0"/>
                  <w:marRight w:val="0"/>
                  <w:marTop w:val="0"/>
                  <w:marBottom w:val="0"/>
                  <w:divBdr>
                    <w:top w:val="none" w:sz="0" w:space="0" w:color="auto"/>
                    <w:left w:val="none" w:sz="0" w:space="0" w:color="auto"/>
                    <w:bottom w:val="none" w:sz="0" w:space="0" w:color="auto"/>
                    <w:right w:val="none" w:sz="0" w:space="0" w:color="auto"/>
                  </w:divBdr>
                  <w:divsChild>
                    <w:div w:id="696656263">
                      <w:marLeft w:val="0"/>
                      <w:marRight w:val="0"/>
                      <w:marTop w:val="0"/>
                      <w:marBottom w:val="0"/>
                      <w:divBdr>
                        <w:top w:val="none" w:sz="0" w:space="0" w:color="auto"/>
                        <w:left w:val="none" w:sz="0" w:space="0" w:color="auto"/>
                        <w:bottom w:val="none" w:sz="0" w:space="0" w:color="auto"/>
                        <w:right w:val="none" w:sz="0" w:space="0" w:color="auto"/>
                      </w:divBdr>
                    </w:div>
                    <w:div w:id="1397437201">
                      <w:marLeft w:val="0"/>
                      <w:marRight w:val="0"/>
                      <w:marTop w:val="0"/>
                      <w:marBottom w:val="0"/>
                      <w:divBdr>
                        <w:top w:val="none" w:sz="0" w:space="0" w:color="auto"/>
                        <w:left w:val="none" w:sz="0" w:space="0" w:color="auto"/>
                        <w:bottom w:val="none" w:sz="0" w:space="0" w:color="auto"/>
                        <w:right w:val="none" w:sz="0" w:space="0" w:color="auto"/>
                      </w:divBdr>
                    </w:div>
                    <w:div w:id="20088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6261">
          <w:marLeft w:val="0"/>
          <w:marRight w:val="0"/>
          <w:marTop w:val="0"/>
          <w:marBottom w:val="0"/>
          <w:divBdr>
            <w:top w:val="none" w:sz="0" w:space="0" w:color="auto"/>
            <w:left w:val="none" w:sz="0" w:space="0" w:color="auto"/>
            <w:bottom w:val="none" w:sz="0" w:space="0" w:color="auto"/>
            <w:right w:val="none" w:sz="0" w:space="0" w:color="auto"/>
          </w:divBdr>
          <w:divsChild>
            <w:div w:id="1939292977">
              <w:marLeft w:val="0"/>
              <w:marRight w:val="0"/>
              <w:marTop w:val="0"/>
              <w:marBottom w:val="0"/>
              <w:divBdr>
                <w:top w:val="none" w:sz="0" w:space="0" w:color="auto"/>
                <w:left w:val="none" w:sz="0" w:space="0" w:color="auto"/>
                <w:bottom w:val="none" w:sz="0" w:space="0" w:color="auto"/>
                <w:right w:val="none" w:sz="0" w:space="0" w:color="auto"/>
              </w:divBdr>
              <w:divsChild>
                <w:div w:id="90903456">
                  <w:marLeft w:val="0"/>
                  <w:marRight w:val="0"/>
                  <w:marTop w:val="0"/>
                  <w:marBottom w:val="0"/>
                  <w:divBdr>
                    <w:top w:val="none" w:sz="0" w:space="0" w:color="auto"/>
                    <w:left w:val="none" w:sz="0" w:space="0" w:color="auto"/>
                    <w:bottom w:val="none" w:sz="0" w:space="0" w:color="auto"/>
                    <w:right w:val="none" w:sz="0" w:space="0" w:color="auto"/>
                  </w:divBdr>
                  <w:divsChild>
                    <w:div w:id="1254127628">
                      <w:marLeft w:val="0"/>
                      <w:marRight w:val="0"/>
                      <w:marTop w:val="0"/>
                      <w:marBottom w:val="0"/>
                      <w:divBdr>
                        <w:top w:val="none" w:sz="0" w:space="0" w:color="auto"/>
                        <w:left w:val="none" w:sz="0" w:space="0" w:color="auto"/>
                        <w:bottom w:val="none" w:sz="0" w:space="0" w:color="auto"/>
                        <w:right w:val="none" w:sz="0" w:space="0" w:color="auto"/>
                      </w:divBdr>
                      <w:divsChild>
                        <w:div w:id="1769695978">
                          <w:marLeft w:val="0"/>
                          <w:marRight w:val="0"/>
                          <w:marTop w:val="0"/>
                          <w:marBottom w:val="0"/>
                          <w:divBdr>
                            <w:top w:val="none" w:sz="0" w:space="0" w:color="auto"/>
                            <w:left w:val="none" w:sz="0" w:space="0" w:color="auto"/>
                            <w:bottom w:val="none" w:sz="0" w:space="0" w:color="auto"/>
                            <w:right w:val="none" w:sz="0" w:space="0" w:color="auto"/>
                          </w:divBdr>
                          <w:divsChild>
                            <w:div w:id="846988564">
                              <w:marLeft w:val="0"/>
                              <w:marRight w:val="0"/>
                              <w:marTop w:val="0"/>
                              <w:marBottom w:val="0"/>
                              <w:divBdr>
                                <w:top w:val="none" w:sz="0" w:space="0" w:color="auto"/>
                                <w:left w:val="none" w:sz="0" w:space="0" w:color="auto"/>
                                <w:bottom w:val="none" w:sz="0" w:space="0" w:color="auto"/>
                                <w:right w:val="none" w:sz="0" w:space="0" w:color="auto"/>
                              </w:divBdr>
                              <w:divsChild>
                                <w:div w:id="1495142155">
                                  <w:marLeft w:val="0"/>
                                  <w:marRight w:val="0"/>
                                  <w:marTop w:val="0"/>
                                  <w:marBottom w:val="0"/>
                                  <w:divBdr>
                                    <w:top w:val="dotted" w:sz="12" w:space="0" w:color="D1D3D4"/>
                                    <w:left w:val="none" w:sz="0" w:space="0" w:color="auto"/>
                                    <w:bottom w:val="dotted" w:sz="12" w:space="0" w:color="D1D3D4"/>
                                    <w:right w:val="none" w:sz="0" w:space="0" w:color="auto"/>
                                  </w:divBdr>
                                  <w:divsChild>
                                    <w:div w:id="130049697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il.secure.europarl.europa.eu/oeil/popups/ficheprocedure.do?lang=en&amp;reference=2023/2988(RS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c290d2-229e-4cf2-89e9-ae3502aa31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4C29923270B94993DC62B3F6AD9091" ma:contentTypeVersion="7" ma:contentTypeDescription="Create a new document." ma:contentTypeScope="" ma:versionID="d5b0a217d7f786e165b81ab467f19c79">
  <xsd:schema xmlns:xsd="http://www.w3.org/2001/XMLSchema" xmlns:xs="http://www.w3.org/2001/XMLSchema" xmlns:p="http://schemas.microsoft.com/office/2006/metadata/properties" xmlns:ns3="4ac290d2-229e-4cf2-89e9-ae3502aa31f4" xmlns:ns4="1c1988d3-e7f0-4262-8604-a1d881089e2e" targetNamespace="http://schemas.microsoft.com/office/2006/metadata/properties" ma:root="true" ma:fieldsID="23fcd4fabda68176d85958e469a9928c" ns3:_="" ns4:_="">
    <xsd:import namespace="4ac290d2-229e-4cf2-89e9-ae3502aa31f4"/>
    <xsd:import namespace="1c1988d3-e7f0-4262-8604-a1d881089e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290d2-229e-4cf2-89e9-ae3502aa3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988d3-e7f0-4262-8604-a1d881089e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3BFC6-9DBC-4E04-9870-E567E30BE072}">
  <ds:schemaRefs>
    <ds:schemaRef ds:uri="http://schemas.microsoft.com/office/2006/metadata/properties"/>
    <ds:schemaRef ds:uri="http://schemas.microsoft.com/office/infopath/2007/PartnerControls"/>
    <ds:schemaRef ds:uri="4ac290d2-229e-4cf2-89e9-ae3502aa31f4"/>
  </ds:schemaRefs>
</ds:datastoreItem>
</file>

<file path=customXml/itemProps2.xml><?xml version="1.0" encoding="utf-8"?>
<ds:datastoreItem xmlns:ds="http://schemas.openxmlformats.org/officeDocument/2006/customXml" ds:itemID="{9C60957E-5A58-4EE9-969E-ED32314C7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290d2-229e-4cf2-89e9-ae3502aa31f4"/>
    <ds:schemaRef ds:uri="1c1988d3-e7f0-4262-8604-a1d881089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59425-B64B-438E-BF7F-B63175A47CAA}">
  <ds:schemaRefs>
    <ds:schemaRef ds:uri="http://schemas.openxmlformats.org/officeDocument/2006/bibliography"/>
  </ds:schemaRefs>
</ds:datastoreItem>
</file>

<file path=customXml/itemProps4.xml><?xml version="1.0" encoding="utf-8"?>
<ds:datastoreItem xmlns:ds="http://schemas.openxmlformats.org/officeDocument/2006/customXml" ds:itemID="{C0142358-6ADA-4372-8F49-4850C3BF6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TEL</Template>
  <TotalTime>1</TotalTime>
  <Pages>2</Pages>
  <Words>996</Words>
  <Characters>5591</Characters>
  <Application>Microsoft Office Word</Application>
  <DocSecurity>0</DocSecurity>
  <PresentationFormat>Microsoft Word 8.0b</PresentationFormat>
  <Lines>83</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ALMEIDA Maria Jose (SG)</cp:lastModifiedBy>
  <cp:revision>3</cp:revision>
  <cp:lastPrinted>2017-11-25T14:32:00Z</cp:lastPrinted>
  <dcterms:created xsi:type="dcterms:W3CDTF">2024-03-11T12:49:00Z</dcterms:created>
  <dcterms:modified xsi:type="dcterms:W3CDTF">2024-03-14T09:21:00Z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2023-12-13T15:10:16Z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1763fc35-ec49-47b2-b814-a2dc44f75dfd</vt:lpwstr>
  </property>
  <property fmtid="{D5CDD505-2E9C-101B-9397-08002B2CF9AE}" pid="19" name="MSIP_Label_6bd9ddd1-4d20-43f6-abfa-fc3c07406f94_ContentBits">
    <vt:lpwstr>0</vt:lpwstr>
  </property>
  <property fmtid="{D5CDD505-2E9C-101B-9397-08002B2CF9AE}" pid="20" name="ContentTypeId">
    <vt:lpwstr>0x0101003A4C29923270B94993DC62B3F6AD9091</vt:lpwstr>
  </property>
</Properties>
</file>