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6410" w14:textId="77777777" w:rsidR="001845DE" w:rsidRPr="00AD0DE7" w:rsidRDefault="001845DE" w:rsidP="001845DE">
      <w:pPr>
        <w:spacing w:after="600"/>
        <w:jc w:val="center"/>
        <w:rPr>
          <w:rFonts w:ascii="Times New Roman" w:hAnsi="Times New Roman"/>
          <w:b/>
          <w:iCs/>
          <w:szCs w:val="24"/>
        </w:rPr>
      </w:pPr>
      <w:bookmarkStart w:id="0" w:name="Elections"/>
      <w:r w:rsidRPr="00AD0DE7">
        <w:rPr>
          <w:rFonts w:ascii="Times New Roman" w:hAnsi="Times New Roman"/>
          <w:b/>
          <w:bCs/>
          <w:iCs/>
          <w:szCs w:val="24"/>
        </w:rPr>
        <w:t xml:space="preserve">Follow up to the </w:t>
      </w:r>
      <w:r w:rsidRPr="00AD0DE7">
        <w:rPr>
          <w:rFonts w:ascii="Times New Roman" w:hAnsi="Times New Roman"/>
          <w:b/>
          <w:iCs/>
          <w:szCs w:val="24"/>
        </w:rPr>
        <w:t>European Parliament non-legislative resolution on the European Elections 2024</w:t>
      </w:r>
    </w:p>
    <w:bookmarkEnd w:id="0"/>
    <w:p w14:paraId="1812918E" w14:textId="77777777" w:rsidR="001845DE" w:rsidRPr="00AD0DE7" w:rsidRDefault="001845DE" w:rsidP="001845DE">
      <w:pPr>
        <w:numPr>
          <w:ilvl w:val="0"/>
          <w:numId w:val="33"/>
        </w:numPr>
        <w:ind w:left="567" w:hanging="567"/>
        <w:rPr>
          <w:rFonts w:ascii="Times New Roman" w:hAnsi="Times New Roman"/>
          <w:b/>
          <w:iCs/>
          <w:szCs w:val="24"/>
          <w:lang w:val="fr-BE"/>
        </w:rPr>
      </w:pPr>
      <w:proofErr w:type="gramStart"/>
      <w:r w:rsidRPr="00AD0DE7">
        <w:rPr>
          <w:rFonts w:ascii="Times New Roman" w:hAnsi="Times New Roman"/>
          <w:b/>
          <w:iCs/>
          <w:szCs w:val="24"/>
          <w:lang w:val="fr-BE"/>
        </w:rPr>
        <w:t>Rapporteur:</w:t>
      </w:r>
      <w:proofErr w:type="gramEnd"/>
      <w:r w:rsidRPr="00AD0DE7">
        <w:rPr>
          <w:rFonts w:ascii="Times New Roman" w:hAnsi="Times New Roman"/>
          <w:b/>
          <w:iCs/>
          <w:szCs w:val="24"/>
          <w:lang w:val="fr-BE"/>
        </w:rPr>
        <w:t xml:space="preserve"> </w:t>
      </w:r>
      <w:r w:rsidRPr="00AD0DE7">
        <w:rPr>
          <w:rFonts w:ascii="Times New Roman" w:hAnsi="Times New Roman"/>
          <w:bCs/>
          <w:iCs/>
          <w:szCs w:val="24"/>
          <w:lang w:val="fr-BE"/>
        </w:rPr>
        <w:t>Sven SIMON (EPP / DE), Domènec RUIZ DEVESA (S&amp;D / ES)</w:t>
      </w:r>
    </w:p>
    <w:p w14:paraId="1B66C2F7" w14:textId="77777777" w:rsidR="001845DE" w:rsidRPr="00AD0DE7" w:rsidRDefault="001845DE" w:rsidP="001845DE">
      <w:pPr>
        <w:numPr>
          <w:ilvl w:val="0"/>
          <w:numId w:val="33"/>
        </w:numPr>
        <w:ind w:left="567" w:hanging="567"/>
        <w:rPr>
          <w:rFonts w:ascii="Times New Roman" w:hAnsi="Times New Roman"/>
          <w:iCs/>
          <w:szCs w:val="24"/>
        </w:rPr>
      </w:pPr>
      <w:r w:rsidRPr="00AD0DE7">
        <w:rPr>
          <w:rFonts w:ascii="Times New Roman" w:hAnsi="Times New Roman"/>
          <w:b/>
          <w:iCs/>
          <w:szCs w:val="24"/>
        </w:rPr>
        <w:t xml:space="preserve">Reference number: </w:t>
      </w:r>
      <w:r w:rsidRPr="00AD0DE7">
        <w:rPr>
          <w:rFonts w:ascii="Times New Roman" w:hAnsi="Times New Roman"/>
          <w:bCs/>
          <w:iCs/>
          <w:szCs w:val="24"/>
        </w:rPr>
        <w:t>2023/2016 (INI) /</w:t>
      </w:r>
      <w:r w:rsidRPr="00AD0DE7">
        <w:rPr>
          <w:rFonts w:ascii="Times New Roman" w:hAnsi="Times New Roman"/>
          <w:iCs/>
          <w:szCs w:val="24"/>
        </w:rPr>
        <w:t xml:space="preserve"> A9-0332/2023 / P9_</w:t>
      </w:r>
      <w:proofErr w:type="gramStart"/>
      <w:r w:rsidRPr="00AD0DE7">
        <w:rPr>
          <w:rFonts w:ascii="Times New Roman" w:hAnsi="Times New Roman"/>
          <w:iCs/>
          <w:szCs w:val="24"/>
        </w:rPr>
        <w:t>TA(</w:t>
      </w:r>
      <w:proofErr w:type="gramEnd"/>
      <w:r w:rsidRPr="00AD0DE7">
        <w:rPr>
          <w:rFonts w:ascii="Times New Roman" w:hAnsi="Times New Roman"/>
          <w:iCs/>
          <w:szCs w:val="24"/>
        </w:rPr>
        <w:t>2023)0455</w:t>
      </w:r>
    </w:p>
    <w:p w14:paraId="5052310E" w14:textId="77777777" w:rsidR="001845DE" w:rsidRPr="00AD0DE7" w:rsidRDefault="001845DE" w:rsidP="001845DE">
      <w:pPr>
        <w:numPr>
          <w:ilvl w:val="0"/>
          <w:numId w:val="33"/>
        </w:numPr>
        <w:ind w:left="567" w:hanging="567"/>
        <w:rPr>
          <w:rFonts w:ascii="Times New Roman" w:hAnsi="Times New Roman"/>
          <w:iCs/>
          <w:szCs w:val="24"/>
        </w:rPr>
      </w:pPr>
      <w:r w:rsidRPr="00AD0DE7">
        <w:rPr>
          <w:rFonts w:ascii="Times New Roman" w:hAnsi="Times New Roman"/>
          <w:b/>
          <w:iCs/>
          <w:szCs w:val="24"/>
        </w:rPr>
        <w:t xml:space="preserve">Date of adoption of the resolution: </w:t>
      </w:r>
      <w:r w:rsidRPr="00AD0DE7">
        <w:rPr>
          <w:rFonts w:ascii="Times New Roman" w:hAnsi="Times New Roman"/>
          <w:iCs/>
          <w:szCs w:val="24"/>
        </w:rPr>
        <w:t>12 December 2023</w:t>
      </w:r>
    </w:p>
    <w:p w14:paraId="7C30D02E" w14:textId="77777777" w:rsidR="001845DE" w:rsidRPr="00AD0DE7" w:rsidRDefault="001845DE" w:rsidP="001845DE">
      <w:pPr>
        <w:numPr>
          <w:ilvl w:val="0"/>
          <w:numId w:val="33"/>
        </w:numPr>
        <w:ind w:left="567" w:hanging="567"/>
        <w:rPr>
          <w:rFonts w:ascii="Times New Roman" w:hAnsi="Times New Roman"/>
          <w:iCs/>
          <w:szCs w:val="24"/>
        </w:rPr>
      </w:pPr>
      <w:r w:rsidRPr="00AD0DE7">
        <w:rPr>
          <w:rFonts w:ascii="Times New Roman" w:hAnsi="Times New Roman"/>
          <w:b/>
          <w:iCs/>
          <w:szCs w:val="24"/>
        </w:rPr>
        <w:t>Competent Parliamentary Committee:</w:t>
      </w:r>
      <w:r w:rsidRPr="00AD0DE7">
        <w:rPr>
          <w:rFonts w:ascii="Times New Roman" w:hAnsi="Times New Roman"/>
          <w:iCs/>
          <w:szCs w:val="24"/>
        </w:rPr>
        <w:t xml:space="preserve"> </w:t>
      </w:r>
      <w:r w:rsidRPr="00AD0DE7">
        <w:rPr>
          <w:rFonts w:ascii="Times New Roman" w:hAnsi="Times New Roman"/>
          <w:iCs/>
          <w:color w:val="1E1E1F"/>
          <w:szCs w:val="24"/>
          <w:shd w:val="clear" w:color="auto" w:fill="FFFFFF"/>
        </w:rPr>
        <w:t>Committee on Constitutional Affairs (AFCO)</w:t>
      </w:r>
    </w:p>
    <w:p w14:paraId="77AF7CB4" w14:textId="77777777" w:rsidR="001845DE" w:rsidRPr="00AD0DE7" w:rsidRDefault="001845DE" w:rsidP="001845DE">
      <w:pPr>
        <w:widowControl w:val="0"/>
        <w:numPr>
          <w:ilvl w:val="0"/>
          <w:numId w:val="33"/>
        </w:numPr>
        <w:ind w:left="567" w:hanging="567"/>
        <w:rPr>
          <w:rFonts w:ascii="Times New Roman" w:hAnsi="Times New Roman"/>
          <w:iCs/>
          <w:szCs w:val="24"/>
        </w:rPr>
      </w:pPr>
      <w:r w:rsidRPr="00AD0DE7">
        <w:rPr>
          <w:rFonts w:ascii="Times New Roman" w:hAnsi="Times New Roman"/>
          <w:b/>
          <w:iCs/>
          <w:szCs w:val="24"/>
        </w:rPr>
        <w:t>Brief analysis/ assessment of the resolution and requests made in it:</w:t>
      </w:r>
    </w:p>
    <w:p w14:paraId="224FF94F" w14:textId="77777777" w:rsidR="001845DE" w:rsidRPr="00AD0DE7" w:rsidRDefault="001845DE" w:rsidP="001845DE">
      <w:pPr>
        <w:widowControl w:val="0"/>
        <w:spacing w:after="120"/>
        <w:rPr>
          <w:rFonts w:ascii="Times New Roman" w:hAnsi="Times New Roman"/>
          <w:iCs/>
          <w:szCs w:val="24"/>
        </w:rPr>
      </w:pPr>
      <w:r w:rsidRPr="00AD0DE7">
        <w:rPr>
          <w:rFonts w:ascii="Times New Roman" w:hAnsi="Times New Roman"/>
          <w:iCs/>
          <w:szCs w:val="24"/>
        </w:rPr>
        <w:t>The resolution is structured around three main thematic blocks – (1) strengthening European democracy at the 2024 elections; (2) citizen participation and enfranchisement and (3) institutional resilience. It calls for a mechanism to elect the Commission President that clearly reflects the choice of voters, as well as ways to increase voter turnout and enhance democratic aspects of the upcoming elections. The resolution also calls for a binding agreement between Parliament and the European Council on the lead candidate process for the election of the Commission President. Lead candidates, jointly with the presidents of the European political parties and of their respective parliamentary groups, should engage in negotiations immediately after the elections to put forward a common candidate, before the European Council can make a proposal.</w:t>
      </w:r>
    </w:p>
    <w:p w14:paraId="711BFF2C" w14:textId="77777777" w:rsidR="001845DE" w:rsidRPr="00AD0DE7" w:rsidRDefault="001845DE" w:rsidP="001845DE">
      <w:pPr>
        <w:widowControl w:val="0"/>
        <w:spacing w:after="120"/>
        <w:rPr>
          <w:rFonts w:ascii="Times New Roman" w:hAnsi="Times New Roman"/>
          <w:iCs/>
          <w:szCs w:val="24"/>
        </w:rPr>
      </w:pPr>
      <w:r w:rsidRPr="00AD0DE7">
        <w:rPr>
          <w:rFonts w:ascii="Times New Roman" w:hAnsi="Times New Roman"/>
          <w:iCs/>
          <w:szCs w:val="24"/>
        </w:rPr>
        <w:t>Other proposals include measures to increase turnout and mobilise especially people living in a Member State that is not their own, measures to step up efforts against disinformation, and a call for progress on election-related outstanding legislation such as the proposal for a new European electoral law and rules for European political parties and foundations.</w:t>
      </w:r>
    </w:p>
    <w:p w14:paraId="5A193305" w14:textId="77777777" w:rsidR="001845DE" w:rsidRPr="00AD0DE7" w:rsidRDefault="001845DE" w:rsidP="001845DE">
      <w:pPr>
        <w:widowControl w:val="0"/>
        <w:numPr>
          <w:ilvl w:val="0"/>
          <w:numId w:val="33"/>
        </w:numPr>
        <w:ind w:left="567" w:hanging="567"/>
        <w:rPr>
          <w:rFonts w:ascii="Times New Roman" w:hAnsi="Times New Roman"/>
          <w:b/>
          <w:iCs/>
          <w:szCs w:val="24"/>
        </w:rPr>
      </w:pPr>
      <w:r w:rsidRPr="00AD0DE7">
        <w:rPr>
          <w:rFonts w:ascii="Times New Roman" w:hAnsi="Times New Roman"/>
          <w:b/>
          <w:iCs/>
          <w:szCs w:val="24"/>
        </w:rPr>
        <w:t>Response to the requests in the resolution and overview of the action taken, or intended to be taken, by the Commission:</w:t>
      </w:r>
      <w:r w:rsidRPr="00AD0DE7">
        <w:rPr>
          <w:rFonts w:ascii="Times New Roman" w:hAnsi="Times New Roman"/>
          <w:iCs/>
          <w:szCs w:val="24"/>
        </w:rPr>
        <w:t xml:space="preserve"> </w:t>
      </w:r>
    </w:p>
    <w:p w14:paraId="13C7205C"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The Commission shares the view of the </w:t>
      </w:r>
      <w:r w:rsidRPr="00AD0DE7">
        <w:rPr>
          <w:rFonts w:ascii="Times New Roman" w:hAnsi="Times New Roman"/>
          <w:b/>
          <w:bCs/>
          <w:szCs w:val="24"/>
          <w:shd w:val="clear" w:color="auto" w:fill="FFFFFF"/>
        </w:rPr>
        <w:t>importance to increase voter turnout in the 2024 elections to the European Parliament (paragraph 1)</w:t>
      </w:r>
      <w:r w:rsidRPr="00AD0DE7">
        <w:rPr>
          <w:rFonts w:ascii="Times New Roman" w:hAnsi="Times New Roman"/>
          <w:szCs w:val="24"/>
          <w:shd w:val="clear" w:color="auto" w:fill="FFFFFF"/>
        </w:rPr>
        <w:t xml:space="preserve"> and acknowledges the Parliament’s efforts in that regard. Empowering EU citizens and ensuring inclusive democracies and equal opportunities in elections is also essential for the Commission, whose democratic legitimacy is based among others on being accountable to the European Parliament, under Article 17(8) of the Treaty on European Union (TEU).</w:t>
      </w:r>
    </w:p>
    <w:p w14:paraId="59311F38"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The Commission promotes voter turnout at the 2024 European elections by directly addressing citizens, for example through support to EU-wide get-out-to-vote campaigns and by providing common EU channels for informing citizens where and how to register and vote, through EU funding of civil society. The recently released ‘Guide to EU citizenship’</w:t>
      </w:r>
      <w:r w:rsidRPr="00AD0DE7">
        <w:rPr>
          <w:rStyle w:val="FootnoteReference"/>
          <w:rFonts w:ascii="Times New Roman" w:hAnsi="Times New Roman"/>
          <w:szCs w:val="24"/>
          <w:shd w:val="clear" w:color="auto" w:fill="FFFFFF"/>
        </w:rPr>
        <w:footnoteReference w:id="2"/>
      </w:r>
      <w:r w:rsidRPr="00AD0DE7">
        <w:rPr>
          <w:rFonts w:ascii="Times New Roman" w:hAnsi="Times New Roman"/>
          <w:szCs w:val="24"/>
          <w:shd w:val="clear" w:color="auto" w:fill="FFFFFF"/>
        </w:rPr>
        <w:t xml:space="preserve"> is a useful tool for helping new and young EU citizens familiarise themselves with the history, values and rights that underpin their status as citizens of the Union, as well as with the benefits and opportunities it offers for democratic engagement.</w:t>
      </w:r>
    </w:p>
    <w:p w14:paraId="4C879138"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Ahead of the European elections in June 2024, the Commission is also working in </w:t>
      </w:r>
      <w:r w:rsidRPr="00AD0DE7">
        <w:rPr>
          <w:rFonts w:ascii="Times New Roman" w:hAnsi="Times New Roman"/>
          <w:szCs w:val="24"/>
          <w:shd w:val="clear" w:color="auto" w:fill="FFFFFF"/>
        </w:rPr>
        <w:lastRenderedPageBreak/>
        <w:t>cooperation with the European Parliament, on a dedicated campaign aimed at promoting turnout of mobile EU citizens. The Commission made the European Direct Contact Centre more visible ahead of elections as “elections helpline” to facilitate citizens’ right to vote by providing practical solutions to any difficulties local authorities or citizens may encounter when wishing to register for the elections. This will ensure easier access to information, better quality service and faster replies to mobile EU citizens’ inquiries. The number of the hotline is already visible in a prominent place on the common website for the interinstitutional campaign dedicated to European elections</w:t>
      </w:r>
      <w:r w:rsidRPr="00AD0DE7">
        <w:rPr>
          <w:rStyle w:val="FootnoteReference"/>
          <w:rFonts w:ascii="Times New Roman" w:hAnsi="Times New Roman"/>
          <w:szCs w:val="24"/>
          <w:shd w:val="clear" w:color="auto" w:fill="FFFFFF"/>
        </w:rPr>
        <w:footnoteReference w:id="3"/>
      </w:r>
      <w:r w:rsidRPr="00AD0DE7">
        <w:rPr>
          <w:rFonts w:ascii="Times New Roman" w:hAnsi="Times New Roman"/>
          <w:szCs w:val="24"/>
          <w:shd w:val="clear" w:color="auto" w:fill="FFFFFF"/>
        </w:rPr>
        <w:t>. The website also includes detailed “How to vote” pages, which were updated with the help of the Member States in the framework of the European Cooperation Network on Elections.</w:t>
      </w:r>
    </w:p>
    <w:p w14:paraId="07DADE13"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In preparation of the European Parliament elections, the Commission organised a high-level event on elections in October 2023 bringing together Member States, EU institutions, Civil Society Organisations, and academia to put forward ideas on how to support voter turnout, in an inclusive manner, on how to ensure the resilience of the electoral systems and on how to ensure fair and inclusive elections across the Union.</w:t>
      </w:r>
    </w:p>
    <w:p w14:paraId="72863260"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In the context of increasing the voter turnout for the European elections the European Parliament rightly also draws the attention to all citizens of the Union living or working in a third country (paragraph 20). It calls for close cooperation between the EU Member States, the European External Action Service (EEAS) and the European Parliament to inform and mobilise them. The EEAS has set up a working group with the foreign ministries of the Member States to kick off communication on the European elections outside the Union and to encourage the exchange of best practices for such information campaigns. Coordinated by the EEAS and together with Member States’ embassies/consulates the 145 EU Delegations will reach out to citizens living outside the Union </w:t>
      </w:r>
      <w:proofErr w:type="gramStart"/>
      <w:r w:rsidRPr="00AD0DE7">
        <w:rPr>
          <w:rFonts w:ascii="Times New Roman" w:hAnsi="Times New Roman"/>
          <w:szCs w:val="24"/>
          <w:shd w:val="clear" w:color="auto" w:fill="FFFFFF"/>
        </w:rPr>
        <w:t>in order to</w:t>
      </w:r>
      <w:proofErr w:type="gramEnd"/>
      <w:r w:rsidRPr="00AD0DE7">
        <w:rPr>
          <w:rFonts w:ascii="Times New Roman" w:hAnsi="Times New Roman"/>
          <w:szCs w:val="24"/>
          <w:shd w:val="clear" w:color="auto" w:fill="FFFFFF"/>
        </w:rPr>
        <w:t xml:space="preserve"> inform and mobilise them for the European elections. The EEAS coordinates this communication with the European Parliament and the European Parliament’s Local Offices.</w:t>
      </w:r>
    </w:p>
    <w:p w14:paraId="214784EA" w14:textId="77777777" w:rsidR="001845DE" w:rsidRPr="00AD0DE7" w:rsidRDefault="001845DE" w:rsidP="001845DE">
      <w:pPr>
        <w:widowControl w:val="0"/>
        <w:spacing w:after="120"/>
        <w:rPr>
          <w:rFonts w:ascii="Times New Roman" w:hAnsi="Times New Roman"/>
          <w:szCs w:val="24"/>
          <w:shd w:val="clear" w:color="auto" w:fill="FFFFFF"/>
        </w:rPr>
      </w:pPr>
      <w:bookmarkStart w:id="1" w:name="_Hlk158194569"/>
      <w:r w:rsidRPr="00AD0DE7">
        <w:rPr>
          <w:rFonts w:ascii="Times New Roman" w:hAnsi="Times New Roman"/>
          <w:szCs w:val="24"/>
          <w:shd w:val="clear" w:color="auto" w:fill="FFFFFF"/>
        </w:rPr>
        <w:t>As part of the ‘Defence of Democracy’</w:t>
      </w:r>
      <w:r w:rsidRPr="00AD0DE7">
        <w:rPr>
          <w:rStyle w:val="FootnoteReference"/>
          <w:rFonts w:ascii="Times New Roman" w:hAnsi="Times New Roman"/>
          <w:szCs w:val="24"/>
          <w:shd w:val="clear" w:color="auto" w:fill="FFFFFF"/>
        </w:rPr>
        <w:footnoteReference w:id="4"/>
      </w:r>
      <w:r w:rsidRPr="00AD0DE7">
        <w:rPr>
          <w:rFonts w:ascii="Times New Roman" w:hAnsi="Times New Roman"/>
          <w:szCs w:val="24"/>
          <w:shd w:val="clear" w:color="auto" w:fill="FFFFFF"/>
        </w:rPr>
        <w:t xml:space="preserve"> package adopted in December 2023, the Commission has put forward a Recommendation on inclusive and resilient electoral processes in the European Union and enhancing the European nature and efficient conduct of the elections to the European Parliament</w:t>
      </w:r>
      <w:r w:rsidRPr="00AD0DE7">
        <w:rPr>
          <w:rStyle w:val="FootnoteReference"/>
          <w:rFonts w:ascii="Times New Roman" w:hAnsi="Times New Roman"/>
          <w:szCs w:val="24"/>
          <w:shd w:val="clear" w:color="auto" w:fill="FFFFFF"/>
        </w:rPr>
        <w:footnoteReference w:id="5"/>
      </w:r>
      <w:r w:rsidRPr="00AD0DE7">
        <w:rPr>
          <w:rFonts w:ascii="Times New Roman" w:hAnsi="Times New Roman"/>
          <w:szCs w:val="24"/>
          <w:shd w:val="clear" w:color="auto" w:fill="FFFFFF"/>
        </w:rPr>
        <w:t xml:space="preserve">. It is addressed to Member States, European and national political parties, foundations, and campaign organisations in the context of the preparation of elections in general and about the upcoming European elections in particular. It aims to promote high democratic standards for elections in the EU, and support high voter turnout, inclusive participation, easy and equal exercise of electoral rights and resilient electoral processes. </w:t>
      </w:r>
      <w:bookmarkStart w:id="2" w:name="_Hlk158194548"/>
      <w:r w:rsidRPr="00AD0DE7">
        <w:rPr>
          <w:rFonts w:ascii="Times New Roman" w:hAnsi="Times New Roman"/>
          <w:szCs w:val="24"/>
        </w:rPr>
        <w:t>The Recommendation on inclusive and resilient elections also encourages the use of campaign pledges and codes of conduct on election integrity and fair campaigning by political parties and campaign organisations, which should encompass, among others, a commitment to encourage an inclusive political discourse.</w:t>
      </w:r>
      <w:bookmarkEnd w:id="2"/>
    </w:p>
    <w:bookmarkEnd w:id="1"/>
    <w:p w14:paraId="4FC2B82F" w14:textId="77777777" w:rsidR="001845DE" w:rsidRPr="00AD0DE7" w:rsidRDefault="001845DE" w:rsidP="001845DE">
      <w:pPr>
        <w:widowControl w:val="0"/>
        <w:spacing w:after="120"/>
        <w:rPr>
          <w:rFonts w:ascii="Times New Roman" w:hAnsi="Times New Roman"/>
          <w:szCs w:val="24"/>
        </w:rPr>
      </w:pPr>
      <w:r w:rsidRPr="00AD0DE7">
        <w:rPr>
          <w:rFonts w:ascii="Times New Roman" w:hAnsi="Times New Roman"/>
          <w:szCs w:val="24"/>
        </w:rPr>
        <w:t xml:space="preserve">The Commission came forward with a </w:t>
      </w:r>
      <w:r w:rsidRPr="00AD0DE7">
        <w:rPr>
          <w:rFonts w:ascii="Times New Roman" w:hAnsi="Times New Roman"/>
          <w:b/>
          <w:bCs/>
          <w:sz w:val="22"/>
          <w:szCs w:val="22"/>
        </w:rPr>
        <w:t>pr</w:t>
      </w:r>
      <w:r w:rsidRPr="00AD0DE7">
        <w:rPr>
          <w:rFonts w:ascii="Times New Roman" w:hAnsi="Times New Roman"/>
          <w:b/>
          <w:bCs/>
          <w:szCs w:val="24"/>
        </w:rPr>
        <w:t>oposal to recast Regulation 1141/2014 on the</w:t>
      </w:r>
      <w:r w:rsidRPr="00AD0DE7">
        <w:rPr>
          <w:rFonts w:ascii="Times New Roman" w:hAnsi="Times New Roman"/>
          <w:szCs w:val="24"/>
        </w:rPr>
        <w:t xml:space="preserve"> </w:t>
      </w:r>
      <w:r w:rsidRPr="00AD0DE7">
        <w:rPr>
          <w:rFonts w:ascii="Times New Roman" w:hAnsi="Times New Roman"/>
          <w:b/>
          <w:bCs/>
          <w:szCs w:val="24"/>
        </w:rPr>
        <w:t>statute and funding of European political parties and foundations (</w:t>
      </w:r>
      <w:r w:rsidRPr="00AD0DE7">
        <w:rPr>
          <w:rFonts w:ascii="Times New Roman" w:hAnsi="Times New Roman"/>
          <w:b/>
          <w:bCs/>
          <w:szCs w:val="24"/>
          <w:shd w:val="clear" w:color="auto" w:fill="FFFFFF"/>
        </w:rPr>
        <w:t>paragraphs</w:t>
      </w:r>
      <w:r w:rsidRPr="00AD0DE7">
        <w:rPr>
          <w:rFonts w:ascii="Times New Roman" w:hAnsi="Times New Roman"/>
          <w:b/>
          <w:bCs/>
          <w:szCs w:val="24"/>
        </w:rPr>
        <w:t xml:space="preserve"> 2 and 27)</w:t>
      </w:r>
      <w:r w:rsidRPr="00AD0DE7">
        <w:rPr>
          <w:rFonts w:ascii="Times New Roman" w:hAnsi="Times New Roman"/>
          <w:szCs w:val="24"/>
        </w:rPr>
        <w:t xml:space="preserve"> more than two years ago, on 25 November 2021. One of the objectives of the Commission’s proposal was to strengthen European political parties and better enable them to carry out their primary role under Article 10(4) TEU – namely, to contribute to forming European political awareness – well in time for the campaign for the 2024 </w:t>
      </w:r>
      <w:r w:rsidRPr="00AD0DE7">
        <w:rPr>
          <w:rFonts w:ascii="Times New Roman" w:hAnsi="Times New Roman"/>
          <w:szCs w:val="24"/>
        </w:rPr>
        <w:lastRenderedPageBreak/>
        <w:t>elections to the European Parliament. In particular, the Commission proposed amending Article 2(3) on the definition of ‘European political party’ to better cater for their ability to carry out cross-border political campaigns.</w:t>
      </w:r>
    </w:p>
    <w:p w14:paraId="7C20BF3C" w14:textId="77777777" w:rsidR="001845DE" w:rsidRPr="00AD0DE7" w:rsidRDefault="001845DE" w:rsidP="001845DE">
      <w:pPr>
        <w:widowControl w:val="0"/>
        <w:spacing w:after="120"/>
        <w:rPr>
          <w:rFonts w:ascii="Times New Roman" w:hAnsi="Times New Roman"/>
        </w:rPr>
      </w:pPr>
      <w:r w:rsidRPr="00AD0DE7">
        <w:rPr>
          <w:rFonts w:ascii="Times New Roman" w:hAnsi="Times New Roman"/>
        </w:rPr>
        <w:t xml:space="preserve">Throughout the interinstitutional negotiation, the Commission acted as an honest broker, providing technical expertise, facilitating the discussion between the two </w:t>
      </w:r>
      <w:proofErr w:type="gramStart"/>
      <w:r w:rsidRPr="00AD0DE7">
        <w:rPr>
          <w:rFonts w:ascii="Times New Roman" w:hAnsi="Times New Roman"/>
        </w:rPr>
        <w:t>legislators</w:t>
      </w:r>
      <w:proofErr w:type="gramEnd"/>
      <w:r w:rsidRPr="00AD0DE7">
        <w:rPr>
          <w:rFonts w:ascii="Times New Roman" w:hAnsi="Times New Roman"/>
        </w:rPr>
        <w:t xml:space="preserve"> and proposing compromise drafting aimed at unblocking the repeated stalemates in the negotiation.</w:t>
      </w:r>
    </w:p>
    <w:p w14:paraId="0F554AAD" w14:textId="77777777" w:rsidR="001845DE" w:rsidRPr="00AD0DE7" w:rsidRDefault="001845DE" w:rsidP="001845DE">
      <w:pPr>
        <w:widowControl w:val="0"/>
        <w:spacing w:after="120"/>
        <w:rPr>
          <w:rFonts w:ascii="Times New Roman" w:hAnsi="Times New Roman"/>
          <w:szCs w:val="24"/>
        </w:rPr>
      </w:pPr>
      <w:r w:rsidRPr="00AD0DE7">
        <w:rPr>
          <w:rFonts w:ascii="Times New Roman" w:hAnsi="Times New Roman"/>
          <w:szCs w:val="24"/>
        </w:rPr>
        <w:t>The Commission deeply regrets that, despite the efforts deployed by all parties in the negotiation, the co-legislators could not overcome their diverging positions on fundamental aspects of the proposal to find an agreement ahead of the 2024 elections to the European Parliament.</w:t>
      </w:r>
    </w:p>
    <w:p w14:paraId="561E7549"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The Commission supports the emphasis placed by the European Parliament on the need to </w:t>
      </w:r>
      <w:r w:rsidRPr="00AD0DE7">
        <w:rPr>
          <w:rFonts w:ascii="Times New Roman" w:hAnsi="Times New Roman"/>
          <w:b/>
          <w:bCs/>
          <w:szCs w:val="24"/>
          <w:shd w:val="clear" w:color="auto" w:fill="FFFFFF"/>
        </w:rPr>
        <w:t>ensure that voting rights of EU citizens are effective and respected, in an inclusive manner (paragraph 16)</w:t>
      </w:r>
      <w:r w:rsidRPr="00AD0DE7">
        <w:rPr>
          <w:rFonts w:ascii="Times New Roman" w:hAnsi="Times New Roman"/>
          <w:szCs w:val="24"/>
          <w:shd w:val="clear" w:color="auto" w:fill="FFFFFF"/>
        </w:rPr>
        <w:t>.</w:t>
      </w:r>
    </w:p>
    <w:p w14:paraId="69865253"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On 25 November 2021, the Commission adopted a package of measures to reinforce democracy and protect the integrity of elections</w:t>
      </w:r>
      <w:r w:rsidRPr="00AD0DE7">
        <w:rPr>
          <w:rStyle w:val="FootnoteReference"/>
          <w:rFonts w:ascii="Times New Roman" w:hAnsi="Times New Roman"/>
          <w:szCs w:val="24"/>
          <w:shd w:val="clear" w:color="auto" w:fill="FFFFFF"/>
        </w:rPr>
        <w:footnoteReference w:id="6"/>
      </w:r>
      <w:r w:rsidRPr="00AD0DE7">
        <w:rPr>
          <w:rFonts w:ascii="Times New Roman" w:hAnsi="Times New Roman"/>
          <w:szCs w:val="24"/>
          <w:shd w:val="clear" w:color="auto" w:fill="FFFFFF"/>
        </w:rPr>
        <w:t xml:space="preserve">. The package includes two legislative proposals to recast the Directives on the right to vote and stand as candidates in elections to the European Parliament and municipal elections by EU citizens residing in a different Member State from their state of origin. These initiatives aim to update, </w:t>
      </w:r>
      <w:proofErr w:type="gramStart"/>
      <w:r w:rsidRPr="00AD0DE7">
        <w:rPr>
          <w:rFonts w:ascii="Times New Roman" w:hAnsi="Times New Roman"/>
          <w:szCs w:val="24"/>
          <w:shd w:val="clear" w:color="auto" w:fill="FFFFFF"/>
        </w:rPr>
        <w:t>clarify</w:t>
      </w:r>
      <w:proofErr w:type="gramEnd"/>
      <w:r w:rsidRPr="00AD0DE7">
        <w:rPr>
          <w:rFonts w:ascii="Times New Roman" w:hAnsi="Times New Roman"/>
          <w:szCs w:val="24"/>
          <w:shd w:val="clear" w:color="auto" w:fill="FFFFFF"/>
        </w:rPr>
        <w:t xml:space="preserve"> and strengthen the existing rules to address the difficulties faced by mobile EU citizens, and to ensure broad and inclusive participation in elections, support mobile EU citizens in the exercise of their rights and protect the integrity of elections to the European Parliament. While discussions in the Council are progressing, these initiatives will not be in place for the 2024 elections to the European Parliament.</w:t>
      </w:r>
    </w:p>
    <w:p w14:paraId="61112E11"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The Recommendation on inclusive and resilient elections also addresses the needs of specific groups including persons with disabilities, younger </w:t>
      </w:r>
      <w:proofErr w:type="gramStart"/>
      <w:r w:rsidRPr="00AD0DE7">
        <w:rPr>
          <w:rFonts w:ascii="Times New Roman" w:hAnsi="Times New Roman"/>
          <w:szCs w:val="24"/>
          <w:shd w:val="clear" w:color="auto" w:fill="FFFFFF"/>
        </w:rPr>
        <w:t>voters</w:t>
      </w:r>
      <w:proofErr w:type="gramEnd"/>
      <w:r w:rsidRPr="00AD0DE7">
        <w:rPr>
          <w:rFonts w:ascii="Times New Roman" w:hAnsi="Times New Roman"/>
          <w:szCs w:val="24"/>
          <w:shd w:val="clear" w:color="auto" w:fill="FFFFFF"/>
        </w:rPr>
        <w:t xml:space="preserve"> and mobile Union citizens and those susceptible to marginalisation. In addition, as announced in the Strategy for the Rights of Persons with Disabilities 2021-2030, in December 2023, the Commission published a Guide of good electoral practice addressing the participation of citizens with disabilities, as part of a ‘Citizenship’ package</w:t>
      </w:r>
      <w:r w:rsidRPr="00AD0DE7">
        <w:rPr>
          <w:rStyle w:val="FootnoteReference"/>
          <w:rFonts w:ascii="Times New Roman" w:hAnsi="Times New Roman"/>
          <w:szCs w:val="24"/>
          <w:shd w:val="clear" w:color="auto" w:fill="FFFFFF"/>
        </w:rPr>
        <w:footnoteReference w:id="7"/>
      </w:r>
      <w:r w:rsidRPr="00AD0DE7">
        <w:rPr>
          <w:rFonts w:ascii="Times New Roman" w:hAnsi="Times New Roman"/>
          <w:szCs w:val="24"/>
          <w:shd w:val="clear" w:color="auto" w:fill="FFFFFF"/>
        </w:rPr>
        <w:t>.</w:t>
      </w:r>
      <w:r w:rsidRPr="006F007A">
        <w:rPr>
          <w:rFonts w:ascii="Times New Roman" w:hAnsi="Times New Roman"/>
        </w:rPr>
        <w:t xml:space="preserve"> </w:t>
      </w:r>
      <w:r w:rsidRPr="00AD0DE7">
        <w:rPr>
          <w:rFonts w:ascii="Times New Roman" w:hAnsi="Times New Roman"/>
          <w:szCs w:val="24"/>
          <w:shd w:val="clear" w:color="auto" w:fill="FFFFFF"/>
        </w:rPr>
        <w:t>It was prepared in close cooperation with Member States in the framework of the European Cooperation Network on Elections, and by consulting different stakeholders active in the field of rights for persons with disabilities. The guide reflects the various measures taken by Member States to address the obstacles faced by citizens with disabilities when interacting with the electoral environment and to ensure the effectiveness of their electoral rights. It also highlights the emergence of common references on delivering accessible elections.</w:t>
      </w:r>
    </w:p>
    <w:p w14:paraId="6B211BF0"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color w:val="333333"/>
          <w:szCs w:val="24"/>
          <w:shd w:val="clear" w:color="auto" w:fill="FFFFFF"/>
        </w:rPr>
        <w:t>In addition, as part of the measures announced in the European Democracy Action Plan, the Commission has also developed a</w:t>
      </w:r>
      <w:r>
        <w:rPr>
          <w:rFonts w:ascii="Times New Roman" w:hAnsi="Times New Roman"/>
          <w:color w:val="333333"/>
          <w:szCs w:val="24"/>
          <w:shd w:val="clear" w:color="auto" w:fill="FFFFFF"/>
        </w:rPr>
        <w:t xml:space="preserve"> </w:t>
      </w:r>
      <w:r w:rsidRPr="00AD0DE7">
        <w:rPr>
          <w:rFonts w:ascii="Times New Roman" w:hAnsi="Times New Roman"/>
          <w:color w:val="333333"/>
          <w:szCs w:val="24"/>
          <w:shd w:val="clear" w:color="auto" w:fill="FFFFFF"/>
        </w:rPr>
        <w:t>Compendium of e-voting and other Information and communication technology practices</w:t>
      </w:r>
      <w:r>
        <w:rPr>
          <w:rFonts w:ascii="Times New Roman" w:hAnsi="Times New Roman"/>
          <w:color w:val="333333"/>
          <w:szCs w:val="24"/>
          <w:shd w:val="clear" w:color="auto" w:fill="FFFFFF"/>
        </w:rPr>
        <w:t xml:space="preserve"> </w:t>
      </w:r>
      <w:r w:rsidRPr="00AD0DE7">
        <w:rPr>
          <w:rFonts w:ascii="Times New Roman" w:hAnsi="Times New Roman"/>
          <w:color w:val="333333"/>
          <w:szCs w:val="24"/>
          <w:shd w:val="clear" w:color="auto" w:fill="FFFFFF"/>
        </w:rPr>
        <w:t>in cooperation with Member States and the Council of Europe. The Compendium also seeks to address the needs of persons with disabilities, fostering election accessibility.</w:t>
      </w:r>
    </w:p>
    <w:p w14:paraId="7039B740"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The Commission welcomes the call of the European Parliament for more robust safeguards and measures </w:t>
      </w:r>
      <w:r w:rsidRPr="00AD0DE7">
        <w:rPr>
          <w:rFonts w:ascii="Times New Roman" w:hAnsi="Times New Roman"/>
          <w:b/>
          <w:bCs/>
          <w:szCs w:val="24"/>
          <w:shd w:val="clear" w:color="auto" w:fill="FFFFFF"/>
        </w:rPr>
        <w:t xml:space="preserve">in combating disinformation and foreign information manipulation and interference (paragraph 26) </w:t>
      </w:r>
      <w:r w:rsidRPr="00AD0DE7">
        <w:rPr>
          <w:rFonts w:ascii="Times New Roman" w:hAnsi="Times New Roman"/>
          <w:szCs w:val="24"/>
          <w:shd w:val="clear" w:color="auto" w:fill="FFFFFF"/>
        </w:rPr>
        <w:t xml:space="preserve">in elections, which complements its </w:t>
      </w:r>
      <w:r w:rsidRPr="00AD0DE7">
        <w:rPr>
          <w:rFonts w:ascii="Times New Roman" w:hAnsi="Times New Roman"/>
          <w:szCs w:val="24"/>
          <w:shd w:val="clear" w:color="auto" w:fill="FFFFFF"/>
        </w:rPr>
        <w:lastRenderedPageBreak/>
        <w:t>objectives and actions in this field.</w:t>
      </w:r>
    </w:p>
    <w:p w14:paraId="71381632" w14:textId="77777777" w:rsidR="001845DE" w:rsidRPr="00AD0DE7" w:rsidRDefault="001845DE" w:rsidP="001845DE">
      <w:pPr>
        <w:widowControl w:val="0"/>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Protecting Europe’s democracies from the threats and harmful effects of disinformation, information manipulation and interference, </w:t>
      </w:r>
      <w:proofErr w:type="gramStart"/>
      <w:r w:rsidRPr="00AD0DE7">
        <w:rPr>
          <w:rFonts w:ascii="Times New Roman" w:hAnsi="Times New Roman"/>
          <w:szCs w:val="24"/>
          <w:shd w:val="clear" w:color="auto" w:fill="FFFFFF"/>
        </w:rPr>
        <w:t>in particular from</w:t>
      </w:r>
      <w:proofErr w:type="gramEnd"/>
      <w:r w:rsidRPr="00AD0DE7">
        <w:rPr>
          <w:rFonts w:ascii="Times New Roman" w:hAnsi="Times New Roman"/>
          <w:szCs w:val="24"/>
          <w:shd w:val="clear" w:color="auto" w:fill="FFFFFF"/>
        </w:rPr>
        <w:t xml:space="preserve"> foreign actors, has been a priority of the EU in recent years. Under the European Democracy Action Plan, the EU has stepped up efforts to improve its capacity to detect, analyse and react to this new and evolving threat landscape – both domestically and internationally. Existing cooperation has been strengthened within the Commission, between the EU institutions and services and beyond, involving relevant stakeholders in civil society, </w:t>
      </w:r>
      <w:proofErr w:type="gramStart"/>
      <w:r w:rsidRPr="00AD0DE7">
        <w:rPr>
          <w:rFonts w:ascii="Times New Roman" w:hAnsi="Times New Roman"/>
          <w:szCs w:val="24"/>
          <w:shd w:val="clear" w:color="auto" w:fill="FFFFFF"/>
        </w:rPr>
        <w:t>academia</w:t>
      </w:r>
      <w:proofErr w:type="gramEnd"/>
      <w:r w:rsidRPr="00AD0DE7">
        <w:rPr>
          <w:rFonts w:ascii="Times New Roman" w:hAnsi="Times New Roman"/>
          <w:szCs w:val="24"/>
          <w:shd w:val="clear" w:color="auto" w:fill="FFFFFF"/>
        </w:rPr>
        <w:t xml:space="preserve"> and industry, as well as international partners. The EEAS-managed Rapid Alert System (RAS) has continued to provide common situational awareness and share effective approaches to responding to the threat of foreign information manipulation and interference with Member States, EU institutions and international partners. The results have been shown in the ability to be effective in addressing challenges more rapidly and in a more coordinated manner. This has also made a broader contribution to democratic resilience. This has been complemented by the development of a reinforced EU Toolbox to prevent, </w:t>
      </w:r>
      <w:proofErr w:type="gramStart"/>
      <w:r w:rsidRPr="00AD0DE7">
        <w:rPr>
          <w:rFonts w:ascii="Times New Roman" w:hAnsi="Times New Roman"/>
          <w:szCs w:val="24"/>
          <w:shd w:val="clear" w:color="auto" w:fill="FFFFFF"/>
        </w:rPr>
        <w:t>deter</w:t>
      </w:r>
      <w:proofErr w:type="gramEnd"/>
      <w:r w:rsidRPr="00AD0DE7">
        <w:rPr>
          <w:rFonts w:ascii="Times New Roman" w:hAnsi="Times New Roman"/>
          <w:szCs w:val="24"/>
          <w:shd w:val="clear" w:color="auto" w:fill="FFFFFF"/>
        </w:rPr>
        <w:t xml:space="preserve"> and respond to foreign information manipulation and interference. The Toolbox describes four areas in which instruments exist and can be further developed: 1) situational awareness, 2) resilience building, 3) disruption and regulation and 4) EU External Action. This is complemented by a common analytical framework and methodology to collect systematic evidence of foreign information manipulation and interference incidents, not only to help improve the understanding of tactics, techniques and procedures used to manipulate and interfere, but also to effectively respond to foreign information manipulation and interference threats</w:t>
      </w:r>
      <w:r w:rsidRPr="00AD0DE7">
        <w:t xml:space="preserve"> </w:t>
      </w:r>
      <w:r w:rsidRPr="00AD0DE7">
        <w:rPr>
          <w:rFonts w:ascii="Times New Roman" w:hAnsi="Times New Roman"/>
          <w:szCs w:val="24"/>
          <w:shd w:val="clear" w:color="auto" w:fill="FFFFFF"/>
        </w:rPr>
        <w:t>Additionally, the recently published second EEAS Report on Foreign Information Manipulation and Interference (FIMI) Threats with a special focus on elections, highlights this methodology in a sample of 750 investigated incidents and put forward a common framework and methodology for networked defence against foreign information manipulation and interference.</w:t>
      </w:r>
    </w:p>
    <w:p w14:paraId="0FB8776D" w14:textId="394347D9" w:rsidR="001845DE" w:rsidRPr="00AD0DE7" w:rsidRDefault="001845DE" w:rsidP="001845DE">
      <w:pPr>
        <w:spacing w:after="120"/>
        <w:rPr>
          <w:rFonts w:ascii="Times New Roman" w:hAnsi="Times New Roman"/>
          <w:szCs w:val="24"/>
          <w:shd w:val="clear" w:color="auto" w:fill="FFFFFF"/>
        </w:rPr>
      </w:pPr>
      <w:r w:rsidRPr="00AD0DE7">
        <w:rPr>
          <w:rFonts w:ascii="Times New Roman" w:hAnsi="Times New Roman"/>
          <w:szCs w:val="24"/>
          <w:shd w:val="clear" w:color="auto" w:fill="FFFFFF"/>
        </w:rPr>
        <w:t>A centrepiece of the Commission’s approach to fighting disinformation has been its work to ensure more accountability for online platforms. The Digital Services Act (DSA)</w:t>
      </w:r>
      <w:r w:rsidRPr="00AD0DE7">
        <w:rPr>
          <w:rStyle w:val="FootnoteReference"/>
          <w:rFonts w:ascii="Times New Roman" w:hAnsi="Times New Roman"/>
          <w:szCs w:val="24"/>
          <w:shd w:val="clear" w:color="auto" w:fill="FFFFFF"/>
        </w:rPr>
        <w:footnoteReference w:id="8"/>
      </w:r>
      <w:r w:rsidRPr="00AD0DE7">
        <w:rPr>
          <w:rFonts w:ascii="Times New Roman" w:hAnsi="Times New Roman"/>
          <w:szCs w:val="24"/>
          <w:shd w:val="clear" w:color="auto" w:fill="FFFFFF"/>
        </w:rPr>
        <w:t xml:space="preserve"> obliges providers of very large online platforms and of very large online search engines to regularly assess the systemic risks their services may present to society, including to the freedom of expression, or the risk of their services being used as a tool for disinformation campaigns, including risks related to civi</w:t>
      </w:r>
      <w:r>
        <w:rPr>
          <w:rFonts w:ascii="Times New Roman" w:hAnsi="Times New Roman"/>
          <w:szCs w:val="24"/>
          <w:shd w:val="clear" w:color="auto" w:fill="FFFFFF"/>
        </w:rPr>
        <w:t>c</w:t>
      </w:r>
      <w:r w:rsidRPr="00AD0DE7">
        <w:rPr>
          <w:rFonts w:ascii="Times New Roman" w:hAnsi="Times New Roman"/>
          <w:szCs w:val="24"/>
          <w:shd w:val="clear" w:color="auto" w:fill="FFFFFF"/>
        </w:rPr>
        <w:t xml:space="preserve"> discourse and electoral processes. Very large online platforms and of very large online search engines are also invited to participate in establishing voluntary codes of conduct and crisis protocols.</w:t>
      </w:r>
    </w:p>
    <w:p w14:paraId="32CA3C6F" w14:textId="65281943" w:rsidR="001845DE" w:rsidRPr="00AD0DE7" w:rsidRDefault="001845DE" w:rsidP="001845DE">
      <w:pPr>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The Commission is in the process of preparing guidelines for providers of very large online platforms and very large online search engines on the mitigation of systemic risks for electoral processes. The guidelines would set out </w:t>
      </w:r>
      <w:r>
        <w:rPr>
          <w:rFonts w:ascii="Times New Roman" w:hAnsi="Times New Roman"/>
          <w:szCs w:val="24"/>
          <w:shd w:val="clear" w:color="auto" w:fill="FFFFFF"/>
        </w:rPr>
        <w:t xml:space="preserve">best practices </w:t>
      </w:r>
      <w:r w:rsidRPr="00AD0DE7">
        <w:rPr>
          <w:rFonts w:ascii="Times New Roman" w:hAnsi="Times New Roman"/>
          <w:szCs w:val="24"/>
          <w:shd w:val="clear" w:color="auto" w:fill="FFFFFF"/>
        </w:rPr>
        <w:t>mitigation measures that very large online platforms and search engines may adopt to address election-related systemic risks, both in general and specifically linked to Generative AI (artificial intelligence) content, including inter alia as regards cooperation with authorities and other stakeholders.</w:t>
      </w:r>
    </w:p>
    <w:p w14:paraId="137D2BC5" w14:textId="4E5DF97A" w:rsidR="001845DE" w:rsidRPr="00AD0DE7" w:rsidRDefault="001845DE" w:rsidP="001845DE">
      <w:pPr>
        <w:spacing w:after="120"/>
        <w:rPr>
          <w:rFonts w:ascii="Times New Roman" w:hAnsi="Times New Roman"/>
          <w:szCs w:val="24"/>
          <w:shd w:val="clear" w:color="auto" w:fill="FFFFFF"/>
        </w:rPr>
      </w:pPr>
      <w:r w:rsidRPr="00AD0DE7">
        <w:rPr>
          <w:rFonts w:ascii="Times New Roman" w:hAnsi="Times New Roman"/>
          <w:szCs w:val="24"/>
          <w:shd w:val="clear" w:color="auto" w:fill="FFFFFF"/>
        </w:rPr>
        <w:t xml:space="preserve">The ambitious Code of Practice on Disinformation signed in June 2022 by a wide range of signatories, is expected to become </w:t>
      </w:r>
      <w:r>
        <w:rPr>
          <w:rFonts w:ascii="Times New Roman" w:hAnsi="Times New Roman"/>
          <w:szCs w:val="24"/>
          <w:shd w:val="clear" w:color="auto" w:fill="FFFFFF"/>
        </w:rPr>
        <w:t>a Code of Conduct recognised under the co-regulatory framework of the</w:t>
      </w:r>
      <w:r w:rsidRPr="00AD0DE7">
        <w:rPr>
          <w:rFonts w:ascii="Times New Roman" w:hAnsi="Times New Roman"/>
          <w:szCs w:val="24"/>
          <w:shd w:val="clear" w:color="auto" w:fill="FFFFFF"/>
        </w:rPr>
        <w:t xml:space="preserve"> DSA. The Code also comes with a solid monitoring framework and a Transparency Centre to ensure transparency and accountability. In January and September 2023, the Code’s signatories, including online platforms, </w:t>
      </w:r>
      <w:r w:rsidRPr="00AD0DE7">
        <w:rPr>
          <w:rFonts w:ascii="Times New Roman" w:hAnsi="Times New Roman"/>
          <w:szCs w:val="24"/>
          <w:shd w:val="clear" w:color="auto" w:fill="FFFFFF"/>
        </w:rPr>
        <w:lastRenderedPageBreak/>
        <w:t>reported on progress, providing an unprecedented level of public information on the way they implement their commitments to fight disinformation. In the run-up to the 2024 European elections, the Commission is also carrying out a pre</w:t>
      </w:r>
      <w:r w:rsidRPr="00AD0DE7">
        <w:rPr>
          <w:rFonts w:ascii="Times New Roman" w:hAnsi="Times New Roman"/>
          <w:szCs w:val="24"/>
          <w:shd w:val="clear" w:color="auto" w:fill="FFFFFF"/>
        </w:rPr>
        <w:noBreakHyphen/>
        <w:t>election dialogue and collaboration with online platforms and other signatories of the Code. In addition, the work within the Code is also focusing on addressing harmful potential of the new AI-powered tools that could be used in disinformation and foreign interference campaigns.</w:t>
      </w:r>
    </w:p>
    <w:p w14:paraId="4404D5F2" w14:textId="77777777" w:rsidR="001845DE" w:rsidRPr="00AD0DE7" w:rsidRDefault="001845DE" w:rsidP="001845DE">
      <w:pPr>
        <w:widowControl w:val="0"/>
        <w:spacing w:after="120"/>
        <w:rPr>
          <w:rFonts w:ascii="Times New Roman" w:hAnsi="Times New Roman"/>
          <w:szCs w:val="24"/>
          <w:shd w:val="clear" w:color="auto" w:fill="FFFFFF"/>
        </w:rPr>
      </w:pPr>
      <w:bookmarkStart w:id="3" w:name="_Hlk160016071"/>
      <w:r w:rsidRPr="00AD0DE7">
        <w:rPr>
          <w:rFonts w:ascii="Times New Roman" w:hAnsi="Times New Roman"/>
          <w:szCs w:val="24"/>
          <w:shd w:val="clear" w:color="auto" w:fill="FFFFFF"/>
        </w:rPr>
        <w:t xml:space="preserve">Following political agreement among the Union co-legislators in November 2023, the regulation on the transparency and targeting of political advertising was formally adopted by the Parliament in the plenary session of 27 February 2024 and is currently awaiting formal adoption by the Council. It should become law ahead of the upcoming elections, with some elements applying immediately, including its definitions. </w:t>
      </w:r>
      <w:bookmarkEnd w:id="3"/>
      <w:r w:rsidRPr="00AD0DE7">
        <w:rPr>
          <w:rFonts w:ascii="Times New Roman" w:hAnsi="Times New Roman"/>
          <w:szCs w:val="24"/>
          <w:shd w:val="clear" w:color="auto" w:fill="FFFFFF"/>
        </w:rPr>
        <w:t xml:space="preserve">It will help prevent political advertising from being used as a vector of disinformation, information manipulation and interference, </w:t>
      </w:r>
      <w:proofErr w:type="gramStart"/>
      <w:r w:rsidRPr="00AD0DE7">
        <w:rPr>
          <w:rFonts w:ascii="Times New Roman" w:hAnsi="Times New Roman"/>
          <w:szCs w:val="24"/>
          <w:shd w:val="clear" w:color="auto" w:fill="FFFFFF"/>
        </w:rPr>
        <w:t>in particular by</w:t>
      </w:r>
      <w:proofErr w:type="gramEnd"/>
      <w:r w:rsidRPr="00AD0DE7">
        <w:rPr>
          <w:rFonts w:ascii="Times New Roman" w:hAnsi="Times New Roman"/>
          <w:szCs w:val="24"/>
          <w:shd w:val="clear" w:color="auto" w:fill="FFFFFF"/>
        </w:rPr>
        <w:t xml:space="preserve"> disclosing the political nature of advertising, the identity of its sponsors and the entities financing it, and by imposing restrictions on techniques using personal data that target political ads to citizens, including those which opaquely exploit their vulnerabilities.</w:t>
      </w:r>
    </w:p>
    <w:p w14:paraId="0890734B" w14:textId="77777777" w:rsidR="001845DE" w:rsidRPr="00AD0DE7" w:rsidRDefault="001845DE" w:rsidP="001845DE">
      <w:pPr>
        <w:widowControl w:val="0"/>
        <w:spacing w:after="120"/>
        <w:rPr>
          <w:rFonts w:ascii="Times New Roman" w:hAnsi="Times New Roman"/>
          <w:szCs w:val="24"/>
        </w:rPr>
      </w:pPr>
      <w:r w:rsidRPr="00AD0DE7">
        <w:rPr>
          <w:rFonts w:ascii="Times New Roman" w:hAnsi="Times New Roman"/>
          <w:szCs w:val="24"/>
          <w:shd w:val="clear" w:color="auto" w:fill="FFFFFF"/>
        </w:rPr>
        <w:t xml:space="preserve">The Recommendation on inclusive and resilient elections </w:t>
      </w:r>
      <w:r w:rsidRPr="00AD0DE7">
        <w:rPr>
          <w:rFonts w:ascii="Times New Roman" w:hAnsi="Times New Roman"/>
          <w:szCs w:val="24"/>
        </w:rPr>
        <w:t>builds on the decisive steps taken by the Commission since 2020 to address identified loopholes and to ensure citizens can form their own judgments and make electoral choices in a public space where a plurality of views can be expressed, free from interference, be it domestic or foreign.</w:t>
      </w:r>
      <w:r w:rsidRPr="00AD0DE7">
        <w:rPr>
          <w:rFonts w:ascii="Times New Roman" w:hAnsi="Times New Roman"/>
        </w:rPr>
        <w:t xml:space="preserve"> </w:t>
      </w:r>
      <w:r w:rsidRPr="00AD0DE7">
        <w:rPr>
          <w:rFonts w:ascii="Times New Roman" w:hAnsi="Times New Roman"/>
          <w:szCs w:val="24"/>
        </w:rPr>
        <w:t xml:space="preserve">To this end, and building on the Eurobarometer data, the Recommendation puts forward a series of measures to support turnout and inclusive elections and protect election-related information from manipulation and disinformation, such as training </w:t>
      </w:r>
      <w:r w:rsidRPr="00AD0DE7">
        <w:rPr>
          <w:rFonts w:ascii="Times New Roman" w:eastAsia="Calibri" w:hAnsi="Times New Roman"/>
          <w:noProof/>
          <w:szCs w:val="24"/>
        </w:rPr>
        <w:t>of election and other relevant authorities on how to efficiently pre-bunk and debunk information manipulation, interference and disinformation, online and offline</w:t>
      </w:r>
      <w:r w:rsidRPr="00AD0DE7">
        <w:rPr>
          <w:rFonts w:ascii="Times New Roman" w:hAnsi="Times New Roman"/>
          <w:szCs w:val="24"/>
        </w:rPr>
        <w:t xml:space="preserve">. Reinforced mutual support and cooperation among Member States on these topics is further promoted. Member States already cooperate within the European Cooperation Network on Elections, </w:t>
      </w:r>
      <w:proofErr w:type="gramStart"/>
      <w:r w:rsidRPr="00AD0DE7">
        <w:rPr>
          <w:rFonts w:ascii="Times New Roman" w:hAnsi="Times New Roman"/>
          <w:szCs w:val="24"/>
        </w:rPr>
        <w:t>and also</w:t>
      </w:r>
      <w:proofErr w:type="gramEnd"/>
      <w:r w:rsidRPr="00AD0DE7">
        <w:rPr>
          <w:rFonts w:ascii="Times New Roman" w:hAnsi="Times New Roman"/>
          <w:szCs w:val="24"/>
        </w:rPr>
        <w:t xml:space="preserve"> with the European Regulators Group for Audiovisual Media Services, the Rapid Alert System and other frameworks, to address foreign information manipulation and interference, and disinformation, developing a multi-disciplinary response to such threats in election processes. Other formats such as the tripartite working groups between the European Parliament, Commission and EEAS are working on different levels to make sure that potential </w:t>
      </w:r>
      <w:r w:rsidRPr="00AD0DE7">
        <w:rPr>
          <w:rFonts w:ascii="Times New Roman" w:hAnsi="Times New Roman"/>
          <w:szCs w:val="24"/>
          <w:shd w:val="clear" w:color="auto" w:fill="FFFFFF"/>
        </w:rPr>
        <w:t>foreign information manipulation and interference</w:t>
      </w:r>
      <w:r w:rsidRPr="00AD0DE7">
        <w:rPr>
          <w:rFonts w:ascii="Times New Roman" w:hAnsi="Times New Roman"/>
          <w:szCs w:val="24"/>
        </w:rPr>
        <w:t xml:space="preserve"> threats ahead of the 2024 European Elections are assessed and addressed in a coordinated and timely way. </w:t>
      </w:r>
    </w:p>
    <w:p w14:paraId="28A3B793" w14:textId="77777777" w:rsidR="001845DE" w:rsidRPr="00AD0DE7" w:rsidRDefault="001845DE" w:rsidP="001845DE">
      <w:pPr>
        <w:widowControl w:val="0"/>
        <w:spacing w:after="120"/>
        <w:rPr>
          <w:rFonts w:ascii="Times New Roman" w:hAnsi="Times New Roman"/>
          <w:szCs w:val="24"/>
        </w:rPr>
      </w:pPr>
      <w:r w:rsidRPr="00AD0DE7">
        <w:rPr>
          <w:rFonts w:ascii="Times New Roman" w:hAnsi="Times New Roman"/>
          <w:szCs w:val="24"/>
        </w:rPr>
        <w:t xml:space="preserve">A Joint mechanism for electoral resilience was launched in January 2022, aiming to build capacity in Member States to address risks to elections, through expert exchanges, </w:t>
      </w:r>
      <w:proofErr w:type="gramStart"/>
      <w:r w:rsidRPr="00AD0DE7">
        <w:rPr>
          <w:rFonts w:ascii="Times New Roman" w:hAnsi="Times New Roman"/>
          <w:szCs w:val="24"/>
        </w:rPr>
        <w:t>in particular on</w:t>
      </w:r>
      <w:proofErr w:type="gramEnd"/>
      <w:r w:rsidRPr="00AD0DE7">
        <w:rPr>
          <w:rFonts w:ascii="Times New Roman" w:hAnsi="Times New Roman"/>
          <w:szCs w:val="24"/>
        </w:rPr>
        <w:t xml:space="preserve"> disinformation and cyber-related threats. As part of joint preparations for the 2024 elections, on 21 November 2023, the Commission with the support of the European Union Agency for Cybersecurity (ENISA) and in cooperation with the European Parliament, organised a </w:t>
      </w:r>
      <w:r w:rsidRPr="00AD0DE7">
        <w:rPr>
          <w:rFonts w:ascii="Times New Roman" w:hAnsi="Times New Roman"/>
          <w:szCs w:val="24"/>
          <w:shd w:val="clear" w:color="auto" w:fill="FFFFFF"/>
        </w:rPr>
        <w:t xml:space="preserve">tabletop exercise </w:t>
      </w:r>
      <w:r w:rsidRPr="00AD0DE7">
        <w:rPr>
          <w:rFonts w:ascii="Times New Roman" w:hAnsi="Times New Roman"/>
          <w:szCs w:val="24"/>
        </w:rPr>
        <w:t>within the framework of the joint election resilience mechanism, which</w:t>
      </w:r>
      <w:r w:rsidRPr="00AD0DE7">
        <w:rPr>
          <w:rFonts w:ascii="Times New Roman" w:hAnsi="Times New Roman"/>
          <w:color w:val="000000"/>
          <w:szCs w:val="24"/>
          <w:lang w:eastAsia="en-IE"/>
        </w:rPr>
        <w:t xml:space="preserve"> aimed at testing preparedness of Member States against cyber-attacks and hybrid threats, including disinformation campaigns</w:t>
      </w:r>
      <w:r w:rsidRPr="00AD0DE7">
        <w:rPr>
          <w:rFonts w:ascii="Times New Roman" w:hAnsi="Times New Roman"/>
          <w:szCs w:val="24"/>
        </w:rPr>
        <w:t>.</w:t>
      </w:r>
      <w:r w:rsidRPr="002E1ACB">
        <w:rPr>
          <w:rFonts w:ascii="Times New Roman" w:hAnsi="Times New Roman"/>
        </w:rPr>
        <w:t xml:space="preserve"> </w:t>
      </w:r>
      <w:r w:rsidRPr="002E1ACB">
        <w:rPr>
          <w:rFonts w:ascii="Times New Roman" w:hAnsi="Times New Roman"/>
          <w:szCs w:val="24"/>
        </w:rPr>
        <w:t>The Network and Information Systems</w:t>
      </w:r>
      <w:r>
        <w:rPr>
          <w:rFonts w:ascii="Times New Roman" w:hAnsi="Times New Roman"/>
          <w:szCs w:val="24"/>
        </w:rPr>
        <w:t xml:space="preserve"> (</w:t>
      </w:r>
      <w:r w:rsidRPr="002E1ACB">
        <w:rPr>
          <w:rFonts w:ascii="Times New Roman" w:hAnsi="Times New Roman"/>
          <w:szCs w:val="24"/>
        </w:rPr>
        <w:t>NIS</w:t>
      </w:r>
      <w:r>
        <w:rPr>
          <w:rFonts w:ascii="Times New Roman" w:hAnsi="Times New Roman"/>
          <w:szCs w:val="24"/>
        </w:rPr>
        <w:t>)</w:t>
      </w:r>
      <w:r w:rsidRPr="002E1ACB">
        <w:rPr>
          <w:rFonts w:ascii="Times New Roman" w:hAnsi="Times New Roman"/>
          <w:szCs w:val="24"/>
        </w:rPr>
        <w:t xml:space="preserve"> Cooperation Group, composed of representatives of EU Member States, the Commission and ENISA’, as established by Directive (EU) 2022/2555 on measures for a high common level of cybersecurity across the Union (‘NIS2 Directive’), published on 6 March 2024 a new edition of the compendium on how to protect the cyber integrity of elections. The new edition of the compendium lays out steps to take and useful guidance in managing potential cyber incidents throughout the election processes. This followed the exercise referred to above and the Recommendation on inclusive and resilient elections.</w:t>
      </w:r>
    </w:p>
    <w:p w14:paraId="2BC64624" w14:textId="77777777" w:rsidR="001845DE" w:rsidRPr="00AD0DE7" w:rsidRDefault="001845DE" w:rsidP="001845DE">
      <w:pPr>
        <w:widowControl w:val="0"/>
        <w:spacing w:after="120"/>
        <w:rPr>
          <w:rFonts w:ascii="Times New Roman" w:hAnsi="Times New Roman"/>
          <w:szCs w:val="24"/>
        </w:rPr>
      </w:pPr>
      <w:r w:rsidRPr="00AD0DE7">
        <w:rPr>
          <w:rFonts w:ascii="Times New Roman" w:hAnsi="Times New Roman"/>
          <w:szCs w:val="24"/>
        </w:rPr>
        <w:lastRenderedPageBreak/>
        <w:t>To ensure that the citizens are well informed and aware of how to safeguard the free formation of their opinions when participating in elections, the Recommendation on inclusive and resilience elections also promotes building resilience, awareness raising and training on interference around elections. The role of civil society, media organisations, research institutions and academia in developing public awareness, media literacy skills and critical thinking is key to equip citizens with the skills required to exercise judgment in complex realities affecting the democratic sphere. Member States are encouraged to make best use of funding available at Union level towards activities addressing information manipulation, interference and disinformation and affecting free, fair and resilient elections, including by promoting the funding opportunities of the Citizens, Equality, Rights and Values Programme, established by Regulation (EU) 2021/692 of the European Parliament and of the Council, and the Erasmus + Programme, established by Regulation (EU) 2021/817 of the European Parliament and of the Council. Member States are invited to encourage schools and higher education institutions to include media literacy, critical thinking, citizens’ political rights and obligations, and understanding of the functioning of democratic institutions and processes both in their country and at Union level and promotion of democratic participation in their curricula.</w:t>
      </w:r>
    </w:p>
    <w:p w14:paraId="707D8E58" w14:textId="0638AADF" w:rsidR="001845DE" w:rsidRDefault="001845DE" w:rsidP="001845DE">
      <w:pPr>
        <w:widowControl w:val="0"/>
        <w:spacing w:after="120"/>
        <w:rPr>
          <w:rFonts w:ascii="Times New Roman" w:hAnsi="Times New Roman"/>
          <w:szCs w:val="24"/>
        </w:rPr>
      </w:pPr>
      <w:r w:rsidRPr="00AD0DE7">
        <w:rPr>
          <w:rFonts w:ascii="Times New Roman" w:hAnsi="Times New Roman"/>
          <w:szCs w:val="24"/>
        </w:rPr>
        <w:t>These recommendations complement the Commission’s efforts to strengthen media freedom and pluralism under its annual rule of law reports and the European Democracy Action Plan, such as for the European Media Freedom Act and its initiatives to improve the safety of journalists and to protect journalists and human rights defenders and others from abusive lawsuits against public participation. They are also consistent with the Commission’s constant support for media resilience, including through specific funding and measures under its Media and Audiovisual Action Plan adopted in December 2020.</w:t>
      </w:r>
    </w:p>
    <w:sectPr w:rsidR="001845DE" w:rsidSect="000A07D2">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021" w:right="1701"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DC87B" w14:textId="77777777" w:rsidR="00293B06" w:rsidRDefault="00293B06">
      <w:r>
        <w:separator/>
      </w:r>
    </w:p>
  </w:endnote>
  <w:endnote w:type="continuationSeparator" w:id="0">
    <w:p w14:paraId="5D25323A" w14:textId="77777777" w:rsidR="00293B06" w:rsidRDefault="00293B06">
      <w:r>
        <w:continuationSeparator/>
      </w:r>
    </w:p>
  </w:endnote>
  <w:endnote w:type="continuationNotice" w:id="1">
    <w:p w14:paraId="0ECA7036" w14:textId="77777777" w:rsidR="00293B06" w:rsidRDefault="00293B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9497" w14:textId="77777777"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32B747D6" w14:textId="77777777" w:rsidR="005E6EC2" w:rsidRDefault="005E6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AA74B" w14:textId="346ECED8" w:rsidR="005E6EC2" w:rsidRDefault="005E6EC2"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7F30">
      <w:rPr>
        <w:rStyle w:val="PageNumber"/>
        <w:noProof/>
      </w:rPr>
      <w:t>4</w:t>
    </w:r>
    <w:r>
      <w:rPr>
        <w:rStyle w:val="PageNumber"/>
      </w:rPr>
      <w:fldChar w:fldCharType="end"/>
    </w:r>
  </w:p>
  <w:p w14:paraId="13D0BDD1" w14:textId="77777777" w:rsidR="005E6EC2" w:rsidRPr="008A6623" w:rsidRDefault="005E6EC2"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39A61" w14:textId="311A76EE" w:rsidR="005E6EC2" w:rsidRPr="00C807CC" w:rsidRDefault="005E6EC2" w:rsidP="00C80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673CD" w14:textId="77777777" w:rsidR="00293B06" w:rsidRDefault="00293B06">
      <w:r>
        <w:separator/>
      </w:r>
    </w:p>
  </w:footnote>
  <w:footnote w:type="continuationSeparator" w:id="0">
    <w:p w14:paraId="5A15A94F" w14:textId="77777777" w:rsidR="00293B06" w:rsidRDefault="00293B06">
      <w:r>
        <w:continuationSeparator/>
      </w:r>
    </w:p>
  </w:footnote>
  <w:footnote w:type="continuationNotice" w:id="1">
    <w:p w14:paraId="717DED12" w14:textId="77777777" w:rsidR="00293B06" w:rsidRDefault="00293B06">
      <w:pPr>
        <w:spacing w:after="0"/>
      </w:pPr>
    </w:p>
  </w:footnote>
  <w:footnote w:id="2">
    <w:p w14:paraId="1BCAB9CF" w14:textId="77777777" w:rsidR="001845DE" w:rsidRPr="00AD0DE7" w:rsidRDefault="001845DE" w:rsidP="001845DE">
      <w:pPr>
        <w:pStyle w:val="FootnoteText"/>
        <w:spacing w:after="0"/>
        <w:rPr>
          <w:rFonts w:ascii="Times New Roman" w:hAnsi="Times New Roman"/>
          <w:lang w:val="en-IE"/>
        </w:rPr>
      </w:pPr>
      <w:r w:rsidRPr="00AD0DE7">
        <w:rPr>
          <w:rStyle w:val="FootnoteReference"/>
          <w:rFonts w:ascii="Times New Roman" w:hAnsi="Times New Roman"/>
        </w:rPr>
        <w:footnoteRef/>
      </w:r>
      <w:r w:rsidRPr="00AD0DE7">
        <w:rPr>
          <w:rFonts w:ascii="Times New Roman" w:hAnsi="Times New Roman"/>
        </w:rPr>
        <w:t xml:space="preserve"> </w:t>
      </w:r>
      <w:r>
        <w:rPr>
          <w:rFonts w:ascii="Times New Roman" w:hAnsi="Times New Roman"/>
        </w:rPr>
        <w:tab/>
      </w:r>
      <w:hyperlink r:id="rId1" w:history="1">
        <w:r w:rsidRPr="00AB49A8">
          <w:rPr>
            <w:rStyle w:val="Hyperlink"/>
            <w:rFonts w:ascii="Times New Roman" w:hAnsi="Times New Roman"/>
          </w:rPr>
          <w:t>https://commission.europa.eu/document/download/c0441a72-c5c0-40d0-900f-c8af7d9b1a04_en? filename=Guide%20to%20EU_citizenship_EN_0.pdf</w:t>
        </w:r>
      </w:hyperlink>
      <w:r w:rsidRPr="00266638">
        <w:rPr>
          <w:rFonts w:ascii="Times New Roman" w:hAnsi="Times New Roman"/>
        </w:rPr>
        <w:t xml:space="preserve"> </w:t>
      </w:r>
    </w:p>
  </w:footnote>
  <w:footnote w:id="3">
    <w:p w14:paraId="4B470D25" w14:textId="77777777" w:rsidR="001845DE" w:rsidRPr="00AD0DE7" w:rsidRDefault="001845DE" w:rsidP="001845DE">
      <w:pPr>
        <w:pStyle w:val="FootnoteText"/>
        <w:spacing w:after="0"/>
        <w:rPr>
          <w:rFonts w:ascii="Times New Roman" w:hAnsi="Times New Roman"/>
          <w:lang w:val="en-IE"/>
        </w:rPr>
      </w:pPr>
      <w:r w:rsidRPr="00AD0DE7">
        <w:rPr>
          <w:rStyle w:val="FootnoteReference"/>
          <w:rFonts w:ascii="Times New Roman" w:hAnsi="Times New Roman"/>
        </w:rPr>
        <w:footnoteRef/>
      </w:r>
      <w:r w:rsidRPr="00AD0DE7">
        <w:rPr>
          <w:rFonts w:ascii="Times New Roman" w:hAnsi="Times New Roman"/>
        </w:rPr>
        <w:t xml:space="preserve"> </w:t>
      </w:r>
      <w:r>
        <w:rPr>
          <w:rFonts w:ascii="Times New Roman" w:hAnsi="Times New Roman"/>
        </w:rPr>
        <w:tab/>
      </w:r>
      <w:hyperlink r:id="rId2" w:history="1">
        <w:r w:rsidRPr="00AB49A8">
          <w:rPr>
            <w:rStyle w:val="Hyperlink"/>
            <w:rFonts w:ascii="Times New Roman" w:hAnsi="Times New Roman"/>
          </w:rPr>
          <w:t>https://elections.europa.eu/en/</w:t>
        </w:r>
      </w:hyperlink>
      <w:r w:rsidRPr="00AD0DE7">
        <w:rPr>
          <w:rFonts w:ascii="Times New Roman" w:hAnsi="Times New Roman"/>
        </w:rPr>
        <w:t xml:space="preserve"> </w:t>
      </w:r>
    </w:p>
  </w:footnote>
  <w:footnote w:id="4">
    <w:p w14:paraId="7FD02133" w14:textId="77777777" w:rsidR="001845DE" w:rsidRPr="00AD0DE7" w:rsidRDefault="001845DE" w:rsidP="001845DE">
      <w:pPr>
        <w:pStyle w:val="FootnoteText"/>
        <w:spacing w:after="0"/>
        <w:rPr>
          <w:rFonts w:ascii="Times New Roman" w:hAnsi="Times New Roman"/>
          <w:lang w:val="en-IE"/>
        </w:rPr>
      </w:pPr>
      <w:r w:rsidRPr="00AD0DE7">
        <w:rPr>
          <w:rStyle w:val="FootnoteReference"/>
          <w:rFonts w:ascii="Times New Roman" w:hAnsi="Times New Roman"/>
        </w:rPr>
        <w:footnoteRef/>
      </w:r>
      <w:r w:rsidRPr="00AD0DE7">
        <w:rPr>
          <w:rFonts w:ascii="Times New Roman" w:hAnsi="Times New Roman"/>
        </w:rPr>
        <w:t xml:space="preserve"> </w:t>
      </w:r>
      <w:r>
        <w:rPr>
          <w:rFonts w:ascii="Times New Roman" w:hAnsi="Times New Roman"/>
        </w:rPr>
        <w:tab/>
      </w:r>
      <w:hyperlink r:id="rId3" w:history="1">
        <w:r w:rsidRPr="00AB49A8">
          <w:rPr>
            <w:rStyle w:val="Hyperlink"/>
            <w:rFonts w:ascii="Times New Roman" w:hAnsi="Times New Roman"/>
          </w:rPr>
          <w:t>https://commission.europa.eu/publications/documents-defence-democracy_en</w:t>
        </w:r>
      </w:hyperlink>
      <w:r>
        <w:rPr>
          <w:rFonts w:ascii="Times New Roman" w:hAnsi="Times New Roman"/>
        </w:rPr>
        <w:t xml:space="preserve"> </w:t>
      </w:r>
    </w:p>
  </w:footnote>
  <w:footnote w:id="5">
    <w:p w14:paraId="6E969CC8" w14:textId="77777777" w:rsidR="001845DE" w:rsidRPr="00101279" w:rsidRDefault="001845DE" w:rsidP="001845DE">
      <w:pPr>
        <w:pStyle w:val="FootnoteText"/>
        <w:spacing w:after="0"/>
        <w:rPr>
          <w:rFonts w:ascii="Times New Roman" w:hAnsi="Times New Roman"/>
          <w:lang w:val="en-IE"/>
        </w:rPr>
      </w:pPr>
      <w:r w:rsidRPr="00101279">
        <w:rPr>
          <w:rStyle w:val="FootnoteReference"/>
          <w:rFonts w:ascii="Times New Roman" w:hAnsi="Times New Roman"/>
        </w:rPr>
        <w:footnoteRef/>
      </w:r>
      <w:r w:rsidRPr="00101279">
        <w:rPr>
          <w:rFonts w:ascii="Times New Roman" w:hAnsi="Times New Roman"/>
        </w:rPr>
        <w:t xml:space="preserve"> </w:t>
      </w:r>
      <w:r>
        <w:rPr>
          <w:rFonts w:ascii="Times New Roman" w:hAnsi="Times New Roman"/>
        </w:rPr>
        <w:tab/>
      </w:r>
      <w:hyperlink r:id="rId4" w:history="1">
        <w:r w:rsidRPr="00AB49A8">
          <w:rPr>
            <w:rStyle w:val="Hyperlink"/>
            <w:rFonts w:ascii="Times New Roman" w:hAnsi="Times New Roman"/>
          </w:rPr>
          <w:t>https://eur-lex.europa.eu/legal-content/EN/TXT/?uri=CELEX%3A32023H2829</w:t>
        </w:r>
      </w:hyperlink>
      <w:r>
        <w:rPr>
          <w:rFonts w:ascii="Times New Roman" w:hAnsi="Times New Roman"/>
        </w:rPr>
        <w:t xml:space="preserve"> </w:t>
      </w:r>
    </w:p>
  </w:footnote>
  <w:footnote w:id="6">
    <w:p w14:paraId="23099D38" w14:textId="77777777" w:rsidR="001845DE" w:rsidRPr="00AD0DE7" w:rsidRDefault="001845DE" w:rsidP="001845DE">
      <w:pPr>
        <w:pStyle w:val="FootnoteText"/>
        <w:spacing w:after="0"/>
        <w:rPr>
          <w:rFonts w:ascii="Times New Roman" w:hAnsi="Times New Roman"/>
          <w:lang w:val="en-IE"/>
        </w:rPr>
      </w:pPr>
      <w:r w:rsidRPr="00AD0DE7">
        <w:rPr>
          <w:rStyle w:val="FootnoteReference"/>
          <w:rFonts w:ascii="Times New Roman" w:hAnsi="Times New Roman"/>
        </w:rPr>
        <w:footnoteRef/>
      </w:r>
      <w:r w:rsidRPr="00AD0DE7">
        <w:rPr>
          <w:rFonts w:ascii="Times New Roman" w:hAnsi="Times New Roman"/>
        </w:rPr>
        <w:t xml:space="preserve"> </w:t>
      </w:r>
      <w:r>
        <w:rPr>
          <w:rFonts w:ascii="Times New Roman" w:hAnsi="Times New Roman"/>
        </w:rPr>
        <w:tab/>
      </w:r>
      <w:hyperlink r:id="rId5" w:history="1">
        <w:r w:rsidRPr="00AB49A8">
          <w:rPr>
            <w:rStyle w:val="Hyperlink"/>
            <w:rFonts w:ascii="Times New Roman" w:hAnsi="Times New Roman"/>
          </w:rPr>
          <w:t>https://commission.europa.eu/publications/reinforcing-democracy-and-integrity-elections-all-documents_en</w:t>
        </w:r>
      </w:hyperlink>
      <w:r>
        <w:rPr>
          <w:rFonts w:ascii="Times New Roman" w:hAnsi="Times New Roman"/>
        </w:rPr>
        <w:t xml:space="preserve"> </w:t>
      </w:r>
    </w:p>
  </w:footnote>
  <w:footnote w:id="7">
    <w:p w14:paraId="42E12ADC" w14:textId="77777777" w:rsidR="001845DE" w:rsidRPr="00AD0DE7" w:rsidRDefault="001845DE" w:rsidP="001845DE">
      <w:pPr>
        <w:pStyle w:val="FootnoteText"/>
        <w:spacing w:after="0"/>
        <w:rPr>
          <w:rFonts w:ascii="Times New Roman" w:hAnsi="Times New Roman"/>
          <w:lang w:val="en-IE"/>
        </w:rPr>
      </w:pPr>
      <w:r w:rsidRPr="00AD0DE7">
        <w:rPr>
          <w:rStyle w:val="FootnoteReference"/>
          <w:rFonts w:ascii="Times New Roman" w:hAnsi="Times New Roman"/>
        </w:rPr>
        <w:footnoteRef/>
      </w:r>
      <w:r w:rsidRPr="00AD0DE7">
        <w:rPr>
          <w:rFonts w:ascii="Times New Roman" w:hAnsi="Times New Roman"/>
        </w:rPr>
        <w:t xml:space="preserve"> </w:t>
      </w:r>
      <w:r>
        <w:rPr>
          <w:rFonts w:ascii="Times New Roman" w:hAnsi="Times New Roman"/>
        </w:rPr>
        <w:tab/>
      </w:r>
      <w:hyperlink r:id="rId6" w:history="1">
        <w:r w:rsidRPr="00AB49A8">
          <w:rPr>
            <w:rStyle w:val="Hyperlink"/>
            <w:rFonts w:ascii="Times New Roman" w:hAnsi="Times New Roman"/>
          </w:rPr>
          <w:t>https://commission.europa.eu/publications/guide-good-electoral-practices-member-states-addressing-participation-citizens-disabilities_en</w:t>
        </w:r>
      </w:hyperlink>
      <w:r>
        <w:rPr>
          <w:rFonts w:ascii="Times New Roman" w:hAnsi="Times New Roman"/>
        </w:rPr>
        <w:t xml:space="preserve"> </w:t>
      </w:r>
    </w:p>
  </w:footnote>
  <w:footnote w:id="8">
    <w:p w14:paraId="533618A1" w14:textId="77777777" w:rsidR="001845DE" w:rsidRPr="00AD0DE7" w:rsidRDefault="001845DE" w:rsidP="001845DE">
      <w:pPr>
        <w:pStyle w:val="FootnoteText"/>
        <w:spacing w:after="0"/>
        <w:rPr>
          <w:rFonts w:ascii="Times New Roman" w:hAnsi="Times New Roman"/>
          <w:lang w:val="en-IE"/>
        </w:rPr>
      </w:pPr>
      <w:r w:rsidRPr="00AD0DE7">
        <w:rPr>
          <w:rStyle w:val="FootnoteReference"/>
          <w:rFonts w:ascii="Times New Roman" w:hAnsi="Times New Roman"/>
        </w:rPr>
        <w:footnoteRef/>
      </w:r>
      <w:r w:rsidRPr="00AD0DE7">
        <w:rPr>
          <w:rFonts w:ascii="Times New Roman" w:hAnsi="Times New Roman"/>
        </w:rPr>
        <w:t xml:space="preserve"> </w:t>
      </w:r>
      <w:r>
        <w:rPr>
          <w:rFonts w:ascii="Times New Roman" w:hAnsi="Times New Roman"/>
        </w:rPr>
        <w:tab/>
      </w:r>
      <w:hyperlink r:id="rId7" w:history="1">
        <w:r w:rsidRPr="00AB49A8">
          <w:rPr>
            <w:rStyle w:val="Hyperlink"/>
            <w:rFonts w:ascii="Times New Roman" w:hAnsi="Times New Roman"/>
          </w:rPr>
          <w:t>https://eur-lex.europa.eu/legal-content/EN/TXT/?toc=OJ%3AL%3A2022%3A277%3ATOC&amp;uri= uriserv%3AOJ.L_.2022.277.01.0001.01.ENG</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7A6E" w14:textId="77777777" w:rsidR="00C807CC" w:rsidRDefault="00C80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3B78" w14:textId="77777777" w:rsidR="00C807CC" w:rsidRDefault="00C80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C0B" w14:textId="77777777" w:rsidR="00C807CC" w:rsidRDefault="00C807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3C8321C"/>
    <w:multiLevelType w:val="hybridMultilevel"/>
    <w:tmpl w:val="E75EBFFA"/>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6"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7"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2973D2"/>
    <w:multiLevelType w:val="hybridMultilevel"/>
    <w:tmpl w:val="419A2060"/>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19D23947"/>
    <w:multiLevelType w:val="hybridMultilevel"/>
    <w:tmpl w:val="A4003D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0"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1"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73D76BD"/>
    <w:multiLevelType w:val="hybridMultilevel"/>
    <w:tmpl w:val="F886C57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BBE5D05"/>
    <w:multiLevelType w:val="hybridMultilevel"/>
    <w:tmpl w:val="F7FE6A86"/>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1393755"/>
    <w:multiLevelType w:val="hybridMultilevel"/>
    <w:tmpl w:val="2046894C"/>
    <w:lvl w:ilvl="0" w:tplc="08090001">
      <w:start w:val="1"/>
      <w:numFmt w:val="bullet"/>
      <w:lvlText w:val=""/>
      <w:lvlJc w:val="left"/>
      <w:pPr>
        <w:ind w:left="4680" w:hanging="360"/>
      </w:pPr>
      <w:rPr>
        <w:rFonts w:ascii="Symbol" w:hAnsi="Symbol" w:hint="default"/>
      </w:rPr>
    </w:lvl>
    <w:lvl w:ilvl="1" w:tplc="08090003" w:tentative="1">
      <w:start w:val="1"/>
      <w:numFmt w:val="bullet"/>
      <w:lvlText w:val="o"/>
      <w:lvlJc w:val="left"/>
      <w:pPr>
        <w:ind w:left="5400" w:hanging="360"/>
      </w:pPr>
      <w:rPr>
        <w:rFonts w:ascii="Courier New" w:hAnsi="Courier New" w:cs="Courier New" w:hint="default"/>
      </w:rPr>
    </w:lvl>
    <w:lvl w:ilvl="2" w:tplc="08090005" w:tentative="1">
      <w:start w:val="1"/>
      <w:numFmt w:val="bullet"/>
      <w:lvlText w:val=""/>
      <w:lvlJc w:val="left"/>
      <w:pPr>
        <w:ind w:left="6120" w:hanging="360"/>
      </w:pPr>
      <w:rPr>
        <w:rFonts w:ascii="Wingdings" w:hAnsi="Wingdings" w:hint="default"/>
      </w:rPr>
    </w:lvl>
    <w:lvl w:ilvl="3" w:tplc="08090001" w:tentative="1">
      <w:start w:val="1"/>
      <w:numFmt w:val="bullet"/>
      <w:lvlText w:val=""/>
      <w:lvlJc w:val="left"/>
      <w:pPr>
        <w:ind w:left="684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8280" w:hanging="360"/>
      </w:pPr>
      <w:rPr>
        <w:rFonts w:ascii="Wingdings" w:hAnsi="Wingdings" w:hint="default"/>
      </w:rPr>
    </w:lvl>
    <w:lvl w:ilvl="6" w:tplc="08090001" w:tentative="1">
      <w:start w:val="1"/>
      <w:numFmt w:val="bullet"/>
      <w:lvlText w:val=""/>
      <w:lvlJc w:val="left"/>
      <w:pPr>
        <w:ind w:left="9000" w:hanging="360"/>
      </w:pPr>
      <w:rPr>
        <w:rFonts w:ascii="Symbol" w:hAnsi="Symbol" w:hint="default"/>
      </w:rPr>
    </w:lvl>
    <w:lvl w:ilvl="7" w:tplc="08090003" w:tentative="1">
      <w:start w:val="1"/>
      <w:numFmt w:val="bullet"/>
      <w:lvlText w:val="o"/>
      <w:lvlJc w:val="left"/>
      <w:pPr>
        <w:ind w:left="9720" w:hanging="360"/>
      </w:pPr>
      <w:rPr>
        <w:rFonts w:ascii="Courier New" w:hAnsi="Courier New" w:cs="Courier New" w:hint="default"/>
      </w:rPr>
    </w:lvl>
    <w:lvl w:ilvl="8" w:tplc="08090005" w:tentative="1">
      <w:start w:val="1"/>
      <w:numFmt w:val="bullet"/>
      <w:lvlText w:val=""/>
      <w:lvlJc w:val="left"/>
      <w:pPr>
        <w:ind w:left="10440" w:hanging="360"/>
      </w:pPr>
      <w:rPr>
        <w:rFonts w:ascii="Wingdings" w:hAnsi="Wingdings" w:hint="default"/>
      </w:rPr>
    </w:lvl>
  </w:abstractNum>
  <w:abstractNum w:abstractNumId="19"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2" w15:restartNumberingAfterBreak="0">
    <w:nsid w:val="641002BF"/>
    <w:multiLevelType w:val="hybridMultilevel"/>
    <w:tmpl w:val="F1CEE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5933D9"/>
    <w:multiLevelType w:val="hybridMultilevel"/>
    <w:tmpl w:val="B9D46C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7545DE"/>
    <w:multiLevelType w:val="hybridMultilevel"/>
    <w:tmpl w:val="2E307808"/>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7D8532D7"/>
    <w:multiLevelType w:val="hybridMultilevel"/>
    <w:tmpl w:val="C66A48E8"/>
    <w:lvl w:ilvl="0" w:tplc="FFFFFFFF">
      <w:start w:val="1"/>
      <w:numFmt w:val="decimal"/>
      <w:lvlText w:val="%1."/>
      <w:lvlJc w:val="left"/>
      <w:pPr>
        <w:ind w:left="720" w:hanging="720"/>
      </w:pPr>
      <w:rPr>
        <w:rFonts w:hint="default"/>
        <w:b/>
        <w:i w:val="0"/>
      </w:rPr>
    </w:lvl>
    <w:lvl w:ilvl="1" w:tplc="FFFFFFFF">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3"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418867041">
    <w:abstractNumId w:val="6"/>
  </w:num>
  <w:num w:numId="2" w16cid:durableId="1041201968">
    <w:abstractNumId w:val="1"/>
  </w:num>
  <w:num w:numId="3" w16cid:durableId="1328360106">
    <w:abstractNumId w:val="31"/>
  </w:num>
  <w:num w:numId="4" w16cid:durableId="391923605">
    <w:abstractNumId w:val="13"/>
  </w:num>
  <w:num w:numId="5" w16cid:durableId="1274291741">
    <w:abstractNumId w:val="25"/>
  </w:num>
  <w:num w:numId="6" w16cid:durableId="1815872576">
    <w:abstractNumId w:val="10"/>
  </w:num>
  <w:num w:numId="7" w16cid:durableId="1634822002">
    <w:abstractNumId w:val="5"/>
  </w:num>
  <w:num w:numId="8" w16cid:durableId="1122109669">
    <w:abstractNumId w:val="16"/>
  </w:num>
  <w:num w:numId="9" w16cid:durableId="207229998">
    <w:abstractNumId w:val="30"/>
  </w:num>
  <w:num w:numId="10" w16cid:durableId="695347775">
    <w:abstractNumId w:val="21"/>
  </w:num>
  <w:num w:numId="11" w16cid:durableId="1349259601">
    <w:abstractNumId w:val="23"/>
  </w:num>
  <w:num w:numId="12" w16cid:durableId="1356227823">
    <w:abstractNumId w:val="11"/>
  </w:num>
  <w:num w:numId="13" w16cid:durableId="1286306002">
    <w:abstractNumId w:val="17"/>
  </w:num>
  <w:num w:numId="14" w16cid:durableId="2093579006">
    <w:abstractNumId w:val="26"/>
  </w:num>
  <w:num w:numId="15" w16cid:durableId="1374427667">
    <w:abstractNumId w:val="15"/>
  </w:num>
  <w:num w:numId="16" w16cid:durableId="1138690386">
    <w:abstractNumId w:val="33"/>
  </w:num>
  <w:num w:numId="17" w16cid:durableId="373041363">
    <w:abstractNumId w:val="29"/>
  </w:num>
  <w:num w:numId="18" w16cid:durableId="467013382">
    <w:abstractNumId w:val="19"/>
  </w:num>
  <w:num w:numId="19" w16cid:durableId="259409586">
    <w:abstractNumId w:val="20"/>
  </w:num>
  <w:num w:numId="20" w16cid:durableId="1425305311">
    <w:abstractNumId w:val="24"/>
  </w:num>
  <w:num w:numId="21" w16cid:durableId="1627587620">
    <w:abstractNumId w:val="3"/>
  </w:num>
  <w:num w:numId="22" w16cid:durableId="664550705">
    <w:abstractNumId w:val="4"/>
  </w:num>
  <w:num w:numId="23" w16cid:durableId="240912412">
    <w:abstractNumId w:val="18"/>
  </w:num>
  <w:num w:numId="24" w16cid:durableId="2143308629">
    <w:abstractNumId w:val="27"/>
  </w:num>
  <w:num w:numId="25" w16cid:durableId="1735009460">
    <w:abstractNumId w:val="9"/>
  </w:num>
  <w:num w:numId="26" w16cid:durableId="1844318986">
    <w:abstractNumId w:val="28"/>
  </w:num>
  <w:num w:numId="27" w16cid:durableId="551960707">
    <w:abstractNumId w:val="8"/>
  </w:num>
  <w:num w:numId="28" w16cid:durableId="1778208402">
    <w:abstractNumId w:val="2"/>
  </w:num>
  <w:num w:numId="29" w16cid:durableId="1424574180">
    <w:abstractNumId w:val="14"/>
  </w:num>
  <w:num w:numId="30" w16cid:durableId="198975567">
    <w:abstractNumId w:val="22"/>
  </w:num>
  <w:num w:numId="31" w16cid:durableId="1307777883">
    <w:abstractNumId w:val="31"/>
  </w:num>
  <w:num w:numId="32" w16cid:durableId="962006879">
    <w:abstractNumId w:val="12"/>
  </w:num>
  <w:num w:numId="33" w16cid:durableId="1885487759">
    <w:abstractNumId w:val="3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GB" w:vendorID="64" w:dllVersion="0" w:nlCheck="1" w:checkStyle="0"/>
  <w:activeWritingStyle w:appName="MSWord" w:lang="fr-B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TEL"/>
  </w:docVars>
  <w:rsids>
    <w:rsidRoot w:val="009A3DA0"/>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8D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35F"/>
    <w:rsid w:val="0002452D"/>
    <w:rsid w:val="00024671"/>
    <w:rsid w:val="00024685"/>
    <w:rsid w:val="000248D5"/>
    <w:rsid w:val="000249F6"/>
    <w:rsid w:val="00024BE2"/>
    <w:rsid w:val="00024C5F"/>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ADC"/>
    <w:rsid w:val="00040C7A"/>
    <w:rsid w:val="00040E6E"/>
    <w:rsid w:val="0004105D"/>
    <w:rsid w:val="00041310"/>
    <w:rsid w:val="0004146E"/>
    <w:rsid w:val="000414BC"/>
    <w:rsid w:val="0004189C"/>
    <w:rsid w:val="0004193F"/>
    <w:rsid w:val="0004195A"/>
    <w:rsid w:val="00041A87"/>
    <w:rsid w:val="00041DA3"/>
    <w:rsid w:val="00041F1F"/>
    <w:rsid w:val="0004209B"/>
    <w:rsid w:val="000420DB"/>
    <w:rsid w:val="000421A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512"/>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902"/>
    <w:rsid w:val="00057E1C"/>
    <w:rsid w:val="00057EA9"/>
    <w:rsid w:val="00060742"/>
    <w:rsid w:val="000607D0"/>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D91"/>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98B"/>
    <w:rsid w:val="00077B88"/>
    <w:rsid w:val="00077BFB"/>
    <w:rsid w:val="000800AF"/>
    <w:rsid w:val="00080191"/>
    <w:rsid w:val="0008029D"/>
    <w:rsid w:val="000804D5"/>
    <w:rsid w:val="000807AE"/>
    <w:rsid w:val="000807B5"/>
    <w:rsid w:val="00080AD9"/>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3EAD"/>
    <w:rsid w:val="00084044"/>
    <w:rsid w:val="00084211"/>
    <w:rsid w:val="00084419"/>
    <w:rsid w:val="0008449C"/>
    <w:rsid w:val="000845D7"/>
    <w:rsid w:val="000846F8"/>
    <w:rsid w:val="00084B71"/>
    <w:rsid w:val="00084D1E"/>
    <w:rsid w:val="00084DFB"/>
    <w:rsid w:val="0008526A"/>
    <w:rsid w:val="000853EB"/>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343"/>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D2"/>
    <w:rsid w:val="000A07F3"/>
    <w:rsid w:val="000A0849"/>
    <w:rsid w:val="000A09F3"/>
    <w:rsid w:val="000A0BAF"/>
    <w:rsid w:val="000A1105"/>
    <w:rsid w:val="000A1418"/>
    <w:rsid w:val="000A1760"/>
    <w:rsid w:val="000A1962"/>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70BC"/>
    <w:rsid w:val="000B739A"/>
    <w:rsid w:val="000B73B7"/>
    <w:rsid w:val="000B7631"/>
    <w:rsid w:val="000B776B"/>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D3E"/>
    <w:rsid w:val="000C3E3B"/>
    <w:rsid w:val="000C4015"/>
    <w:rsid w:val="000C405D"/>
    <w:rsid w:val="000C4440"/>
    <w:rsid w:val="000C45D5"/>
    <w:rsid w:val="000C4733"/>
    <w:rsid w:val="000C4791"/>
    <w:rsid w:val="000C4804"/>
    <w:rsid w:val="000C486E"/>
    <w:rsid w:val="000C4BEC"/>
    <w:rsid w:val="000C4CD3"/>
    <w:rsid w:val="000C52B2"/>
    <w:rsid w:val="000C53D3"/>
    <w:rsid w:val="000C53D4"/>
    <w:rsid w:val="000C5518"/>
    <w:rsid w:val="000C5720"/>
    <w:rsid w:val="000C5898"/>
    <w:rsid w:val="000C61AB"/>
    <w:rsid w:val="000C628E"/>
    <w:rsid w:val="000C6577"/>
    <w:rsid w:val="000C6610"/>
    <w:rsid w:val="000C6902"/>
    <w:rsid w:val="000C69CA"/>
    <w:rsid w:val="000C71A3"/>
    <w:rsid w:val="000C728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2B91"/>
    <w:rsid w:val="000D333F"/>
    <w:rsid w:val="000D34BD"/>
    <w:rsid w:val="000D3537"/>
    <w:rsid w:val="000D37F7"/>
    <w:rsid w:val="000D38B0"/>
    <w:rsid w:val="000D390C"/>
    <w:rsid w:val="000D3A17"/>
    <w:rsid w:val="000D414D"/>
    <w:rsid w:val="000D416D"/>
    <w:rsid w:val="000D4395"/>
    <w:rsid w:val="000D4534"/>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06"/>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1EE0"/>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D"/>
    <w:rsid w:val="000E4750"/>
    <w:rsid w:val="000E4788"/>
    <w:rsid w:val="000E4C9D"/>
    <w:rsid w:val="000E4E61"/>
    <w:rsid w:val="000E51A0"/>
    <w:rsid w:val="000E58E0"/>
    <w:rsid w:val="000E59FD"/>
    <w:rsid w:val="000E5C16"/>
    <w:rsid w:val="000E6201"/>
    <w:rsid w:val="000E68CA"/>
    <w:rsid w:val="000E690A"/>
    <w:rsid w:val="000E695D"/>
    <w:rsid w:val="000E6984"/>
    <w:rsid w:val="000E699A"/>
    <w:rsid w:val="000E6FA8"/>
    <w:rsid w:val="000E702D"/>
    <w:rsid w:val="000E719A"/>
    <w:rsid w:val="000E72A8"/>
    <w:rsid w:val="000E7303"/>
    <w:rsid w:val="000E75D1"/>
    <w:rsid w:val="000E7C9D"/>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B0A"/>
    <w:rsid w:val="000F4D76"/>
    <w:rsid w:val="000F4E7E"/>
    <w:rsid w:val="000F514F"/>
    <w:rsid w:val="000F52C9"/>
    <w:rsid w:val="000F54AD"/>
    <w:rsid w:val="000F5A73"/>
    <w:rsid w:val="000F5C29"/>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78"/>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6F"/>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2F"/>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D9F"/>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1F1"/>
    <w:rsid w:val="001363F1"/>
    <w:rsid w:val="001364BC"/>
    <w:rsid w:val="00136660"/>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96A"/>
    <w:rsid w:val="00143061"/>
    <w:rsid w:val="00143335"/>
    <w:rsid w:val="00143391"/>
    <w:rsid w:val="001438FC"/>
    <w:rsid w:val="00143DDE"/>
    <w:rsid w:val="00143F3D"/>
    <w:rsid w:val="0014413D"/>
    <w:rsid w:val="00145AB8"/>
    <w:rsid w:val="00145BBD"/>
    <w:rsid w:val="00145D7D"/>
    <w:rsid w:val="001463CA"/>
    <w:rsid w:val="00146572"/>
    <w:rsid w:val="0014708A"/>
    <w:rsid w:val="00147197"/>
    <w:rsid w:val="001476D4"/>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687"/>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53D"/>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77E"/>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EE"/>
    <w:rsid w:val="00175520"/>
    <w:rsid w:val="001755D6"/>
    <w:rsid w:val="001755FC"/>
    <w:rsid w:val="00175895"/>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116"/>
    <w:rsid w:val="001807A9"/>
    <w:rsid w:val="00180812"/>
    <w:rsid w:val="0018082C"/>
    <w:rsid w:val="00180C02"/>
    <w:rsid w:val="00180C73"/>
    <w:rsid w:val="00180CA5"/>
    <w:rsid w:val="00180DB8"/>
    <w:rsid w:val="00180DD5"/>
    <w:rsid w:val="001810AC"/>
    <w:rsid w:val="00181350"/>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9FE"/>
    <w:rsid w:val="00183A22"/>
    <w:rsid w:val="00183EF3"/>
    <w:rsid w:val="001843EF"/>
    <w:rsid w:val="001844BB"/>
    <w:rsid w:val="001844C3"/>
    <w:rsid w:val="001845DE"/>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84C"/>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E17"/>
    <w:rsid w:val="00193FA0"/>
    <w:rsid w:val="0019484D"/>
    <w:rsid w:val="00194A0F"/>
    <w:rsid w:val="00194B51"/>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A0"/>
    <w:rsid w:val="001A3205"/>
    <w:rsid w:val="001A332F"/>
    <w:rsid w:val="001A3653"/>
    <w:rsid w:val="001A36FE"/>
    <w:rsid w:val="001A3A1C"/>
    <w:rsid w:val="001A3A62"/>
    <w:rsid w:val="001A3C4B"/>
    <w:rsid w:val="001A4016"/>
    <w:rsid w:val="001A40E0"/>
    <w:rsid w:val="001A4259"/>
    <w:rsid w:val="001A446E"/>
    <w:rsid w:val="001A45AB"/>
    <w:rsid w:val="001A4C2D"/>
    <w:rsid w:val="001A4CFE"/>
    <w:rsid w:val="001A4D24"/>
    <w:rsid w:val="001A4FE4"/>
    <w:rsid w:val="001A5720"/>
    <w:rsid w:val="001A58FB"/>
    <w:rsid w:val="001A59BE"/>
    <w:rsid w:val="001A5EB0"/>
    <w:rsid w:val="001A5EFC"/>
    <w:rsid w:val="001A5FC1"/>
    <w:rsid w:val="001A602A"/>
    <w:rsid w:val="001A61A3"/>
    <w:rsid w:val="001A63A1"/>
    <w:rsid w:val="001A63A2"/>
    <w:rsid w:val="001A65C7"/>
    <w:rsid w:val="001A6768"/>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1AD"/>
    <w:rsid w:val="001C0463"/>
    <w:rsid w:val="001C04FE"/>
    <w:rsid w:val="001C0985"/>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4A99"/>
    <w:rsid w:val="001C580F"/>
    <w:rsid w:val="001C5849"/>
    <w:rsid w:val="001C58C0"/>
    <w:rsid w:val="001C5C8A"/>
    <w:rsid w:val="001C6197"/>
    <w:rsid w:val="001C680C"/>
    <w:rsid w:val="001C68EB"/>
    <w:rsid w:val="001C6B35"/>
    <w:rsid w:val="001C6E36"/>
    <w:rsid w:val="001C6ECF"/>
    <w:rsid w:val="001C6FA2"/>
    <w:rsid w:val="001C7433"/>
    <w:rsid w:val="001C77DB"/>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075"/>
    <w:rsid w:val="001D670F"/>
    <w:rsid w:val="001D68FE"/>
    <w:rsid w:val="001D6923"/>
    <w:rsid w:val="001D6C21"/>
    <w:rsid w:val="001D6DC1"/>
    <w:rsid w:val="001D72EF"/>
    <w:rsid w:val="001D7541"/>
    <w:rsid w:val="001D7715"/>
    <w:rsid w:val="001E0259"/>
    <w:rsid w:val="001E035B"/>
    <w:rsid w:val="001E03CE"/>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709"/>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C8D"/>
    <w:rsid w:val="00210F5F"/>
    <w:rsid w:val="00210FDF"/>
    <w:rsid w:val="00210FF4"/>
    <w:rsid w:val="002111C6"/>
    <w:rsid w:val="00211279"/>
    <w:rsid w:val="002118CB"/>
    <w:rsid w:val="0021193D"/>
    <w:rsid w:val="0021199C"/>
    <w:rsid w:val="00211B2F"/>
    <w:rsid w:val="00211B32"/>
    <w:rsid w:val="00211D11"/>
    <w:rsid w:val="00211D71"/>
    <w:rsid w:val="00211FFF"/>
    <w:rsid w:val="00212222"/>
    <w:rsid w:val="00212706"/>
    <w:rsid w:val="002128AE"/>
    <w:rsid w:val="00212B11"/>
    <w:rsid w:val="00212FD8"/>
    <w:rsid w:val="0021304A"/>
    <w:rsid w:val="002130AE"/>
    <w:rsid w:val="002134DA"/>
    <w:rsid w:val="0021353E"/>
    <w:rsid w:val="002135B7"/>
    <w:rsid w:val="0021365E"/>
    <w:rsid w:val="002136AD"/>
    <w:rsid w:val="0021393D"/>
    <w:rsid w:val="00213A2B"/>
    <w:rsid w:val="00213AA0"/>
    <w:rsid w:val="00213D55"/>
    <w:rsid w:val="00213F32"/>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50"/>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43D"/>
    <w:rsid w:val="0023356F"/>
    <w:rsid w:val="00233656"/>
    <w:rsid w:val="00233749"/>
    <w:rsid w:val="002338E8"/>
    <w:rsid w:val="00233B5C"/>
    <w:rsid w:val="00233E26"/>
    <w:rsid w:val="00233E5C"/>
    <w:rsid w:val="00233ED8"/>
    <w:rsid w:val="00233FD6"/>
    <w:rsid w:val="002346D9"/>
    <w:rsid w:val="00234E56"/>
    <w:rsid w:val="00234EB2"/>
    <w:rsid w:val="00234FF4"/>
    <w:rsid w:val="0023552E"/>
    <w:rsid w:val="00235968"/>
    <w:rsid w:val="00235B35"/>
    <w:rsid w:val="00235BFB"/>
    <w:rsid w:val="00235D31"/>
    <w:rsid w:val="00236008"/>
    <w:rsid w:val="0023611D"/>
    <w:rsid w:val="00236124"/>
    <w:rsid w:val="00236259"/>
    <w:rsid w:val="00236570"/>
    <w:rsid w:val="00236722"/>
    <w:rsid w:val="002367F0"/>
    <w:rsid w:val="00237015"/>
    <w:rsid w:val="00237507"/>
    <w:rsid w:val="0023752E"/>
    <w:rsid w:val="0023757C"/>
    <w:rsid w:val="00237677"/>
    <w:rsid w:val="00237701"/>
    <w:rsid w:val="0023778A"/>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3F0D"/>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F47"/>
    <w:rsid w:val="00253F7D"/>
    <w:rsid w:val="00253FB8"/>
    <w:rsid w:val="00254470"/>
    <w:rsid w:val="002544C2"/>
    <w:rsid w:val="0025459C"/>
    <w:rsid w:val="002546A9"/>
    <w:rsid w:val="00254775"/>
    <w:rsid w:val="00254BC2"/>
    <w:rsid w:val="00255137"/>
    <w:rsid w:val="0025526A"/>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BA1"/>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638"/>
    <w:rsid w:val="002667CA"/>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AF9"/>
    <w:rsid w:val="00276CAD"/>
    <w:rsid w:val="0027701F"/>
    <w:rsid w:val="00277198"/>
    <w:rsid w:val="002772F2"/>
    <w:rsid w:val="00277399"/>
    <w:rsid w:val="002777D6"/>
    <w:rsid w:val="0027789B"/>
    <w:rsid w:val="00277C97"/>
    <w:rsid w:val="00277DBC"/>
    <w:rsid w:val="00277F8B"/>
    <w:rsid w:val="00280616"/>
    <w:rsid w:val="002806D9"/>
    <w:rsid w:val="0028080A"/>
    <w:rsid w:val="00280966"/>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6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466"/>
    <w:rsid w:val="00293489"/>
    <w:rsid w:val="002937EF"/>
    <w:rsid w:val="00293B06"/>
    <w:rsid w:val="00293B9E"/>
    <w:rsid w:val="002940C3"/>
    <w:rsid w:val="0029415D"/>
    <w:rsid w:val="00294170"/>
    <w:rsid w:val="00294327"/>
    <w:rsid w:val="00294809"/>
    <w:rsid w:val="00294A66"/>
    <w:rsid w:val="00294E7D"/>
    <w:rsid w:val="002952D8"/>
    <w:rsid w:val="00295404"/>
    <w:rsid w:val="00295489"/>
    <w:rsid w:val="002954EC"/>
    <w:rsid w:val="002957C4"/>
    <w:rsid w:val="0029582E"/>
    <w:rsid w:val="00295995"/>
    <w:rsid w:val="00295A12"/>
    <w:rsid w:val="00295A33"/>
    <w:rsid w:val="00295B63"/>
    <w:rsid w:val="00295D26"/>
    <w:rsid w:val="00296014"/>
    <w:rsid w:val="002962E6"/>
    <w:rsid w:val="00296D2B"/>
    <w:rsid w:val="002972E1"/>
    <w:rsid w:val="0029765B"/>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7E9"/>
    <w:rsid w:val="002A3A49"/>
    <w:rsid w:val="002A3CFD"/>
    <w:rsid w:val="002A3EA2"/>
    <w:rsid w:val="002A4132"/>
    <w:rsid w:val="002A4221"/>
    <w:rsid w:val="002A466C"/>
    <w:rsid w:val="002A46B9"/>
    <w:rsid w:val="002A4EA4"/>
    <w:rsid w:val="002A5068"/>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499"/>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5C23"/>
    <w:rsid w:val="002B606D"/>
    <w:rsid w:val="002B60CB"/>
    <w:rsid w:val="002B627D"/>
    <w:rsid w:val="002B649E"/>
    <w:rsid w:val="002B64A3"/>
    <w:rsid w:val="002B65C7"/>
    <w:rsid w:val="002B6882"/>
    <w:rsid w:val="002B6B4F"/>
    <w:rsid w:val="002B6C64"/>
    <w:rsid w:val="002B6CFB"/>
    <w:rsid w:val="002B6D3A"/>
    <w:rsid w:val="002B6E97"/>
    <w:rsid w:val="002B7AD5"/>
    <w:rsid w:val="002B7BAF"/>
    <w:rsid w:val="002B7BEB"/>
    <w:rsid w:val="002B7CCD"/>
    <w:rsid w:val="002C0046"/>
    <w:rsid w:val="002C00E0"/>
    <w:rsid w:val="002C05F0"/>
    <w:rsid w:val="002C0661"/>
    <w:rsid w:val="002C085E"/>
    <w:rsid w:val="002C089B"/>
    <w:rsid w:val="002C093A"/>
    <w:rsid w:val="002C0C05"/>
    <w:rsid w:val="002C0FF0"/>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36B"/>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3BF"/>
    <w:rsid w:val="002E37B5"/>
    <w:rsid w:val="002E380E"/>
    <w:rsid w:val="002E3B41"/>
    <w:rsid w:val="002E3DF0"/>
    <w:rsid w:val="002E4608"/>
    <w:rsid w:val="002E4671"/>
    <w:rsid w:val="002E4E82"/>
    <w:rsid w:val="002E4EE2"/>
    <w:rsid w:val="002E5335"/>
    <w:rsid w:val="002E5734"/>
    <w:rsid w:val="002E5811"/>
    <w:rsid w:val="002E5AF7"/>
    <w:rsid w:val="002E5CF2"/>
    <w:rsid w:val="002E5F3B"/>
    <w:rsid w:val="002E660A"/>
    <w:rsid w:val="002E6799"/>
    <w:rsid w:val="002E6C40"/>
    <w:rsid w:val="002E6CCF"/>
    <w:rsid w:val="002E6E72"/>
    <w:rsid w:val="002E706B"/>
    <w:rsid w:val="002E7523"/>
    <w:rsid w:val="002E7AA9"/>
    <w:rsid w:val="002E7ABC"/>
    <w:rsid w:val="002E7BCD"/>
    <w:rsid w:val="002E7D0A"/>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B8F"/>
    <w:rsid w:val="002F2EEA"/>
    <w:rsid w:val="002F3437"/>
    <w:rsid w:val="002F3659"/>
    <w:rsid w:val="002F3BAD"/>
    <w:rsid w:val="002F3C2C"/>
    <w:rsid w:val="002F3E3D"/>
    <w:rsid w:val="002F4122"/>
    <w:rsid w:val="002F41C9"/>
    <w:rsid w:val="002F476D"/>
    <w:rsid w:val="002F47C6"/>
    <w:rsid w:val="002F4893"/>
    <w:rsid w:val="002F4A47"/>
    <w:rsid w:val="002F4BDF"/>
    <w:rsid w:val="002F4C97"/>
    <w:rsid w:val="002F4FC1"/>
    <w:rsid w:val="002F50A4"/>
    <w:rsid w:val="002F538A"/>
    <w:rsid w:val="002F6268"/>
    <w:rsid w:val="002F644B"/>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2EF4"/>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FD"/>
    <w:rsid w:val="0030679B"/>
    <w:rsid w:val="003067B0"/>
    <w:rsid w:val="00306914"/>
    <w:rsid w:val="00306DA0"/>
    <w:rsid w:val="00306FED"/>
    <w:rsid w:val="003076A7"/>
    <w:rsid w:val="003076D2"/>
    <w:rsid w:val="003078FC"/>
    <w:rsid w:val="00307C81"/>
    <w:rsid w:val="003100B4"/>
    <w:rsid w:val="00310475"/>
    <w:rsid w:val="003107E7"/>
    <w:rsid w:val="00310AF2"/>
    <w:rsid w:val="00310CE4"/>
    <w:rsid w:val="0031100E"/>
    <w:rsid w:val="00311194"/>
    <w:rsid w:val="0031125F"/>
    <w:rsid w:val="0031136C"/>
    <w:rsid w:val="0031177F"/>
    <w:rsid w:val="00311B7B"/>
    <w:rsid w:val="00311F51"/>
    <w:rsid w:val="003122E8"/>
    <w:rsid w:val="00312635"/>
    <w:rsid w:val="00312B96"/>
    <w:rsid w:val="00312BA3"/>
    <w:rsid w:val="00313B7C"/>
    <w:rsid w:val="00313C32"/>
    <w:rsid w:val="00314017"/>
    <w:rsid w:val="00314034"/>
    <w:rsid w:val="00314397"/>
    <w:rsid w:val="003144BA"/>
    <w:rsid w:val="00314523"/>
    <w:rsid w:val="00314645"/>
    <w:rsid w:val="003149A3"/>
    <w:rsid w:val="00314B2A"/>
    <w:rsid w:val="00315000"/>
    <w:rsid w:val="0031550B"/>
    <w:rsid w:val="00315540"/>
    <w:rsid w:val="00315A9D"/>
    <w:rsid w:val="00315CEA"/>
    <w:rsid w:val="00315E08"/>
    <w:rsid w:val="00316755"/>
    <w:rsid w:val="003169B6"/>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D0"/>
    <w:rsid w:val="00322ED9"/>
    <w:rsid w:val="00322FA3"/>
    <w:rsid w:val="00323450"/>
    <w:rsid w:val="0032350B"/>
    <w:rsid w:val="00323BC5"/>
    <w:rsid w:val="00323BEB"/>
    <w:rsid w:val="00324673"/>
    <w:rsid w:val="00324B9B"/>
    <w:rsid w:val="00324D46"/>
    <w:rsid w:val="00324DE1"/>
    <w:rsid w:val="003250DD"/>
    <w:rsid w:val="003257CD"/>
    <w:rsid w:val="00325B0D"/>
    <w:rsid w:val="00325B56"/>
    <w:rsid w:val="00325DF1"/>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1DB9"/>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0F5"/>
    <w:rsid w:val="0033435C"/>
    <w:rsid w:val="00334AA7"/>
    <w:rsid w:val="0033504D"/>
    <w:rsid w:val="00335190"/>
    <w:rsid w:val="003351D9"/>
    <w:rsid w:val="0033532E"/>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A35"/>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2B1"/>
    <w:rsid w:val="00353333"/>
    <w:rsid w:val="00353907"/>
    <w:rsid w:val="00353C8B"/>
    <w:rsid w:val="00353E7D"/>
    <w:rsid w:val="003542D4"/>
    <w:rsid w:val="003543DA"/>
    <w:rsid w:val="00354514"/>
    <w:rsid w:val="0035483F"/>
    <w:rsid w:val="00354B65"/>
    <w:rsid w:val="00354B6B"/>
    <w:rsid w:val="00354B7A"/>
    <w:rsid w:val="00354F05"/>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02E"/>
    <w:rsid w:val="00362166"/>
    <w:rsid w:val="003623F6"/>
    <w:rsid w:val="00362556"/>
    <w:rsid w:val="00362709"/>
    <w:rsid w:val="0036283F"/>
    <w:rsid w:val="00362CBC"/>
    <w:rsid w:val="00362F6B"/>
    <w:rsid w:val="00362F78"/>
    <w:rsid w:val="00363328"/>
    <w:rsid w:val="0036335B"/>
    <w:rsid w:val="00363521"/>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30"/>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10C"/>
    <w:rsid w:val="00373254"/>
    <w:rsid w:val="003733D9"/>
    <w:rsid w:val="003734B6"/>
    <w:rsid w:val="00373684"/>
    <w:rsid w:val="003738DA"/>
    <w:rsid w:val="00373990"/>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8FA"/>
    <w:rsid w:val="0037799A"/>
    <w:rsid w:val="00377A24"/>
    <w:rsid w:val="00377A50"/>
    <w:rsid w:val="00377E52"/>
    <w:rsid w:val="003800DD"/>
    <w:rsid w:val="0038026E"/>
    <w:rsid w:val="0038028B"/>
    <w:rsid w:val="003805D6"/>
    <w:rsid w:val="003806E4"/>
    <w:rsid w:val="00380AC1"/>
    <w:rsid w:val="00380E79"/>
    <w:rsid w:val="00380E9B"/>
    <w:rsid w:val="00381015"/>
    <w:rsid w:val="003814F7"/>
    <w:rsid w:val="00381E30"/>
    <w:rsid w:val="0038251C"/>
    <w:rsid w:val="0038264C"/>
    <w:rsid w:val="00382880"/>
    <w:rsid w:val="00382A18"/>
    <w:rsid w:val="00382AA2"/>
    <w:rsid w:val="00382ACB"/>
    <w:rsid w:val="00382B3E"/>
    <w:rsid w:val="00382DAE"/>
    <w:rsid w:val="00382E5F"/>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7DB"/>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9BE"/>
    <w:rsid w:val="00387AA7"/>
    <w:rsid w:val="00387F13"/>
    <w:rsid w:val="00387F3F"/>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1FF5"/>
    <w:rsid w:val="003922BF"/>
    <w:rsid w:val="00392A69"/>
    <w:rsid w:val="00392E4E"/>
    <w:rsid w:val="003930EB"/>
    <w:rsid w:val="003931D8"/>
    <w:rsid w:val="00393229"/>
    <w:rsid w:val="00393509"/>
    <w:rsid w:val="00393569"/>
    <w:rsid w:val="00393C42"/>
    <w:rsid w:val="00393EFB"/>
    <w:rsid w:val="003942F1"/>
    <w:rsid w:val="00394705"/>
    <w:rsid w:val="0039480F"/>
    <w:rsid w:val="00394B28"/>
    <w:rsid w:val="00394B89"/>
    <w:rsid w:val="00395151"/>
    <w:rsid w:val="0039525E"/>
    <w:rsid w:val="00395514"/>
    <w:rsid w:val="0039554E"/>
    <w:rsid w:val="003957BB"/>
    <w:rsid w:val="00395C25"/>
    <w:rsid w:val="00395C2B"/>
    <w:rsid w:val="00395C4B"/>
    <w:rsid w:val="00395C7A"/>
    <w:rsid w:val="00395CC6"/>
    <w:rsid w:val="00395E22"/>
    <w:rsid w:val="00395FEF"/>
    <w:rsid w:val="003961B5"/>
    <w:rsid w:val="003962D6"/>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067"/>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2F17"/>
    <w:rsid w:val="003B32F5"/>
    <w:rsid w:val="003B38CD"/>
    <w:rsid w:val="003B3A56"/>
    <w:rsid w:val="003B3D10"/>
    <w:rsid w:val="003B3F0A"/>
    <w:rsid w:val="003B44FE"/>
    <w:rsid w:val="003B46B5"/>
    <w:rsid w:val="003B4849"/>
    <w:rsid w:val="003B4A40"/>
    <w:rsid w:val="003B4A70"/>
    <w:rsid w:val="003B4D62"/>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1E3"/>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F26"/>
    <w:rsid w:val="003C40A4"/>
    <w:rsid w:val="003C44E3"/>
    <w:rsid w:val="003C45A6"/>
    <w:rsid w:val="003C4DC1"/>
    <w:rsid w:val="003C4ED1"/>
    <w:rsid w:val="003C4EEA"/>
    <w:rsid w:val="003C511B"/>
    <w:rsid w:val="003C53A9"/>
    <w:rsid w:val="003C53B5"/>
    <w:rsid w:val="003C587F"/>
    <w:rsid w:val="003C5A7A"/>
    <w:rsid w:val="003C6073"/>
    <w:rsid w:val="003C64B5"/>
    <w:rsid w:val="003C64F7"/>
    <w:rsid w:val="003C675B"/>
    <w:rsid w:val="003C690E"/>
    <w:rsid w:val="003C6C49"/>
    <w:rsid w:val="003C6D10"/>
    <w:rsid w:val="003C6D72"/>
    <w:rsid w:val="003C6FBE"/>
    <w:rsid w:val="003C6FFB"/>
    <w:rsid w:val="003C73FF"/>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3F"/>
    <w:rsid w:val="003D228D"/>
    <w:rsid w:val="003D23EE"/>
    <w:rsid w:val="003D2589"/>
    <w:rsid w:val="003D25F4"/>
    <w:rsid w:val="003D26D5"/>
    <w:rsid w:val="003D26F7"/>
    <w:rsid w:val="003D2CD5"/>
    <w:rsid w:val="003D2CEE"/>
    <w:rsid w:val="003D2F99"/>
    <w:rsid w:val="003D30D6"/>
    <w:rsid w:val="003D34E8"/>
    <w:rsid w:val="003D37D4"/>
    <w:rsid w:val="003D3A0C"/>
    <w:rsid w:val="003D3E70"/>
    <w:rsid w:val="003D41F2"/>
    <w:rsid w:val="003D4937"/>
    <w:rsid w:val="003D4B9D"/>
    <w:rsid w:val="003D4E2B"/>
    <w:rsid w:val="003D4F92"/>
    <w:rsid w:val="003D576D"/>
    <w:rsid w:val="003D5CD5"/>
    <w:rsid w:val="003D6106"/>
    <w:rsid w:val="003D6151"/>
    <w:rsid w:val="003D61CE"/>
    <w:rsid w:val="003D6235"/>
    <w:rsid w:val="003D6672"/>
    <w:rsid w:val="003D670E"/>
    <w:rsid w:val="003D684E"/>
    <w:rsid w:val="003D690B"/>
    <w:rsid w:val="003D69FF"/>
    <w:rsid w:val="003D6CA1"/>
    <w:rsid w:val="003D6EE8"/>
    <w:rsid w:val="003D6F6F"/>
    <w:rsid w:val="003D70AA"/>
    <w:rsid w:val="003D728F"/>
    <w:rsid w:val="003D7461"/>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171"/>
    <w:rsid w:val="003E23F6"/>
    <w:rsid w:val="003E2540"/>
    <w:rsid w:val="003E2AA8"/>
    <w:rsid w:val="003E2D9E"/>
    <w:rsid w:val="003E2ED0"/>
    <w:rsid w:val="003E3331"/>
    <w:rsid w:val="003E33DF"/>
    <w:rsid w:val="003E35BF"/>
    <w:rsid w:val="003E3637"/>
    <w:rsid w:val="003E3860"/>
    <w:rsid w:val="003E3A1D"/>
    <w:rsid w:val="003E3A8B"/>
    <w:rsid w:val="003E3B82"/>
    <w:rsid w:val="003E3CC2"/>
    <w:rsid w:val="003E404F"/>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E7E8B"/>
    <w:rsid w:val="003F006A"/>
    <w:rsid w:val="003F01F6"/>
    <w:rsid w:val="003F020C"/>
    <w:rsid w:val="003F033C"/>
    <w:rsid w:val="003F03C4"/>
    <w:rsid w:val="003F04C5"/>
    <w:rsid w:val="003F066F"/>
    <w:rsid w:val="003F07C3"/>
    <w:rsid w:val="003F0C9B"/>
    <w:rsid w:val="003F110B"/>
    <w:rsid w:val="003F1299"/>
    <w:rsid w:val="003F1C0F"/>
    <w:rsid w:val="003F1E5A"/>
    <w:rsid w:val="003F1F1D"/>
    <w:rsid w:val="003F2A8C"/>
    <w:rsid w:val="003F2CEF"/>
    <w:rsid w:val="003F2DEE"/>
    <w:rsid w:val="003F307C"/>
    <w:rsid w:val="003F31AE"/>
    <w:rsid w:val="003F325F"/>
    <w:rsid w:val="003F3282"/>
    <w:rsid w:val="003F34C8"/>
    <w:rsid w:val="003F3650"/>
    <w:rsid w:val="003F3733"/>
    <w:rsid w:val="003F3919"/>
    <w:rsid w:val="003F3982"/>
    <w:rsid w:val="003F39F1"/>
    <w:rsid w:val="003F3B8F"/>
    <w:rsid w:val="003F3CE3"/>
    <w:rsid w:val="003F416F"/>
    <w:rsid w:val="003F41F2"/>
    <w:rsid w:val="003F441C"/>
    <w:rsid w:val="003F443F"/>
    <w:rsid w:val="003F44C8"/>
    <w:rsid w:val="003F45EB"/>
    <w:rsid w:val="003F46B8"/>
    <w:rsid w:val="003F4D21"/>
    <w:rsid w:val="003F4DA7"/>
    <w:rsid w:val="003F5277"/>
    <w:rsid w:val="003F576C"/>
    <w:rsid w:val="003F57F4"/>
    <w:rsid w:val="003F5BB3"/>
    <w:rsid w:val="003F5C88"/>
    <w:rsid w:val="003F62DB"/>
    <w:rsid w:val="003F62DE"/>
    <w:rsid w:val="003F62ED"/>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EA8"/>
    <w:rsid w:val="00401FCB"/>
    <w:rsid w:val="0040203A"/>
    <w:rsid w:val="00402B30"/>
    <w:rsid w:val="00402C69"/>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E5B"/>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0F60"/>
    <w:rsid w:val="004112AE"/>
    <w:rsid w:val="00411903"/>
    <w:rsid w:val="00411CCB"/>
    <w:rsid w:val="00411E7E"/>
    <w:rsid w:val="00411F4F"/>
    <w:rsid w:val="00412042"/>
    <w:rsid w:val="004124B3"/>
    <w:rsid w:val="00412535"/>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30012"/>
    <w:rsid w:val="004302B7"/>
    <w:rsid w:val="0043054F"/>
    <w:rsid w:val="00430567"/>
    <w:rsid w:val="004308E5"/>
    <w:rsid w:val="004309E8"/>
    <w:rsid w:val="00430DFD"/>
    <w:rsid w:val="00431096"/>
    <w:rsid w:val="004322D4"/>
    <w:rsid w:val="00432570"/>
    <w:rsid w:val="0043269D"/>
    <w:rsid w:val="00432A76"/>
    <w:rsid w:val="00432F05"/>
    <w:rsid w:val="004330BC"/>
    <w:rsid w:val="00433783"/>
    <w:rsid w:val="0043396B"/>
    <w:rsid w:val="00433C0B"/>
    <w:rsid w:val="00434174"/>
    <w:rsid w:val="0043417D"/>
    <w:rsid w:val="00434627"/>
    <w:rsid w:val="0043479C"/>
    <w:rsid w:val="00434A59"/>
    <w:rsid w:val="00434D4B"/>
    <w:rsid w:val="00434E88"/>
    <w:rsid w:val="00435099"/>
    <w:rsid w:val="004350A2"/>
    <w:rsid w:val="00435101"/>
    <w:rsid w:val="00435175"/>
    <w:rsid w:val="004351AE"/>
    <w:rsid w:val="00435632"/>
    <w:rsid w:val="00435734"/>
    <w:rsid w:val="0043584E"/>
    <w:rsid w:val="004358C5"/>
    <w:rsid w:val="0043594B"/>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16"/>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9E4"/>
    <w:rsid w:val="00453A19"/>
    <w:rsid w:val="00453B7D"/>
    <w:rsid w:val="00453FF4"/>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9EA"/>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4D"/>
    <w:rsid w:val="00465877"/>
    <w:rsid w:val="00465A90"/>
    <w:rsid w:val="00465AEB"/>
    <w:rsid w:val="00465CC2"/>
    <w:rsid w:val="00466357"/>
    <w:rsid w:val="004665D2"/>
    <w:rsid w:val="0046689D"/>
    <w:rsid w:val="00466AB7"/>
    <w:rsid w:val="00466B35"/>
    <w:rsid w:val="00466C93"/>
    <w:rsid w:val="00466D14"/>
    <w:rsid w:val="00466DE0"/>
    <w:rsid w:val="00466DF8"/>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631"/>
    <w:rsid w:val="00477975"/>
    <w:rsid w:val="00477D9B"/>
    <w:rsid w:val="0048001E"/>
    <w:rsid w:val="00480173"/>
    <w:rsid w:val="00480427"/>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CDF"/>
    <w:rsid w:val="00487D7A"/>
    <w:rsid w:val="00487DFF"/>
    <w:rsid w:val="00487F5F"/>
    <w:rsid w:val="00490293"/>
    <w:rsid w:val="004907D3"/>
    <w:rsid w:val="004907F2"/>
    <w:rsid w:val="004908E5"/>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3D13"/>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862"/>
    <w:rsid w:val="004A4B32"/>
    <w:rsid w:val="004A4CFD"/>
    <w:rsid w:val="004A537E"/>
    <w:rsid w:val="004A545D"/>
    <w:rsid w:val="004A5541"/>
    <w:rsid w:val="004A5660"/>
    <w:rsid w:val="004A5E07"/>
    <w:rsid w:val="004A5F03"/>
    <w:rsid w:val="004A5F07"/>
    <w:rsid w:val="004A6334"/>
    <w:rsid w:val="004A643D"/>
    <w:rsid w:val="004A6C66"/>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77F"/>
    <w:rsid w:val="004B28A2"/>
    <w:rsid w:val="004B2BFD"/>
    <w:rsid w:val="004B33B9"/>
    <w:rsid w:val="004B340E"/>
    <w:rsid w:val="004B3420"/>
    <w:rsid w:val="004B37E4"/>
    <w:rsid w:val="004B399F"/>
    <w:rsid w:val="004B39D5"/>
    <w:rsid w:val="004B39F4"/>
    <w:rsid w:val="004B42FD"/>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C1"/>
    <w:rsid w:val="004C0571"/>
    <w:rsid w:val="004C093C"/>
    <w:rsid w:val="004C0BC9"/>
    <w:rsid w:val="004C0DF1"/>
    <w:rsid w:val="004C0DF8"/>
    <w:rsid w:val="004C0E96"/>
    <w:rsid w:val="004C0EF6"/>
    <w:rsid w:val="004C0FC4"/>
    <w:rsid w:val="004C1479"/>
    <w:rsid w:val="004C14A0"/>
    <w:rsid w:val="004C1697"/>
    <w:rsid w:val="004C1747"/>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B8C"/>
    <w:rsid w:val="004C7F3E"/>
    <w:rsid w:val="004D05F3"/>
    <w:rsid w:val="004D08BF"/>
    <w:rsid w:val="004D0B9F"/>
    <w:rsid w:val="004D0C77"/>
    <w:rsid w:val="004D0DD6"/>
    <w:rsid w:val="004D0FF1"/>
    <w:rsid w:val="004D1027"/>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E24"/>
    <w:rsid w:val="004D3FDF"/>
    <w:rsid w:val="004D4312"/>
    <w:rsid w:val="004D4544"/>
    <w:rsid w:val="004D4647"/>
    <w:rsid w:val="004D4C47"/>
    <w:rsid w:val="004D5477"/>
    <w:rsid w:val="004D5745"/>
    <w:rsid w:val="004D5CD9"/>
    <w:rsid w:val="004D5E82"/>
    <w:rsid w:val="004D5F42"/>
    <w:rsid w:val="004D602D"/>
    <w:rsid w:val="004D6687"/>
    <w:rsid w:val="004D6CF4"/>
    <w:rsid w:val="004D6E44"/>
    <w:rsid w:val="004D6EDA"/>
    <w:rsid w:val="004D6EE2"/>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726"/>
    <w:rsid w:val="004E281C"/>
    <w:rsid w:val="004E283A"/>
    <w:rsid w:val="004E2A17"/>
    <w:rsid w:val="004E2ADF"/>
    <w:rsid w:val="004E2CE5"/>
    <w:rsid w:val="004E2E3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821"/>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267"/>
    <w:rsid w:val="00512314"/>
    <w:rsid w:val="005123D3"/>
    <w:rsid w:val="00512A6D"/>
    <w:rsid w:val="00512BA1"/>
    <w:rsid w:val="00513395"/>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DBA"/>
    <w:rsid w:val="00516E9F"/>
    <w:rsid w:val="00516F49"/>
    <w:rsid w:val="00516FE4"/>
    <w:rsid w:val="0051702A"/>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209B"/>
    <w:rsid w:val="005221B2"/>
    <w:rsid w:val="005223A5"/>
    <w:rsid w:val="0052243A"/>
    <w:rsid w:val="0052299E"/>
    <w:rsid w:val="00522DDE"/>
    <w:rsid w:val="0052304E"/>
    <w:rsid w:val="00523157"/>
    <w:rsid w:val="0052349A"/>
    <w:rsid w:val="005235CB"/>
    <w:rsid w:val="005236AB"/>
    <w:rsid w:val="005237B8"/>
    <w:rsid w:val="005237BA"/>
    <w:rsid w:val="00523843"/>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5EA4"/>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4A"/>
    <w:rsid w:val="005273F0"/>
    <w:rsid w:val="00527995"/>
    <w:rsid w:val="00527B51"/>
    <w:rsid w:val="00527CA2"/>
    <w:rsid w:val="0053006E"/>
    <w:rsid w:val="005300DA"/>
    <w:rsid w:val="00530157"/>
    <w:rsid w:val="00530208"/>
    <w:rsid w:val="00530472"/>
    <w:rsid w:val="005308E1"/>
    <w:rsid w:val="00530A79"/>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5D4D"/>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625"/>
    <w:rsid w:val="005419B3"/>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62CB"/>
    <w:rsid w:val="00546375"/>
    <w:rsid w:val="0054653E"/>
    <w:rsid w:val="00546B02"/>
    <w:rsid w:val="00546D0E"/>
    <w:rsid w:val="00546D78"/>
    <w:rsid w:val="0054707A"/>
    <w:rsid w:val="005473EA"/>
    <w:rsid w:val="005475E1"/>
    <w:rsid w:val="0054763F"/>
    <w:rsid w:val="00547671"/>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FED"/>
    <w:rsid w:val="00552C21"/>
    <w:rsid w:val="00552DB9"/>
    <w:rsid w:val="00552E5E"/>
    <w:rsid w:val="00553081"/>
    <w:rsid w:val="005535AA"/>
    <w:rsid w:val="0055362B"/>
    <w:rsid w:val="005536A7"/>
    <w:rsid w:val="005537A2"/>
    <w:rsid w:val="00553DAD"/>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CB1"/>
    <w:rsid w:val="00556E35"/>
    <w:rsid w:val="00556F11"/>
    <w:rsid w:val="00556FD5"/>
    <w:rsid w:val="005570F7"/>
    <w:rsid w:val="0055711F"/>
    <w:rsid w:val="00557270"/>
    <w:rsid w:val="00557359"/>
    <w:rsid w:val="00557827"/>
    <w:rsid w:val="00557B9E"/>
    <w:rsid w:val="00557DE4"/>
    <w:rsid w:val="00557F82"/>
    <w:rsid w:val="00560102"/>
    <w:rsid w:val="005606DA"/>
    <w:rsid w:val="005609D2"/>
    <w:rsid w:val="00560A3D"/>
    <w:rsid w:val="00560F0F"/>
    <w:rsid w:val="005610A0"/>
    <w:rsid w:val="005612D0"/>
    <w:rsid w:val="00561631"/>
    <w:rsid w:val="0056185C"/>
    <w:rsid w:val="00561E6D"/>
    <w:rsid w:val="00561F9C"/>
    <w:rsid w:val="005621A6"/>
    <w:rsid w:val="005623E8"/>
    <w:rsid w:val="005625F4"/>
    <w:rsid w:val="005626BF"/>
    <w:rsid w:val="005629B1"/>
    <w:rsid w:val="00562BBA"/>
    <w:rsid w:val="0056371A"/>
    <w:rsid w:val="00563955"/>
    <w:rsid w:val="005639FD"/>
    <w:rsid w:val="00563B74"/>
    <w:rsid w:val="00563D08"/>
    <w:rsid w:val="00563DFF"/>
    <w:rsid w:val="00563E54"/>
    <w:rsid w:val="00563F47"/>
    <w:rsid w:val="00563F55"/>
    <w:rsid w:val="00564021"/>
    <w:rsid w:val="005643B1"/>
    <w:rsid w:val="005647DB"/>
    <w:rsid w:val="005648E4"/>
    <w:rsid w:val="00565272"/>
    <w:rsid w:val="00565921"/>
    <w:rsid w:val="00565D02"/>
    <w:rsid w:val="00565F56"/>
    <w:rsid w:val="0056610C"/>
    <w:rsid w:val="0056637F"/>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973"/>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CCE"/>
    <w:rsid w:val="005814E6"/>
    <w:rsid w:val="0058172C"/>
    <w:rsid w:val="00581958"/>
    <w:rsid w:val="00581A42"/>
    <w:rsid w:val="00581C03"/>
    <w:rsid w:val="00581D7D"/>
    <w:rsid w:val="005821CC"/>
    <w:rsid w:val="00582D68"/>
    <w:rsid w:val="00582E7D"/>
    <w:rsid w:val="00582E8D"/>
    <w:rsid w:val="005833D3"/>
    <w:rsid w:val="00583454"/>
    <w:rsid w:val="00583944"/>
    <w:rsid w:val="00583E5F"/>
    <w:rsid w:val="00584205"/>
    <w:rsid w:val="00584757"/>
    <w:rsid w:val="00584838"/>
    <w:rsid w:val="00584BFE"/>
    <w:rsid w:val="00584D23"/>
    <w:rsid w:val="00584D98"/>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E61"/>
    <w:rsid w:val="00586F26"/>
    <w:rsid w:val="00587122"/>
    <w:rsid w:val="00587E8E"/>
    <w:rsid w:val="00590248"/>
    <w:rsid w:val="005903FA"/>
    <w:rsid w:val="005906DF"/>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40A3"/>
    <w:rsid w:val="00594376"/>
    <w:rsid w:val="00594451"/>
    <w:rsid w:val="0059465D"/>
    <w:rsid w:val="005949B6"/>
    <w:rsid w:val="00594A50"/>
    <w:rsid w:val="005951D7"/>
    <w:rsid w:val="0059526A"/>
    <w:rsid w:val="005958A4"/>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0C3"/>
    <w:rsid w:val="005A03EA"/>
    <w:rsid w:val="005A049F"/>
    <w:rsid w:val="005A05F8"/>
    <w:rsid w:val="005A0983"/>
    <w:rsid w:val="005A0C46"/>
    <w:rsid w:val="005A0D27"/>
    <w:rsid w:val="005A127B"/>
    <w:rsid w:val="005A12CE"/>
    <w:rsid w:val="005A141F"/>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487"/>
    <w:rsid w:val="005A4977"/>
    <w:rsid w:val="005A4A3A"/>
    <w:rsid w:val="005A4ECB"/>
    <w:rsid w:val="005A5135"/>
    <w:rsid w:val="005A54D4"/>
    <w:rsid w:val="005A5B14"/>
    <w:rsid w:val="005A5BDE"/>
    <w:rsid w:val="005A602F"/>
    <w:rsid w:val="005A60E0"/>
    <w:rsid w:val="005A633C"/>
    <w:rsid w:val="005A6BF6"/>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28"/>
    <w:rsid w:val="005B18B3"/>
    <w:rsid w:val="005B1AB3"/>
    <w:rsid w:val="005B1F12"/>
    <w:rsid w:val="005B20C7"/>
    <w:rsid w:val="005B215A"/>
    <w:rsid w:val="005B25EC"/>
    <w:rsid w:val="005B2820"/>
    <w:rsid w:val="005B2CBF"/>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2C3"/>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8F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98"/>
    <w:rsid w:val="005D660C"/>
    <w:rsid w:val="005D678B"/>
    <w:rsid w:val="005D6C8E"/>
    <w:rsid w:val="005D73A6"/>
    <w:rsid w:val="005D7574"/>
    <w:rsid w:val="005D77C7"/>
    <w:rsid w:val="005D790D"/>
    <w:rsid w:val="005D7951"/>
    <w:rsid w:val="005E018B"/>
    <w:rsid w:val="005E0660"/>
    <w:rsid w:val="005E07EA"/>
    <w:rsid w:val="005E0815"/>
    <w:rsid w:val="005E0A1F"/>
    <w:rsid w:val="005E0D4F"/>
    <w:rsid w:val="005E0E6C"/>
    <w:rsid w:val="005E1480"/>
    <w:rsid w:val="005E1512"/>
    <w:rsid w:val="005E15E3"/>
    <w:rsid w:val="005E188C"/>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EC2"/>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1F"/>
    <w:rsid w:val="005F247D"/>
    <w:rsid w:val="005F26B1"/>
    <w:rsid w:val="005F2EF6"/>
    <w:rsid w:val="005F30BF"/>
    <w:rsid w:val="005F372C"/>
    <w:rsid w:val="005F3739"/>
    <w:rsid w:val="005F3E71"/>
    <w:rsid w:val="005F3FB8"/>
    <w:rsid w:val="005F4312"/>
    <w:rsid w:val="005F4523"/>
    <w:rsid w:val="005F4642"/>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5F7ECA"/>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BEF"/>
    <w:rsid w:val="00602E57"/>
    <w:rsid w:val="00603012"/>
    <w:rsid w:val="006030BB"/>
    <w:rsid w:val="006030BD"/>
    <w:rsid w:val="00603808"/>
    <w:rsid w:val="00603C02"/>
    <w:rsid w:val="00603C48"/>
    <w:rsid w:val="006047B1"/>
    <w:rsid w:val="006047D4"/>
    <w:rsid w:val="00604C70"/>
    <w:rsid w:val="00604DE8"/>
    <w:rsid w:val="00605261"/>
    <w:rsid w:val="0060548A"/>
    <w:rsid w:val="006054D2"/>
    <w:rsid w:val="006055B8"/>
    <w:rsid w:val="0060563D"/>
    <w:rsid w:val="00605BE0"/>
    <w:rsid w:val="00605BE6"/>
    <w:rsid w:val="00605FAA"/>
    <w:rsid w:val="006061B8"/>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303"/>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DEF"/>
    <w:rsid w:val="00614E47"/>
    <w:rsid w:val="0061530F"/>
    <w:rsid w:val="006154AB"/>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83"/>
    <w:rsid w:val="006306A9"/>
    <w:rsid w:val="006307DF"/>
    <w:rsid w:val="00630A60"/>
    <w:rsid w:val="00630EB3"/>
    <w:rsid w:val="006312D6"/>
    <w:rsid w:val="0063139E"/>
    <w:rsid w:val="006314DF"/>
    <w:rsid w:val="00631605"/>
    <w:rsid w:val="0063176C"/>
    <w:rsid w:val="00631A71"/>
    <w:rsid w:val="00631DA7"/>
    <w:rsid w:val="00631E16"/>
    <w:rsid w:val="00631FF6"/>
    <w:rsid w:val="00632021"/>
    <w:rsid w:val="0063274C"/>
    <w:rsid w:val="00632A39"/>
    <w:rsid w:val="00632B19"/>
    <w:rsid w:val="00632C15"/>
    <w:rsid w:val="00632EE5"/>
    <w:rsid w:val="006334FA"/>
    <w:rsid w:val="00633969"/>
    <w:rsid w:val="00633A06"/>
    <w:rsid w:val="00633A5F"/>
    <w:rsid w:val="00633CAE"/>
    <w:rsid w:val="00633E70"/>
    <w:rsid w:val="006340AF"/>
    <w:rsid w:val="006341F7"/>
    <w:rsid w:val="00634297"/>
    <w:rsid w:val="00634C12"/>
    <w:rsid w:val="00634C5F"/>
    <w:rsid w:val="00634CB5"/>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6FE0"/>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D14"/>
    <w:rsid w:val="00660E89"/>
    <w:rsid w:val="00660EFE"/>
    <w:rsid w:val="00661804"/>
    <w:rsid w:val="006619C8"/>
    <w:rsid w:val="006621A6"/>
    <w:rsid w:val="0066224E"/>
    <w:rsid w:val="00662531"/>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6084"/>
    <w:rsid w:val="006661EA"/>
    <w:rsid w:val="00666215"/>
    <w:rsid w:val="00666499"/>
    <w:rsid w:val="0066655F"/>
    <w:rsid w:val="006665CB"/>
    <w:rsid w:val="0066661F"/>
    <w:rsid w:val="00666B90"/>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D6A"/>
    <w:rsid w:val="00672129"/>
    <w:rsid w:val="0067253E"/>
    <w:rsid w:val="00672583"/>
    <w:rsid w:val="00672736"/>
    <w:rsid w:val="006729B7"/>
    <w:rsid w:val="00672CD3"/>
    <w:rsid w:val="006732E8"/>
    <w:rsid w:val="00673426"/>
    <w:rsid w:val="00673482"/>
    <w:rsid w:val="0067369D"/>
    <w:rsid w:val="006737AC"/>
    <w:rsid w:val="0067389A"/>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447"/>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876"/>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7B7"/>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32C"/>
    <w:rsid w:val="006945B4"/>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1C7"/>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99A"/>
    <w:rsid w:val="006A2D94"/>
    <w:rsid w:val="006A2E5D"/>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DBE"/>
    <w:rsid w:val="006A7F52"/>
    <w:rsid w:val="006A7FF0"/>
    <w:rsid w:val="006B028F"/>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2F96"/>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5A0"/>
    <w:rsid w:val="006B6728"/>
    <w:rsid w:val="006B6CB7"/>
    <w:rsid w:val="006B6D0B"/>
    <w:rsid w:val="006B6ED5"/>
    <w:rsid w:val="006B6F1F"/>
    <w:rsid w:val="006B6F7D"/>
    <w:rsid w:val="006B7082"/>
    <w:rsid w:val="006B709A"/>
    <w:rsid w:val="006B7122"/>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D0C"/>
    <w:rsid w:val="006C6E6D"/>
    <w:rsid w:val="006C7242"/>
    <w:rsid w:val="006C74DD"/>
    <w:rsid w:val="006C79A8"/>
    <w:rsid w:val="006C7AE2"/>
    <w:rsid w:val="006C7CC7"/>
    <w:rsid w:val="006D0421"/>
    <w:rsid w:val="006D077B"/>
    <w:rsid w:val="006D0974"/>
    <w:rsid w:val="006D09D2"/>
    <w:rsid w:val="006D0A72"/>
    <w:rsid w:val="006D0C8A"/>
    <w:rsid w:val="006D0D92"/>
    <w:rsid w:val="006D121E"/>
    <w:rsid w:val="006D13F9"/>
    <w:rsid w:val="006D176E"/>
    <w:rsid w:val="006D1BD4"/>
    <w:rsid w:val="006D1D72"/>
    <w:rsid w:val="006D1EE5"/>
    <w:rsid w:val="006D2145"/>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C73"/>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3CF"/>
    <w:rsid w:val="006E2653"/>
    <w:rsid w:val="006E27DA"/>
    <w:rsid w:val="006E2875"/>
    <w:rsid w:val="006E2D3E"/>
    <w:rsid w:val="006E329A"/>
    <w:rsid w:val="006E3477"/>
    <w:rsid w:val="006E358D"/>
    <w:rsid w:val="006E3A90"/>
    <w:rsid w:val="006E3CC7"/>
    <w:rsid w:val="006E4585"/>
    <w:rsid w:val="006E4900"/>
    <w:rsid w:val="006E4923"/>
    <w:rsid w:val="006E4960"/>
    <w:rsid w:val="006E4C15"/>
    <w:rsid w:val="006E4DC4"/>
    <w:rsid w:val="006E4FEC"/>
    <w:rsid w:val="006E5332"/>
    <w:rsid w:val="006E533F"/>
    <w:rsid w:val="006E53A3"/>
    <w:rsid w:val="006E5696"/>
    <w:rsid w:val="006E5BBA"/>
    <w:rsid w:val="006E6338"/>
    <w:rsid w:val="006E66A7"/>
    <w:rsid w:val="006E68C1"/>
    <w:rsid w:val="006E6EAF"/>
    <w:rsid w:val="006E6F14"/>
    <w:rsid w:val="006E79B9"/>
    <w:rsid w:val="006F007A"/>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5F41"/>
    <w:rsid w:val="006F604B"/>
    <w:rsid w:val="006F6337"/>
    <w:rsid w:val="006F6502"/>
    <w:rsid w:val="006F6847"/>
    <w:rsid w:val="006F6A32"/>
    <w:rsid w:val="006F7262"/>
    <w:rsid w:val="006F73B3"/>
    <w:rsid w:val="006F73B4"/>
    <w:rsid w:val="006F73FC"/>
    <w:rsid w:val="006F7494"/>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3F9F"/>
    <w:rsid w:val="007040E6"/>
    <w:rsid w:val="007044BB"/>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C3"/>
    <w:rsid w:val="007129D9"/>
    <w:rsid w:val="00712C57"/>
    <w:rsid w:val="00712F2D"/>
    <w:rsid w:val="00713515"/>
    <w:rsid w:val="00713587"/>
    <w:rsid w:val="0071385C"/>
    <w:rsid w:val="007138DE"/>
    <w:rsid w:val="00713970"/>
    <w:rsid w:val="00714A31"/>
    <w:rsid w:val="00714A43"/>
    <w:rsid w:val="007150B0"/>
    <w:rsid w:val="007150DB"/>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9BF"/>
    <w:rsid w:val="00721ACB"/>
    <w:rsid w:val="00721BAF"/>
    <w:rsid w:val="00721D1C"/>
    <w:rsid w:val="00721DC7"/>
    <w:rsid w:val="00721DDE"/>
    <w:rsid w:val="00721E02"/>
    <w:rsid w:val="00721F29"/>
    <w:rsid w:val="00722140"/>
    <w:rsid w:val="007222B1"/>
    <w:rsid w:val="007224BD"/>
    <w:rsid w:val="0072282B"/>
    <w:rsid w:val="0072283D"/>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0B5A"/>
    <w:rsid w:val="0074107F"/>
    <w:rsid w:val="0074122F"/>
    <w:rsid w:val="00741684"/>
    <w:rsid w:val="00741714"/>
    <w:rsid w:val="007417A9"/>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7B"/>
    <w:rsid w:val="007460AE"/>
    <w:rsid w:val="00746214"/>
    <w:rsid w:val="007463AA"/>
    <w:rsid w:val="00746512"/>
    <w:rsid w:val="007468D5"/>
    <w:rsid w:val="007469E9"/>
    <w:rsid w:val="00746F46"/>
    <w:rsid w:val="007471F8"/>
    <w:rsid w:val="00747516"/>
    <w:rsid w:val="0074755D"/>
    <w:rsid w:val="007476F0"/>
    <w:rsid w:val="00747949"/>
    <w:rsid w:val="00747BB2"/>
    <w:rsid w:val="00747D86"/>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8D"/>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7D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2D0"/>
    <w:rsid w:val="007604D5"/>
    <w:rsid w:val="007604FB"/>
    <w:rsid w:val="007606EE"/>
    <w:rsid w:val="00760711"/>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F2D"/>
    <w:rsid w:val="00764135"/>
    <w:rsid w:val="00764194"/>
    <w:rsid w:val="0076445A"/>
    <w:rsid w:val="0076446C"/>
    <w:rsid w:val="00764490"/>
    <w:rsid w:val="007646AC"/>
    <w:rsid w:val="00764A51"/>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2FCF"/>
    <w:rsid w:val="0077313D"/>
    <w:rsid w:val="007735A3"/>
    <w:rsid w:val="007735FD"/>
    <w:rsid w:val="0077367E"/>
    <w:rsid w:val="007736A6"/>
    <w:rsid w:val="00773830"/>
    <w:rsid w:val="007738D3"/>
    <w:rsid w:val="00773FF9"/>
    <w:rsid w:val="00774581"/>
    <w:rsid w:val="00774779"/>
    <w:rsid w:val="00774A0D"/>
    <w:rsid w:val="00774AAA"/>
    <w:rsid w:val="00774FCC"/>
    <w:rsid w:val="0077510C"/>
    <w:rsid w:val="00775284"/>
    <w:rsid w:val="00775886"/>
    <w:rsid w:val="00775934"/>
    <w:rsid w:val="00775974"/>
    <w:rsid w:val="00775CBC"/>
    <w:rsid w:val="00775F0A"/>
    <w:rsid w:val="00776257"/>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4F3"/>
    <w:rsid w:val="00783A1E"/>
    <w:rsid w:val="00783B53"/>
    <w:rsid w:val="00784389"/>
    <w:rsid w:val="0078476D"/>
    <w:rsid w:val="007847CD"/>
    <w:rsid w:val="00784840"/>
    <w:rsid w:val="00784C02"/>
    <w:rsid w:val="00784C1B"/>
    <w:rsid w:val="00784D76"/>
    <w:rsid w:val="00784E22"/>
    <w:rsid w:val="00784FC2"/>
    <w:rsid w:val="00785562"/>
    <w:rsid w:val="00785570"/>
    <w:rsid w:val="00785A27"/>
    <w:rsid w:val="00785F6D"/>
    <w:rsid w:val="0078660B"/>
    <w:rsid w:val="00786A73"/>
    <w:rsid w:val="00786ACC"/>
    <w:rsid w:val="00786B12"/>
    <w:rsid w:val="00786CE9"/>
    <w:rsid w:val="00786D0E"/>
    <w:rsid w:val="00786D77"/>
    <w:rsid w:val="007871CD"/>
    <w:rsid w:val="00787634"/>
    <w:rsid w:val="0078784E"/>
    <w:rsid w:val="00787999"/>
    <w:rsid w:val="0079035A"/>
    <w:rsid w:val="007906A1"/>
    <w:rsid w:val="007906F9"/>
    <w:rsid w:val="007907BA"/>
    <w:rsid w:val="00790A2F"/>
    <w:rsid w:val="00790E92"/>
    <w:rsid w:val="0079139D"/>
    <w:rsid w:val="00791536"/>
    <w:rsid w:val="007915C8"/>
    <w:rsid w:val="007915DD"/>
    <w:rsid w:val="00791AC8"/>
    <w:rsid w:val="00792201"/>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6EE"/>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1265"/>
    <w:rsid w:val="007B1A21"/>
    <w:rsid w:val="007B1ACD"/>
    <w:rsid w:val="007B1DF1"/>
    <w:rsid w:val="007B21B1"/>
    <w:rsid w:val="007B234D"/>
    <w:rsid w:val="007B2840"/>
    <w:rsid w:val="007B28B4"/>
    <w:rsid w:val="007B2980"/>
    <w:rsid w:val="007B2E6D"/>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3FA"/>
    <w:rsid w:val="007D0527"/>
    <w:rsid w:val="007D0846"/>
    <w:rsid w:val="007D0C47"/>
    <w:rsid w:val="007D0D50"/>
    <w:rsid w:val="007D0DD4"/>
    <w:rsid w:val="007D0EF7"/>
    <w:rsid w:val="007D16FF"/>
    <w:rsid w:val="007D1A42"/>
    <w:rsid w:val="007D1A5A"/>
    <w:rsid w:val="007D1AFC"/>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7A4"/>
    <w:rsid w:val="007D69BC"/>
    <w:rsid w:val="007D6AFB"/>
    <w:rsid w:val="007D6BAA"/>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FC"/>
    <w:rsid w:val="007F142B"/>
    <w:rsid w:val="007F190C"/>
    <w:rsid w:val="007F1911"/>
    <w:rsid w:val="007F19AA"/>
    <w:rsid w:val="007F2272"/>
    <w:rsid w:val="007F2306"/>
    <w:rsid w:val="007F26DB"/>
    <w:rsid w:val="007F2C18"/>
    <w:rsid w:val="007F2DF4"/>
    <w:rsid w:val="007F2F43"/>
    <w:rsid w:val="007F2F4D"/>
    <w:rsid w:val="007F37AD"/>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A9"/>
    <w:rsid w:val="007F691E"/>
    <w:rsid w:val="007F6E0C"/>
    <w:rsid w:val="007F727C"/>
    <w:rsid w:val="007F73E2"/>
    <w:rsid w:val="007F748F"/>
    <w:rsid w:val="007F7624"/>
    <w:rsid w:val="007F76BB"/>
    <w:rsid w:val="007F7E2B"/>
    <w:rsid w:val="0080043A"/>
    <w:rsid w:val="00800555"/>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FB9"/>
    <w:rsid w:val="00806141"/>
    <w:rsid w:val="00806932"/>
    <w:rsid w:val="00806B10"/>
    <w:rsid w:val="00806BF8"/>
    <w:rsid w:val="00807252"/>
    <w:rsid w:val="00807383"/>
    <w:rsid w:val="00807419"/>
    <w:rsid w:val="008076A5"/>
    <w:rsid w:val="008077B2"/>
    <w:rsid w:val="0080780B"/>
    <w:rsid w:val="008078B7"/>
    <w:rsid w:val="00807CE2"/>
    <w:rsid w:val="00807CE5"/>
    <w:rsid w:val="008111F2"/>
    <w:rsid w:val="0081147E"/>
    <w:rsid w:val="00812128"/>
    <w:rsid w:val="00812176"/>
    <w:rsid w:val="00812AF2"/>
    <w:rsid w:val="00812D5C"/>
    <w:rsid w:val="00812E06"/>
    <w:rsid w:val="00813274"/>
    <w:rsid w:val="00813288"/>
    <w:rsid w:val="00813315"/>
    <w:rsid w:val="008133B2"/>
    <w:rsid w:val="008136B2"/>
    <w:rsid w:val="00813804"/>
    <w:rsid w:val="00813855"/>
    <w:rsid w:val="00813888"/>
    <w:rsid w:val="008141D2"/>
    <w:rsid w:val="0081445E"/>
    <w:rsid w:val="0081457A"/>
    <w:rsid w:val="008145BC"/>
    <w:rsid w:val="00814855"/>
    <w:rsid w:val="00814AC5"/>
    <w:rsid w:val="00814AF0"/>
    <w:rsid w:val="00814D42"/>
    <w:rsid w:val="00814E35"/>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2F"/>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789"/>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AF4"/>
    <w:rsid w:val="00833BA9"/>
    <w:rsid w:val="00833CCA"/>
    <w:rsid w:val="00833DDE"/>
    <w:rsid w:val="0083403D"/>
    <w:rsid w:val="0083427C"/>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48B"/>
    <w:rsid w:val="0084353B"/>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6069"/>
    <w:rsid w:val="008460AE"/>
    <w:rsid w:val="008462C7"/>
    <w:rsid w:val="0084644F"/>
    <w:rsid w:val="008464D2"/>
    <w:rsid w:val="008465E1"/>
    <w:rsid w:val="008465E6"/>
    <w:rsid w:val="00846905"/>
    <w:rsid w:val="00846A7E"/>
    <w:rsid w:val="00847223"/>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BC0"/>
    <w:rsid w:val="00853D05"/>
    <w:rsid w:val="00853D12"/>
    <w:rsid w:val="00853F0F"/>
    <w:rsid w:val="00853F97"/>
    <w:rsid w:val="008540EB"/>
    <w:rsid w:val="0085431B"/>
    <w:rsid w:val="0085444A"/>
    <w:rsid w:val="008544B5"/>
    <w:rsid w:val="00854566"/>
    <w:rsid w:val="00854AC2"/>
    <w:rsid w:val="00854BC0"/>
    <w:rsid w:val="00854C05"/>
    <w:rsid w:val="008558EF"/>
    <w:rsid w:val="008559A4"/>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2F25"/>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D6C"/>
    <w:rsid w:val="00865DC7"/>
    <w:rsid w:val="00865FE9"/>
    <w:rsid w:val="00866192"/>
    <w:rsid w:val="00866341"/>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C99"/>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2CA"/>
    <w:rsid w:val="00880355"/>
    <w:rsid w:val="0088051A"/>
    <w:rsid w:val="008807B4"/>
    <w:rsid w:val="00880834"/>
    <w:rsid w:val="00880CBB"/>
    <w:rsid w:val="00880FD7"/>
    <w:rsid w:val="0088127C"/>
    <w:rsid w:val="0088159C"/>
    <w:rsid w:val="00881887"/>
    <w:rsid w:val="008818E4"/>
    <w:rsid w:val="008819B2"/>
    <w:rsid w:val="00881D73"/>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5FC3"/>
    <w:rsid w:val="008863A6"/>
    <w:rsid w:val="008865E3"/>
    <w:rsid w:val="008865F9"/>
    <w:rsid w:val="008866E0"/>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A0E"/>
    <w:rsid w:val="00897ED1"/>
    <w:rsid w:val="00897F20"/>
    <w:rsid w:val="008A0301"/>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6DC"/>
    <w:rsid w:val="008A5771"/>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68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55"/>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22C"/>
    <w:rsid w:val="008D1351"/>
    <w:rsid w:val="008D1B09"/>
    <w:rsid w:val="008D1B67"/>
    <w:rsid w:val="008D1DA5"/>
    <w:rsid w:val="008D204F"/>
    <w:rsid w:val="008D20E2"/>
    <w:rsid w:val="008D2521"/>
    <w:rsid w:val="008D2C41"/>
    <w:rsid w:val="008D3301"/>
    <w:rsid w:val="008D3347"/>
    <w:rsid w:val="008D3719"/>
    <w:rsid w:val="008D394B"/>
    <w:rsid w:val="008D3AC8"/>
    <w:rsid w:val="008D48E9"/>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57"/>
    <w:rsid w:val="008D6CA4"/>
    <w:rsid w:val="008D6CCB"/>
    <w:rsid w:val="008D6EF6"/>
    <w:rsid w:val="008D71C6"/>
    <w:rsid w:val="008D754B"/>
    <w:rsid w:val="008D7579"/>
    <w:rsid w:val="008D7731"/>
    <w:rsid w:val="008D77CB"/>
    <w:rsid w:val="008D7B61"/>
    <w:rsid w:val="008D7FB4"/>
    <w:rsid w:val="008E0192"/>
    <w:rsid w:val="008E05F9"/>
    <w:rsid w:val="008E0629"/>
    <w:rsid w:val="008E06C1"/>
    <w:rsid w:val="008E089A"/>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6B0"/>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4A1"/>
    <w:rsid w:val="00923881"/>
    <w:rsid w:val="00923A7F"/>
    <w:rsid w:val="00923B39"/>
    <w:rsid w:val="00923CAC"/>
    <w:rsid w:val="00923D1C"/>
    <w:rsid w:val="00924208"/>
    <w:rsid w:val="009246EF"/>
    <w:rsid w:val="00924761"/>
    <w:rsid w:val="0092498B"/>
    <w:rsid w:val="009249A3"/>
    <w:rsid w:val="00924D43"/>
    <w:rsid w:val="00924F9A"/>
    <w:rsid w:val="00924FAF"/>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78F"/>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9B7"/>
    <w:rsid w:val="00933BCC"/>
    <w:rsid w:val="00933D05"/>
    <w:rsid w:val="00933E0F"/>
    <w:rsid w:val="009342D9"/>
    <w:rsid w:val="009342F2"/>
    <w:rsid w:val="00934309"/>
    <w:rsid w:val="0093463D"/>
    <w:rsid w:val="00934709"/>
    <w:rsid w:val="00934800"/>
    <w:rsid w:val="0093481E"/>
    <w:rsid w:val="0093485C"/>
    <w:rsid w:val="00934C2A"/>
    <w:rsid w:val="00934E49"/>
    <w:rsid w:val="00934F52"/>
    <w:rsid w:val="00934F9A"/>
    <w:rsid w:val="009353B9"/>
    <w:rsid w:val="00935410"/>
    <w:rsid w:val="009355EC"/>
    <w:rsid w:val="009355F5"/>
    <w:rsid w:val="00935B2B"/>
    <w:rsid w:val="00935B74"/>
    <w:rsid w:val="00935F85"/>
    <w:rsid w:val="00936658"/>
    <w:rsid w:val="00936C68"/>
    <w:rsid w:val="00936CCE"/>
    <w:rsid w:val="00936CF4"/>
    <w:rsid w:val="00936D6F"/>
    <w:rsid w:val="00936E80"/>
    <w:rsid w:val="009370A1"/>
    <w:rsid w:val="00937175"/>
    <w:rsid w:val="00937760"/>
    <w:rsid w:val="00937768"/>
    <w:rsid w:val="009377E4"/>
    <w:rsid w:val="00937BB5"/>
    <w:rsid w:val="0094008E"/>
    <w:rsid w:val="00940266"/>
    <w:rsid w:val="00940537"/>
    <w:rsid w:val="009406DE"/>
    <w:rsid w:val="009407CC"/>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AD"/>
    <w:rsid w:val="009519DA"/>
    <w:rsid w:val="00951B64"/>
    <w:rsid w:val="00951CE5"/>
    <w:rsid w:val="00952202"/>
    <w:rsid w:val="009525CB"/>
    <w:rsid w:val="009529F3"/>
    <w:rsid w:val="00952A1B"/>
    <w:rsid w:val="00952E5F"/>
    <w:rsid w:val="00952F3A"/>
    <w:rsid w:val="0095313A"/>
    <w:rsid w:val="009532AC"/>
    <w:rsid w:val="00953322"/>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793"/>
    <w:rsid w:val="00956827"/>
    <w:rsid w:val="009568F4"/>
    <w:rsid w:val="00956C96"/>
    <w:rsid w:val="00956E87"/>
    <w:rsid w:val="00956FD3"/>
    <w:rsid w:val="009571A6"/>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B"/>
    <w:rsid w:val="0096203D"/>
    <w:rsid w:val="00962117"/>
    <w:rsid w:val="0096215D"/>
    <w:rsid w:val="009621C5"/>
    <w:rsid w:val="00962243"/>
    <w:rsid w:val="00962362"/>
    <w:rsid w:val="00962A49"/>
    <w:rsid w:val="00962AF0"/>
    <w:rsid w:val="00962CC0"/>
    <w:rsid w:val="00962DA1"/>
    <w:rsid w:val="00962F80"/>
    <w:rsid w:val="00963025"/>
    <w:rsid w:val="00963187"/>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B40"/>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461"/>
    <w:rsid w:val="00990698"/>
    <w:rsid w:val="00990790"/>
    <w:rsid w:val="0099095D"/>
    <w:rsid w:val="00990A5D"/>
    <w:rsid w:val="00990BE4"/>
    <w:rsid w:val="00990C54"/>
    <w:rsid w:val="0099135D"/>
    <w:rsid w:val="0099168F"/>
    <w:rsid w:val="009918EC"/>
    <w:rsid w:val="00991D3C"/>
    <w:rsid w:val="00991D93"/>
    <w:rsid w:val="0099234E"/>
    <w:rsid w:val="00992394"/>
    <w:rsid w:val="0099264F"/>
    <w:rsid w:val="00992B2B"/>
    <w:rsid w:val="00992B68"/>
    <w:rsid w:val="00992D80"/>
    <w:rsid w:val="00993183"/>
    <w:rsid w:val="009932C9"/>
    <w:rsid w:val="00993329"/>
    <w:rsid w:val="0099366C"/>
    <w:rsid w:val="00993A2A"/>
    <w:rsid w:val="00993B08"/>
    <w:rsid w:val="00993B7C"/>
    <w:rsid w:val="00993CC2"/>
    <w:rsid w:val="00993DF8"/>
    <w:rsid w:val="0099414F"/>
    <w:rsid w:val="00994284"/>
    <w:rsid w:val="009945D8"/>
    <w:rsid w:val="0099470F"/>
    <w:rsid w:val="00994959"/>
    <w:rsid w:val="00994B76"/>
    <w:rsid w:val="00995104"/>
    <w:rsid w:val="009951D8"/>
    <w:rsid w:val="00995295"/>
    <w:rsid w:val="00995AC7"/>
    <w:rsid w:val="00995D14"/>
    <w:rsid w:val="00995D18"/>
    <w:rsid w:val="00995E52"/>
    <w:rsid w:val="00995E56"/>
    <w:rsid w:val="009960AC"/>
    <w:rsid w:val="009965FE"/>
    <w:rsid w:val="009966ED"/>
    <w:rsid w:val="00996960"/>
    <w:rsid w:val="00996ABB"/>
    <w:rsid w:val="00996EFC"/>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04D"/>
    <w:rsid w:val="009B33C7"/>
    <w:rsid w:val="009B3615"/>
    <w:rsid w:val="009B3B3A"/>
    <w:rsid w:val="009B4268"/>
    <w:rsid w:val="009B433D"/>
    <w:rsid w:val="009B46AF"/>
    <w:rsid w:val="009B4797"/>
    <w:rsid w:val="009B47BE"/>
    <w:rsid w:val="009B4CFD"/>
    <w:rsid w:val="009B4D72"/>
    <w:rsid w:val="009B4DAD"/>
    <w:rsid w:val="009B4E72"/>
    <w:rsid w:val="009B504B"/>
    <w:rsid w:val="009B52CB"/>
    <w:rsid w:val="009B53BD"/>
    <w:rsid w:val="009B57EC"/>
    <w:rsid w:val="009B5BA4"/>
    <w:rsid w:val="009B5E8D"/>
    <w:rsid w:val="009B5F42"/>
    <w:rsid w:val="009B5FC2"/>
    <w:rsid w:val="009B61B8"/>
    <w:rsid w:val="009B6596"/>
    <w:rsid w:val="009B65AD"/>
    <w:rsid w:val="009B6752"/>
    <w:rsid w:val="009B6B3D"/>
    <w:rsid w:val="009B6DA1"/>
    <w:rsid w:val="009B6F81"/>
    <w:rsid w:val="009B7003"/>
    <w:rsid w:val="009B730E"/>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2E7"/>
    <w:rsid w:val="009C235B"/>
    <w:rsid w:val="009C28FD"/>
    <w:rsid w:val="009C2E33"/>
    <w:rsid w:val="009C2F12"/>
    <w:rsid w:val="009C3222"/>
    <w:rsid w:val="009C33D9"/>
    <w:rsid w:val="009C34D0"/>
    <w:rsid w:val="009C3526"/>
    <w:rsid w:val="009C3623"/>
    <w:rsid w:val="009C3A20"/>
    <w:rsid w:val="009C3CD6"/>
    <w:rsid w:val="009C3E2F"/>
    <w:rsid w:val="009C3E4E"/>
    <w:rsid w:val="009C3E87"/>
    <w:rsid w:val="009C40AA"/>
    <w:rsid w:val="009C40EF"/>
    <w:rsid w:val="009C46AC"/>
    <w:rsid w:val="009C4B49"/>
    <w:rsid w:val="009C4BBB"/>
    <w:rsid w:val="009C4C6C"/>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0D6D"/>
    <w:rsid w:val="009D0DF0"/>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BAE"/>
    <w:rsid w:val="009E2D74"/>
    <w:rsid w:val="009E2FE1"/>
    <w:rsid w:val="009E2FF2"/>
    <w:rsid w:val="009E3297"/>
    <w:rsid w:val="009E3E52"/>
    <w:rsid w:val="009E3EBA"/>
    <w:rsid w:val="009E430F"/>
    <w:rsid w:val="009E449A"/>
    <w:rsid w:val="009E44BB"/>
    <w:rsid w:val="009E4A53"/>
    <w:rsid w:val="009E4CA1"/>
    <w:rsid w:val="009E4CC5"/>
    <w:rsid w:val="009E4F89"/>
    <w:rsid w:val="009E5394"/>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BAF"/>
    <w:rsid w:val="009E6CDE"/>
    <w:rsid w:val="009E7223"/>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00A"/>
    <w:rsid w:val="009F410E"/>
    <w:rsid w:val="009F4261"/>
    <w:rsid w:val="009F4450"/>
    <w:rsid w:val="009F48C0"/>
    <w:rsid w:val="009F4955"/>
    <w:rsid w:val="009F4E2E"/>
    <w:rsid w:val="009F4E3D"/>
    <w:rsid w:val="009F50A4"/>
    <w:rsid w:val="009F52C4"/>
    <w:rsid w:val="009F5447"/>
    <w:rsid w:val="009F557B"/>
    <w:rsid w:val="009F568B"/>
    <w:rsid w:val="009F5828"/>
    <w:rsid w:val="009F5A25"/>
    <w:rsid w:val="009F5A79"/>
    <w:rsid w:val="009F5E73"/>
    <w:rsid w:val="009F6177"/>
    <w:rsid w:val="009F662B"/>
    <w:rsid w:val="009F68E2"/>
    <w:rsid w:val="009F6B62"/>
    <w:rsid w:val="009F6E3A"/>
    <w:rsid w:val="009F72B0"/>
    <w:rsid w:val="009F7403"/>
    <w:rsid w:val="009F741C"/>
    <w:rsid w:val="009F7500"/>
    <w:rsid w:val="009F758F"/>
    <w:rsid w:val="009F75EA"/>
    <w:rsid w:val="009F7626"/>
    <w:rsid w:val="009F768E"/>
    <w:rsid w:val="009F76E7"/>
    <w:rsid w:val="009F76F9"/>
    <w:rsid w:val="009F7A94"/>
    <w:rsid w:val="009F7D59"/>
    <w:rsid w:val="009F7D5D"/>
    <w:rsid w:val="00A008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598"/>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C50"/>
    <w:rsid w:val="00A15CF5"/>
    <w:rsid w:val="00A15F89"/>
    <w:rsid w:val="00A1649C"/>
    <w:rsid w:val="00A1660F"/>
    <w:rsid w:val="00A16616"/>
    <w:rsid w:val="00A16B1D"/>
    <w:rsid w:val="00A16C9D"/>
    <w:rsid w:val="00A16EBB"/>
    <w:rsid w:val="00A1735A"/>
    <w:rsid w:val="00A174E3"/>
    <w:rsid w:val="00A1785B"/>
    <w:rsid w:val="00A178CF"/>
    <w:rsid w:val="00A17926"/>
    <w:rsid w:val="00A17D9B"/>
    <w:rsid w:val="00A17DAE"/>
    <w:rsid w:val="00A203C1"/>
    <w:rsid w:val="00A203E2"/>
    <w:rsid w:val="00A20603"/>
    <w:rsid w:val="00A20A4E"/>
    <w:rsid w:val="00A20C1B"/>
    <w:rsid w:val="00A21277"/>
    <w:rsid w:val="00A212EF"/>
    <w:rsid w:val="00A21569"/>
    <w:rsid w:val="00A217EC"/>
    <w:rsid w:val="00A21AE9"/>
    <w:rsid w:val="00A21B58"/>
    <w:rsid w:val="00A2222A"/>
    <w:rsid w:val="00A2230B"/>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2F6B"/>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38"/>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71FA"/>
    <w:rsid w:val="00A67383"/>
    <w:rsid w:val="00A67710"/>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C6B"/>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D11"/>
    <w:rsid w:val="00A81EFB"/>
    <w:rsid w:val="00A8210E"/>
    <w:rsid w:val="00A8212E"/>
    <w:rsid w:val="00A8236D"/>
    <w:rsid w:val="00A823E1"/>
    <w:rsid w:val="00A824B4"/>
    <w:rsid w:val="00A82730"/>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2C5"/>
    <w:rsid w:val="00A86418"/>
    <w:rsid w:val="00A86617"/>
    <w:rsid w:val="00A86E24"/>
    <w:rsid w:val="00A86F95"/>
    <w:rsid w:val="00A870D1"/>
    <w:rsid w:val="00A87180"/>
    <w:rsid w:val="00A87261"/>
    <w:rsid w:val="00A87648"/>
    <w:rsid w:val="00A878D1"/>
    <w:rsid w:val="00A87CC9"/>
    <w:rsid w:val="00A90272"/>
    <w:rsid w:val="00A90657"/>
    <w:rsid w:val="00A906FA"/>
    <w:rsid w:val="00A90944"/>
    <w:rsid w:val="00A90A7F"/>
    <w:rsid w:val="00A90AAD"/>
    <w:rsid w:val="00A90B82"/>
    <w:rsid w:val="00A91051"/>
    <w:rsid w:val="00A91215"/>
    <w:rsid w:val="00A9132A"/>
    <w:rsid w:val="00A9134F"/>
    <w:rsid w:val="00A91436"/>
    <w:rsid w:val="00A91BCE"/>
    <w:rsid w:val="00A91E60"/>
    <w:rsid w:val="00A9216C"/>
    <w:rsid w:val="00A92480"/>
    <w:rsid w:val="00A928CC"/>
    <w:rsid w:val="00A92B1E"/>
    <w:rsid w:val="00A92DBF"/>
    <w:rsid w:val="00A92EDC"/>
    <w:rsid w:val="00A9343B"/>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81B"/>
    <w:rsid w:val="00AA1907"/>
    <w:rsid w:val="00AA1B55"/>
    <w:rsid w:val="00AA2221"/>
    <w:rsid w:val="00AA2801"/>
    <w:rsid w:val="00AA29BD"/>
    <w:rsid w:val="00AA2BE2"/>
    <w:rsid w:val="00AA32B9"/>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163"/>
    <w:rsid w:val="00AA61F2"/>
    <w:rsid w:val="00AA6616"/>
    <w:rsid w:val="00AA667E"/>
    <w:rsid w:val="00AA68D2"/>
    <w:rsid w:val="00AA6AC1"/>
    <w:rsid w:val="00AA6AE7"/>
    <w:rsid w:val="00AA6B65"/>
    <w:rsid w:val="00AA6DD4"/>
    <w:rsid w:val="00AA7090"/>
    <w:rsid w:val="00AA73FF"/>
    <w:rsid w:val="00AA7751"/>
    <w:rsid w:val="00AA77EF"/>
    <w:rsid w:val="00AA7D17"/>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AB1"/>
    <w:rsid w:val="00AC1217"/>
    <w:rsid w:val="00AC1346"/>
    <w:rsid w:val="00AC18D9"/>
    <w:rsid w:val="00AC2487"/>
    <w:rsid w:val="00AC27FF"/>
    <w:rsid w:val="00AC2A2F"/>
    <w:rsid w:val="00AC2C04"/>
    <w:rsid w:val="00AC2C70"/>
    <w:rsid w:val="00AC31EC"/>
    <w:rsid w:val="00AC31FD"/>
    <w:rsid w:val="00AC3293"/>
    <w:rsid w:val="00AC3624"/>
    <w:rsid w:val="00AC39FE"/>
    <w:rsid w:val="00AC3B0B"/>
    <w:rsid w:val="00AC3B27"/>
    <w:rsid w:val="00AC410C"/>
    <w:rsid w:val="00AC429F"/>
    <w:rsid w:val="00AC4321"/>
    <w:rsid w:val="00AC4557"/>
    <w:rsid w:val="00AC49CF"/>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A0"/>
    <w:rsid w:val="00AC7A16"/>
    <w:rsid w:val="00AC7B50"/>
    <w:rsid w:val="00AC7C5A"/>
    <w:rsid w:val="00AC7E54"/>
    <w:rsid w:val="00AD0009"/>
    <w:rsid w:val="00AD012E"/>
    <w:rsid w:val="00AD069D"/>
    <w:rsid w:val="00AD081B"/>
    <w:rsid w:val="00AD084B"/>
    <w:rsid w:val="00AD0A55"/>
    <w:rsid w:val="00AD0DE7"/>
    <w:rsid w:val="00AD101C"/>
    <w:rsid w:val="00AD1295"/>
    <w:rsid w:val="00AD14C1"/>
    <w:rsid w:val="00AD16FC"/>
    <w:rsid w:val="00AD1A5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4E"/>
    <w:rsid w:val="00AE2EA0"/>
    <w:rsid w:val="00AE368F"/>
    <w:rsid w:val="00AE386E"/>
    <w:rsid w:val="00AE41B1"/>
    <w:rsid w:val="00AE4240"/>
    <w:rsid w:val="00AE4274"/>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852"/>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27"/>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9E5"/>
    <w:rsid w:val="00AF7A9B"/>
    <w:rsid w:val="00AF7E92"/>
    <w:rsid w:val="00B00018"/>
    <w:rsid w:val="00B000BE"/>
    <w:rsid w:val="00B0030E"/>
    <w:rsid w:val="00B00879"/>
    <w:rsid w:val="00B00938"/>
    <w:rsid w:val="00B00C29"/>
    <w:rsid w:val="00B00D80"/>
    <w:rsid w:val="00B012CA"/>
    <w:rsid w:val="00B01369"/>
    <w:rsid w:val="00B01479"/>
    <w:rsid w:val="00B01D56"/>
    <w:rsid w:val="00B01E3F"/>
    <w:rsid w:val="00B023FD"/>
    <w:rsid w:val="00B0249F"/>
    <w:rsid w:val="00B02584"/>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4EA7"/>
    <w:rsid w:val="00B0510E"/>
    <w:rsid w:val="00B05139"/>
    <w:rsid w:val="00B052F6"/>
    <w:rsid w:val="00B05423"/>
    <w:rsid w:val="00B05D68"/>
    <w:rsid w:val="00B05FEC"/>
    <w:rsid w:val="00B06248"/>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7A9"/>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4F0"/>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BC"/>
    <w:rsid w:val="00B21CF3"/>
    <w:rsid w:val="00B21D69"/>
    <w:rsid w:val="00B21F61"/>
    <w:rsid w:val="00B21F71"/>
    <w:rsid w:val="00B220CC"/>
    <w:rsid w:val="00B2217D"/>
    <w:rsid w:val="00B22760"/>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1AA"/>
    <w:rsid w:val="00B261DE"/>
    <w:rsid w:val="00B2621B"/>
    <w:rsid w:val="00B2623A"/>
    <w:rsid w:val="00B263D0"/>
    <w:rsid w:val="00B266A0"/>
    <w:rsid w:val="00B266C8"/>
    <w:rsid w:val="00B26A1F"/>
    <w:rsid w:val="00B26A5D"/>
    <w:rsid w:val="00B26B55"/>
    <w:rsid w:val="00B27104"/>
    <w:rsid w:val="00B2748A"/>
    <w:rsid w:val="00B27560"/>
    <w:rsid w:val="00B275FA"/>
    <w:rsid w:val="00B276E7"/>
    <w:rsid w:val="00B2779E"/>
    <w:rsid w:val="00B27937"/>
    <w:rsid w:val="00B27B00"/>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757"/>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D3"/>
    <w:rsid w:val="00B42146"/>
    <w:rsid w:val="00B42270"/>
    <w:rsid w:val="00B426F8"/>
    <w:rsid w:val="00B42D23"/>
    <w:rsid w:val="00B42FC1"/>
    <w:rsid w:val="00B432AA"/>
    <w:rsid w:val="00B4361C"/>
    <w:rsid w:val="00B4387A"/>
    <w:rsid w:val="00B43A66"/>
    <w:rsid w:val="00B43B10"/>
    <w:rsid w:val="00B43D20"/>
    <w:rsid w:val="00B43D9C"/>
    <w:rsid w:val="00B43F06"/>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E4F"/>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1AA"/>
    <w:rsid w:val="00B6050E"/>
    <w:rsid w:val="00B60670"/>
    <w:rsid w:val="00B60689"/>
    <w:rsid w:val="00B60950"/>
    <w:rsid w:val="00B609BB"/>
    <w:rsid w:val="00B60D86"/>
    <w:rsid w:val="00B60DEB"/>
    <w:rsid w:val="00B6114D"/>
    <w:rsid w:val="00B6132E"/>
    <w:rsid w:val="00B613EC"/>
    <w:rsid w:val="00B615D3"/>
    <w:rsid w:val="00B61650"/>
    <w:rsid w:val="00B61EB6"/>
    <w:rsid w:val="00B62148"/>
    <w:rsid w:val="00B62226"/>
    <w:rsid w:val="00B626A3"/>
    <w:rsid w:val="00B62746"/>
    <w:rsid w:val="00B62954"/>
    <w:rsid w:val="00B62DAF"/>
    <w:rsid w:val="00B62E1E"/>
    <w:rsid w:val="00B62FE1"/>
    <w:rsid w:val="00B6392E"/>
    <w:rsid w:val="00B63BA9"/>
    <w:rsid w:val="00B63C03"/>
    <w:rsid w:val="00B64103"/>
    <w:rsid w:val="00B641A2"/>
    <w:rsid w:val="00B6429C"/>
    <w:rsid w:val="00B64AB2"/>
    <w:rsid w:val="00B651B0"/>
    <w:rsid w:val="00B651FC"/>
    <w:rsid w:val="00B65207"/>
    <w:rsid w:val="00B6522F"/>
    <w:rsid w:val="00B65343"/>
    <w:rsid w:val="00B654FC"/>
    <w:rsid w:val="00B65BE6"/>
    <w:rsid w:val="00B65C8F"/>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0A4"/>
    <w:rsid w:val="00B70554"/>
    <w:rsid w:val="00B706D1"/>
    <w:rsid w:val="00B71015"/>
    <w:rsid w:val="00B71248"/>
    <w:rsid w:val="00B7127C"/>
    <w:rsid w:val="00B71B61"/>
    <w:rsid w:val="00B72018"/>
    <w:rsid w:val="00B72633"/>
    <w:rsid w:val="00B72965"/>
    <w:rsid w:val="00B72A38"/>
    <w:rsid w:val="00B72A3E"/>
    <w:rsid w:val="00B72DF7"/>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E18"/>
    <w:rsid w:val="00B76067"/>
    <w:rsid w:val="00B76260"/>
    <w:rsid w:val="00B76399"/>
    <w:rsid w:val="00B76706"/>
    <w:rsid w:val="00B76E0E"/>
    <w:rsid w:val="00B76EBD"/>
    <w:rsid w:val="00B76ECE"/>
    <w:rsid w:val="00B77545"/>
    <w:rsid w:val="00B775BE"/>
    <w:rsid w:val="00B776CD"/>
    <w:rsid w:val="00B77801"/>
    <w:rsid w:val="00B80197"/>
    <w:rsid w:val="00B801A8"/>
    <w:rsid w:val="00B80214"/>
    <w:rsid w:val="00B80476"/>
    <w:rsid w:val="00B804E8"/>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5D09"/>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883"/>
    <w:rsid w:val="00B91D5A"/>
    <w:rsid w:val="00B91F97"/>
    <w:rsid w:val="00B91FCA"/>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4A"/>
    <w:rsid w:val="00B97189"/>
    <w:rsid w:val="00B972E1"/>
    <w:rsid w:val="00B972F6"/>
    <w:rsid w:val="00B973EA"/>
    <w:rsid w:val="00B97429"/>
    <w:rsid w:val="00B977E4"/>
    <w:rsid w:val="00B97A18"/>
    <w:rsid w:val="00B97B3D"/>
    <w:rsid w:val="00BA015D"/>
    <w:rsid w:val="00BA0229"/>
    <w:rsid w:val="00BA0860"/>
    <w:rsid w:val="00BA0A8E"/>
    <w:rsid w:val="00BA0ECC"/>
    <w:rsid w:val="00BA139E"/>
    <w:rsid w:val="00BA17E4"/>
    <w:rsid w:val="00BA1A10"/>
    <w:rsid w:val="00BA1B35"/>
    <w:rsid w:val="00BA1B99"/>
    <w:rsid w:val="00BA1C72"/>
    <w:rsid w:val="00BA24AA"/>
    <w:rsid w:val="00BA2652"/>
    <w:rsid w:val="00BA2914"/>
    <w:rsid w:val="00BA2B6F"/>
    <w:rsid w:val="00BA2DD7"/>
    <w:rsid w:val="00BA3072"/>
    <w:rsid w:val="00BA30C7"/>
    <w:rsid w:val="00BA35C5"/>
    <w:rsid w:val="00BA3857"/>
    <w:rsid w:val="00BA3A00"/>
    <w:rsid w:val="00BA3CB8"/>
    <w:rsid w:val="00BA3CFD"/>
    <w:rsid w:val="00BA3D55"/>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6F40"/>
    <w:rsid w:val="00BA7246"/>
    <w:rsid w:val="00BA7262"/>
    <w:rsid w:val="00BA7269"/>
    <w:rsid w:val="00BA757B"/>
    <w:rsid w:val="00BA7A42"/>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298"/>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73C"/>
    <w:rsid w:val="00BC4B45"/>
    <w:rsid w:val="00BC4B70"/>
    <w:rsid w:val="00BC5467"/>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7EF"/>
    <w:rsid w:val="00BC79A6"/>
    <w:rsid w:val="00BC79B3"/>
    <w:rsid w:val="00BC7C7C"/>
    <w:rsid w:val="00BD0322"/>
    <w:rsid w:val="00BD05D8"/>
    <w:rsid w:val="00BD0631"/>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7E4"/>
    <w:rsid w:val="00BD4D9A"/>
    <w:rsid w:val="00BD4FEC"/>
    <w:rsid w:val="00BD503E"/>
    <w:rsid w:val="00BD5550"/>
    <w:rsid w:val="00BD559C"/>
    <w:rsid w:val="00BD56B8"/>
    <w:rsid w:val="00BD5802"/>
    <w:rsid w:val="00BD618C"/>
    <w:rsid w:val="00BD6441"/>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B6A"/>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730"/>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777"/>
    <w:rsid w:val="00BF198A"/>
    <w:rsid w:val="00BF19BB"/>
    <w:rsid w:val="00BF1AF8"/>
    <w:rsid w:val="00BF1E27"/>
    <w:rsid w:val="00BF24D5"/>
    <w:rsid w:val="00BF2509"/>
    <w:rsid w:val="00BF260B"/>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D5"/>
    <w:rsid w:val="00BF4EE4"/>
    <w:rsid w:val="00BF4F5D"/>
    <w:rsid w:val="00BF5122"/>
    <w:rsid w:val="00BF5455"/>
    <w:rsid w:val="00BF5B8E"/>
    <w:rsid w:val="00BF5C98"/>
    <w:rsid w:val="00BF62E6"/>
    <w:rsid w:val="00BF63B6"/>
    <w:rsid w:val="00BF653F"/>
    <w:rsid w:val="00BF65A5"/>
    <w:rsid w:val="00BF676E"/>
    <w:rsid w:val="00BF6A44"/>
    <w:rsid w:val="00BF6B2D"/>
    <w:rsid w:val="00BF6E21"/>
    <w:rsid w:val="00BF6FD1"/>
    <w:rsid w:val="00BF73DC"/>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C18"/>
    <w:rsid w:val="00C03F43"/>
    <w:rsid w:val="00C03F48"/>
    <w:rsid w:val="00C03FD8"/>
    <w:rsid w:val="00C04513"/>
    <w:rsid w:val="00C04557"/>
    <w:rsid w:val="00C04DD1"/>
    <w:rsid w:val="00C0502A"/>
    <w:rsid w:val="00C05121"/>
    <w:rsid w:val="00C05248"/>
    <w:rsid w:val="00C056C9"/>
    <w:rsid w:val="00C057EB"/>
    <w:rsid w:val="00C05900"/>
    <w:rsid w:val="00C05AE7"/>
    <w:rsid w:val="00C05EFF"/>
    <w:rsid w:val="00C05FFB"/>
    <w:rsid w:val="00C06179"/>
    <w:rsid w:val="00C06186"/>
    <w:rsid w:val="00C0645D"/>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6D3"/>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208D5"/>
    <w:rsid w:val="00C20B43"/>
    <w:rsid w:val="00C20CAB"/>
    <w:rsid w:val="00C20F7A"/>
    <w:rsid w:val="00C21163"/>
    <w:rsid w:val="00C2128A"/>
    <w:rsid w:val="00C214C5"/>
    <w:rsid w:val="00C214E6"/>
    <w:rsid w:val="00C2151A"/>
    <w:rsid w:val="00C219FD"/>
    <w:rsid w:val="00C21A38"/>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40BF"/>
    <w:rsid w:val="00C24245"/>
    <w:rsid w:val="00C2479D"/>
    <w:rsid w:val="00C247BF"/>
    <w:rsid w:val="00C24BE2"/>
    <w:rsid w:val="00C24ED1"/>
    <w:rsid w:val="00C24F1D"/>
    <w:rsid w:val="00C24F6C"/>
    <w:rsid w:val="00C25159"/>
    <w:rsid w:val="00C253E2"/>
    <w:rsid w:val="00C25D5F"/>
    <w:rsid w:val="00C26040"/>
    <w:rsid w:val="00C2662E"/>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610"/>
    <w:rsid w:val="00C31810"/>
    <w:rsid w:val="00C3184B"/>
    <w:rsid w:val="00C318E5"/>
    <w:rsid w:val="00C31D95"/>
    <w:rsid w:val="00C31DE4"/>
    <w:rsid w:val="00C31FBA"/>
    <w:rsid w:val="00C323D1"/>
    <w:rsid w:val="00C32576"/>
    <w:rsid w:val="00C325F9"/>
    <w:rsid w:val="00C32AFA"/>
    <w:rsid w:val="00C32C12"/>
    <w:rsid w:val="00C32C39"/>
    <w:rsid w:val="00C32E32"/>
    <w:rsid w:val="00C33DAD"/>
    <w:rsid w:val="00C348C9"/>
    <w:rsid w:val="00C34A49"/>
    <w:rsid w:val="00C34BAA"/>
    <w:rsid w:val="00C34F1C"/>
    <w:rsid w:val="00C35415"/>
    <w:rsid w:val="00C354E3"/>
    <w:rsid w:val="00C355EB"/>
    <w:rsid w:val="00C35967"/>
    <w:rsid w:val="00C359A9"/>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CDB"/>
    <w:rsid w:val="00C40F89"/>
    <w:rsid w:val="00C41695"/>
    <w:rsid w:val="00C41B04"/>
    <w:rsid w:val="00C41D69"/>
    <w:rsid w:val="00C41F7A"/>
    <w:rsid w:val="00C42042"/>
    <w:rsid w:val="00C423DB"/>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BD9"/>
    <w:rsid w:val="00C54C19"/>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0C90"/>
    <w:rsid w:val="00C612E0"/>
    <w:rsid w:val="00C61516"/>
    <w:rsid w:val="00C61646"/>
    <w:rsid w:val="00C616E3"/>
    <w:rsid w:val="00C61856"/>
    <w:rsid w:val="00C618C3"/>
    <w:rsid w:val="00C61916"/>
    <w:rsid w:val="00C619ED"/>
    <w:rsid w:val="00C61E6A"/>
    <w:rsid w:val="00C62091"/>
    <w:rsid w:val="00C62171"/>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7CC"/>
    <w:rsid w:val="00C6492D"/>
    <w:rsid w:val="00C64AF1"/>
    <w:rsid w:val="00C64B75"/>
    <w:rsid w:val="00C64CA8"/>
    <w:rsid w:val="00C64E07"/>
    <w:rsid w:val="00C652DA"/>
    <w:rsid w:val="00C65572"/>
    <w:rsid w:val="00C65655"/>
    <w:rsid w:val="00C657DD"/>
    <w:rsid w:val="00C65A5E"/>
    <w:rsid w:val="00C65A69"/>
    <w:rsid w:val="00C65A6A"/>
    <w:rsid w:val="00C65D4F"/>
    <w:rsid w:val="00C6607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6787B"/>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BB9"/>
    <w:rsid w:val="00C76C31"/>
    <w:rsid w:val="00C76E57"/>
    <w:rsid w:val="00C770CE"/>
    <w:rsid w:val="00C7724F"/>
    <w:rsid w:val="00C77281"/>
    <w:rsid w:val="00C777A7"/>
    <w:rsid w:val="00C777E9"/>
    <w:rsid w:val="00C77804"/>
    <w:rsid w:val="00C805D9"/>
    <w:rsid w:val="00C807CC"/>
    <w:rsid w:val="00C80A72"/>
    <w:rsid w:val="00C80AF3"/>
    <w:rsid w:val="00C8110D"/>
    <w:rsid w:val="00C81331"/>
    <w:rsid w:val="00C81975"/>
    <w:rsid w:val="00C81BF0"/>
    <w:rsid w:val="00C82166"/>
    <w:rsid w:val="00C82540"/>
    <w:rsid w:val="00C82624"/>
    <w:rsid w:val="00C82EBF"/>
    <w:rsid w:val="00C82ED3"/>
    <w:rsid w:val="00C82FB5"/>
    <w:rsid w:val="00C83405"/>
    <w:rsid w:val="00C83613"/>
    <w:rsid w:val="00C83958"/>
    <w:rsid w:val="00C83F9A"/>
    <w:rsid w:val="00C83FEA"/>
    <w:rsid w:val="00C84324"/>
    <w:rsid w:val="00C8434D"/>
    <w:rsid w:val="00C84898"/>
    <w:rsid w:val="00C848A0"/>
    <w:rsid w:val="00C84A98"/>
    <w:rsid w:val="00C84AE5"/>
    <w:rsid w:val="00C84D61"/>
    <w:rsid w:val="00C850F8"/>
    <w:rsid w:val="00C85145"/>
    <w:rsid w:val="00C85608"/>
    <w:rsid w:val="00C859B5"/>
    <w:rsid w:val="00C85B6F"/>
    <w:rsid w:val="00C85C0F"/>
    <w:rsid w:val="00C86183"/>
    <w:rsid w:val="00C86245"/>
    <w:rsid w:val="00C86370"/>
    <w:rsid w:val="00C867AE"/>
    <w:rsid w:val="00C867E1"/>
    <w:rsid w:val="00C86D7B"/>
    <w:rsid w:val="00C86EEC"/>
    <w:rsid w:val="00C87318"/>
    <w:rsid w:val="00C875F0"/>
    <w:rsid w:val="00C8771A"/>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7A0"/>
    <w:rsid w:val="00C92957"/>
    <w:rsid w:val="00C92C0C"/>
    <w:rsid w:val="00C92CFA"/>
    <w:rsid w:val="00C92F0A"/>
    <w:rsid w:val="00C92F77"/>
    <w:rsid w:val="00C93579"/>
    <w:rsid w:val="00C937E9"/>
    <w:rsid w:val="00C93A91"/>
    <w:rsid w:val="00C93CB0"/>
    <w:rsid w:val="00C941E2"/>
    <w:rsid w:val="00C942CD"/>
    <w:rsid w:val="00C945E1"/>
    <w:rsid w:val="00C95083"/>
    <w:rsid w:val="00C953CB"/>
    <w:rsid w:val="00C95639"/>
    <w:rsid w:val="00C95761"/>
    <w:rsid w:val="00C95ED5"/>
    <w:rsid w:val="00C9653E"/>
    <w:rsid w:val="00C966AC"/>
    <w:rsid w:val="00C969DE"/>
    <w:rsid w:val="00C96B91"/>
    <w:rsid w:val="00C96BEA"/>
    <w:rsid w:val="00C96FE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6C"/>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6CB0"/>
    <w:rsid w:val="00CA76F9"/>
    <w:rsid w:val="00CA7700"/>
    <w:rsid w:val="00CA7755"/>
    <w:rsid w:val="00CA776B"/>
    <w:rsid w:val="00CA7A40"/>
    <w:rsid w:val="00CA7AA0"/>
    <w:rsid w:val="00CA7BAC"/>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F0A"/>
    <w:rsid w:val="00CD5F4D"/>
    <w:rsid w:val="00CD61AE"/>
    <w:rsid w:val="00CD6331"/>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506"/>
    <w:rsid w:val="00CE2C4C"/>
    <w:rsid w:val="00CE2FEC"/>
    <w:rsid w:val="00CE3343"/>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412"/>
    <w:rsid w:val="00CE7572"/>
    <w:rsid w:val="00CE76EE"/>
    <w:rsid w:val="00CE7B52"/>
    <w:rsid w:val="00CE7E70"/>
    <w:rsid w:val="00CF0243"/>
    <w:rsid w:val="00CF02A7"/>
    <w:rsid w:val="00CF02FB"/>
    <w:rsid w:val="00CF0607"/>
    <w:rsid w:val="00CF0E85"/>
    <w:rsid w:val="00CF0FAC"/>
    <w:rsid w:val="00CF0FFE"/>
    <w:rsid w:val="00CF101F"/>
    <w:rsid w:val="00CF132F"/>
    <w:rsid w:val="00CF1390"/>
    <w:rsid w:val="00CF1558"/>
    <w:rsid w:val="00CF1565"/>
    <w:rsid w:val="00CF162A"/>
    <w:rsid w:val="00CF177B"/>
    <w:rsid w:val="00CF192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945"/>
    <w:rsid w:val="00CF5003"/>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5CC"/>
    <w:rsid w:val="00D0064D"/>
    <w:rsid w:val="00D00664"/>
    <w:rsid w:val="00D0075D"/>
    <w:rsid w:val="00D007E4"/>
    <w:rsid w:val="00D008E3"/>
    <w:rsid w:val="00D00993"/>
    <w:rsid w:val="00D0099E"/>
    <w:rsid w:val="00D009AA"/>
    <w:rsid w:val="00D009BA"/>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9C"/>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664"/>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555"/>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1BF"/>
    <w:rsid w:val="00D256E6"/>
    <w:rsid w:val="00D25773"/>
    <w:rsid w:val="00D257D5"/>
    <w:rsid w:val="00D25CBB"/>
    <w:rsid w:val="00D25CCA"/>
    <w:rsid w:val="00D26150"/>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BBE"/>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C0"/>
    <w:rsid w:val="00D4075C"/>
    <w:rsid w:val="00D40BD2"/>
    <w:rsid w:val="00D40CD6"/>
    <w:rsid w:val="00D40CE6"/>
    <w:rsid w:val="00D40E31"/>
    <w:rsid w:val="00D40F7B"/>
    <w:rsid w:val="00D412B0"/>
    <w:rsid w:val="00D417F7"/>
    <w:rsid w:val="00D41A0D"/>
    <w:rsid w:val="00D41BC7"/>
    <w:rsid w:val="00D41BE4"/>
    <w:rsid w:val="00D41C06"/>
    <w:rsid w:val="00D41C33"/>
    <w:rsid w:val="00D41D0D"/>
    <w:rsid w:val="00D41FF4"/>
    <w:rsid w:val="00D424F9"/>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89B"/>
    <w:rsid w:val="00D45EFB"/>
    <w:rsid w:val="00D460EB"/>
    <w:rsid w:val="00D463E2"/>
    <w:rsid w:val="00D4659C"/>
    <w:rsid w:val="00D46635"/>
    <w:rsid w:val="00D468D0"/>
    <w:rsid w:val="00D46AE2"/>
    <w:rsid w:val="00D46C8F"/>
    <w:rsid w:val="00D47073"/>
    <w:rsid w:val="00D479E4"/>
    <w:rsid w:val="00D47AEB"/>
    <w:rsid w:val="00D47CBD"/>
    <w:rsid w:val="00D47FFE"/>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68F"/>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96"/>
    <w:rsid w:val="00D576BC"/>
    <w:rsid w:val="00D579A6"/>
    <w:rsid w:val="00D579CC"/>
    <w:rsid w:val="00D57A73"/>
    <w:rsid w:val="00D57D22"/>
    <w:rsid w:val="00D60235"/>
    <w:rsid w:val="00D60339"/>
    <w:rsid w:val="00D6035A"/>
    <w:rsid w:val="00D6053E"/>
    <w:rsid w:val="00D60564"/>
    <w:rsid w:val="00D6083C"/>
    <w:rsid w:val="00D60870"/>
    <w:rsid w:val="00D6088B"/>
    <w:rsid w:val="00D60C5B"/>
    <w:rsid w:val="00D60EED"/>
    <w:rsid w:val="00D60F21"/>
    <w:rsid w:val="00D615AD"/>
    <w:rsid w:val="00D617CC"/>
    <w:rsid w:val="00D6183D"/>
    <w:rsid w:val="00D61A02"/>
    <w:rsid w:val="00D62208"/>
    <w:rsid w:val="00D625F2"/>
    <w:rsid w:val="00D62AAF"/>
    <w:rsid w:val="00D62B8A"/>
    <w:rsid w:val="00D634A7"/>
    <w:rsid w:val="00D634E9"/>
    <w:rsid w:val="00D636AA"/>
    <w:rsid w:val="00D63CDA"/>
    <w:rsid w:val="00D643C5"/>
    <w:rsid w:val="00D64791"/>
    <w:rsid w:val="00D64A46"/>
    <w:rsid w:val="00D64B5A"/>
    <w:rsid w:val="00D64CE8"/>
    <w:rsid w:val="00D64F53"/>
    <w:rsid w:val="00D65064"/>
    <w:rsid w:val="00D6563A"/>
    <w:rsid w:val="00D656B9"/>
    <w:rsid w:val="00D65BA6"/>
    <w:rsid w:val="00D65E4D"/>
    <w:rsid w:val="00D66132"/>
    <w:rsid w:val="00D66287"/>
    <w:rsid w:val="00D662C9"/>
    <w:rsid w:val="00D665A3"/>
    <w:rsid w:val="00D66C87"/>
    <w:rsid w:val="00D66CDA"/>
    <w:rsid w:val="00D66CDB"/>
    <w:rsid w:val="00D66EFF"/>
    <w:rsid w:val="00D66F39"/>
    <w:rsid w:val="00D67710"/>
    <w:rsid w:val="00D677CA"/>
    <w:rsid w:val="00D67C18"/>
    <w:rsid w:val="00D70039"/>
    <w:rsid w:val="00D70174"/>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4ED"/>
    <w:rsid w:val="00D836D2"/>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6E"/>
    <w:rsid w:val="00D87EAA"/>
    <w:rsid w:val="00D900EF"/>
    <w:rsid w:val="00D90555"/>
    <w:rsid w:val="00D907B3"/>
    <w:rsid w:val="00D9089A"/>
    <w:rsid w:val="00D90932"/>
    <w:rsid w:val="00D90C91"/>
    <w:rsid w:val="00D90CD2"/>
    <w:rsid w:val="00D912E6"/>
    <w:rsid w:val="00D913F5"/>
    <w:rsid w:val="00D915EE"/>
    <w:rsid w:val="00D91D74"/>
    <w:rsid w:val="00D91E68"/>
    <w:rsid w:val="00D9201D"/>
    <w:rsid w:val="00D925AB"/>
    <w:rsid w:val="00D92877"/>
    <w:rsid w:val="00D9294C"/>
    <w:rsid w:val="00D92A24"/>
    <w:rsid w:val="00D92AB6"/>
    <w:rsid w:val="00D92BFF"/>
    <w:rsid w:val="00D92DE5"/>
    <w:rsid w:val="00D92F09"/>
    <w:rsid w:val="00D930B9"/>
    <w:rsid w:val="00D93630"/>
    <w:rsid w:val="00D937F1"/>
    <w:rsid w:val="00D93FD0"/>
    <w:rsid w:val="00D940D6"/>
    <w:rsid w:val="00D941A4"/>
    <w:rsid w:val="00D942BE"/>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15"/>
    <w:rsid w:val="00DA08BB"/>
    <w:rsid w:val="00DA09AF"/>
    <w:rsid w:val="00DA09D2"/>
    <w:rsid w:val="00DA0B44"/>
    <w:rsid w:val="00DA10CD"/>
    <w:rsid w:val="00DA14F6"/>
    <w:rsid w:val="00DA1801"/>
    <w:rsid w:val="00DA1803"/>
    <w:rsid w:val="00DA1F2D"/>
    <w:rsid w:val="00DA1F83"/>
    <w:rsid w:val="00DA2176"/>
    <w:rsid w:val="00DA2223"/>
    <w:rsid w:val="00DA22ED"/>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1FC"/>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A73"/>
    <w:rsid w:val="00DD1B07"/>
    <w:rsid w:val="00DD1CDB"/>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3C23"/>
    <w:rsid w:val="00DD4022"/>
    <w:rsid w:val="00DD419B"/>
    <w:rsid w:val="00DD42BA"/>
    <w:rsid w:val="00DD453D"/>
    <w:rsid w:val="00DD4556"/>
    <w:rsid w:val="00DD473F"/>
    <w:rsid w:val="00DD478F"/>
    <w:rsid w:val="00DD4901"/>
    <w:rsid w:val="00DD49C0"/>
    <w:rsid w:val="00DD49E2"/>
    <w:rsid w:val="00DD4BE6"/>
    <w:rsid w:val="00DD513E"/>
    <w:rsid w:val="00DD5458"/>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740"/>
    <w:rsid w:val="00DE3825"/>
    <w:rsid w:val="00DE4462"/>
    <w:rsid w:val="00DE4561"/>
    <w:rsid w:val="00DE4976"/>
    <w:rsid w:val="00DE4C64"/>
    <w:rsid w:val="00DE4ED8"/>
    <w:rsid w:val="00DE5337"/>
    <w:rsid w:val="00DE534B"/>
    <w:rsid w:val="00DE5DAE"/>
    <w:rsid w:val="00DE5F9A"/>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9E5"/>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320"/>
    <w:rsid w:val="00DF7433"/>
    <w:rsid w:val="00DF7465"/>
    <w:rsid w:val="00DF7560"/>
    <w:rsid w:val="00DF7682"/>
    <w:rsid w:val="00DF78DE"/>
    <w:rsid w:val="00DF7CA7"/>
    <w:rsid w:val="00DF7D59"/>
    <w:rsid w:val="00DF7F6D"/>
    <w:rsid w:val="00DF7F9B"/>
    <w:rsid w:val="00E003DE"/>
    <w:rsid w:val="00E00427"/>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49"/>
    <w:rsid w:val="00E03709"/>
    <w:rsid w:val="00E0370A"/>
    <w:rsid w:val="00E03898"/>
    <w:rsid w:val="00E038F6"/>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C2D"/>
    <w:rsid w:val="00E07DD8"/>
    <w:rsid w:val="00E07E9C"/>
    <w:rsid w:val="00E07EB8"/>
    <w:rsid w:val="00E07F78"/>
    <w:rsid w:val="00E1015B"/>
    <w:rsid w:val="00E10385"/>
    <w:rsid w:val="00E103F8"/>
    <w:rsid w:val="00E10DDF"/>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F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DC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825"/>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692"/>
    <w:rsid w:val="00E26852"/>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DFF"/>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99E"/>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5C5"/>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DE"/>
    <w:rsid w:val="00E635A3"/>
    <w:rsid w:val="00E6372E"/>
    <w:rsid w:val="00E637E2"/>
    <w:rsid w:val="00E63EE0"/>
    <w:rsid w:val="00E63FEC"/>
    <w:rsid w:val="00E64107"/>
    <w:rsid w:val="00E6462F"/>
    <w:rsid w:val="00E64C05"/>
    <w:rsid w:val="00E64EF3"/>
    <w:rsid w:val="00E64F2A"/>
    <w:rsid w:val="00E65083"/>
    <w:rsid w:val="00E653A1"/>
    <w:rsid w:val="00E65564"/>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06"/>
    <w:rsid w:val="00E66824"/>
    <w:rsid w:val="00E66858"/>
    <w:rsid w:val="00E668BA"/>
    <w:rsid w:val="00E66F28"/>
    <w:rsid w:val="00E6721B"/>
    <w:rsid w:val="00E67357"/>
    <w:rsid w:val="00E674BF"/>
    <w:rsid w:val="00E678AD"/>
    <w:rsid w:val="00E67998"/>
    <w:rsid w:val="00E67BA0"/>
    <w:rsid w:val="00E67E01"/>
    <w:rsid w:val="00E70014"/>
    <w:rsid w:val="00E701EB"/>
    <w:rsid w:val="00E7034D"/>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082"/>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202"/>
    <w:rsid w:val="00E762C5"/>
    <w:rsid w:val="00E763A2"/>
    <w:rsid w:val="00E7641C"/>
    <w:rsid w:val="00E7642C"/>
    <w:rsid w:val="00E764AC"/>
    <w:rsid w:val="00E765E8"/>
    <w:rsid w:val="00E77057"/>
    <w:rsid w:val="00E7732E"/>
    <w:rsid w:val="00E773E4"/>
    <w:rsid w:val="00E7740C"/>
    <w:rsid w:val="00E77432"/>
    <w:rsid w:val="00E776BB"/>
    <w:rsid w:val="00E777E4"/>
    <w:rsid w:val="00E77B4C"/>
    <w:rsid w:val="00E77CAD"/>
    <w:rsid w:val="00E77FA8"/>
    <w:rsid w:val="00E80015"/>
    <w:rsid w:val="00E8026D"/>
    <w:rsid w:val="00E8030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3E"/>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3126"/>
    <w:rsid w:val="00E93279"/>
    <w:rsid w:val="00E93799"/>
    <w:rsid w:val="00E93D4E"/>
    <w:rsid w:val="00E93FE0"/>
    <w:rsid w:val="00E940B2"/>
    <w:rsid w:val="00E946BB"/>
    <w:rsid w:val="00E9543D"/>
    <w:rsid w:val="00E95626"/>
    <w:rsid w:val="00E95723"/>
    <w:rsid w:val="00E95859"/>
    <w:rsid w:val="00E95AE1"/>
    <w:rsid w:val="00E95B16"/>
    <w:rsid w:val="00E95BFB"/>
    <w:rsid w:val="00E95C9A"/>
    <w:rsid w:val="00E95CBA"/>
    <w:rsid w:val="00E95D68"/>
    <w:rsid w:val="00E95E51"/>
    <w:rsid w:val="00E95EC2"/>
    <w:rsid w:val="00E95F2C"/>
    <w:rsid w:val="00E95FB8"/>
    <w:rsid w:val="00E96035"/>
    <w:rsid w:val="00E9629C"/>
    <w:rsid w:val="00E962BC"/>
    <w:rsid w:val="00E96DAB"/>
    <w:rsid w:val="00E96DD1"/>
    <w:rsid w:val="00E96E58"/>
    <w:rsid w:val="00E96E77"/>
    <w:rsid w:val="00E96F2D"/>
    <w:rsid w:val="00E972C9"/>
    <w:rsid w:val="00E97485"/>
    <w:rsid w:val="00E97584"/>
    <w:rsid w:val="00E9772C"/>
    <w:rsid w:val="00E97795"/>
    <w:rsid w:val="00E977AA"/>
    <w:rsid w:val="00E977DB"/>
    <w:rsid w:val="00E97864"/>
    <w:rsid w:val="00E97D5E"/>
    <w:rsid w:val="00E97E68"/>
    <w:rsid w:val="00EA0241"/>
    <w:rsid w:val="00EA045F"/>
    <w:rsid w:val="00EA04DA"/>
    <w:rsid w:val="00EA0616"/>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EA4"/>
    <w:rsid w:val="00EA4EA8"/>
    <w:rsid w:val="00EA50D8"/>
    <w:rsid w:val="00EA522B"/>
    <w:rsid w:val="00EA5A22"/>
    <w:rsid w:val="00EA5A4F"/>
    <w:rsid w:val="00EA5AFA"/>
    <w:rsid w:val="00EA5B6F"/>
    <w:rsid w:val="00EA6602"/>
    <w:rsid w:val="00EA6ECA"/>
    <w:rsid w:val="00EA7007"/>
    <w:rsid w:val="00EA73A2"/>
    <w:rsid w:val="00EA75DC"/>
    <w:rsid w:val="00EA7828"/>
    <w:rsid w:val="00EA7A72"/>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A0D"/>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B9D"/>
    <w:rsid w:val="00EB68EF"/>
    <w:rsid w:val="00EB6B54"/>
    <w:rsid w:val="00EB6BB7"/>
    <w:rsid w:val="00EB6BF9"/>
    <w:rsid w:val="00EB7333"/>
    <w:rsid w:val="00EB749E"/>
    <w:rsid w:val="00EB74A6"/>
    <w:rsid w:val="00EB76E7"/>
    <w:rsid w:val="00EB7788"/>
    <w:rsid w:val="00EB797E"/>
    <w:rsid w:val="00EB7AE0"/>
    <w:rsid w:val="00EB7EDD"/>
    <w:rsid w:val="00EB7EF5"/>
    <w:rsid w:val="00EB7F52"/>
    <w:rsid w:val="00EB7FF5"/>
    <w:rsid w:val="00EC01B0"/>
    <w:rsid w:val="00EC02E9"/>
    <w:rsid w:val="00EC0667"/>
    <w:rsid w:val="00EC0743"/>
    <w:rsid w:val="00EC094E"/>
    <w:rsid w:val="00EC0A27"/>
    <w:rsid w:val="00EC0B35"/>
    <w:rsid w:val="00EC0EB6"/>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3F3D"/>
    <w:rsid w:val="00EC4B5E"/>
    <w:rsid w:val="00EC4F5E"/>
    <w:rsid w:val="00EC4F76"/>
    <w:rsid w:val="00EC4F80"/>
    <w:rsid w:val="00EC4FF8"/>
    <w:rsid w:val="00EC52EE"/>
    <w:rsid w:val="00EC56A0"/>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9A"/>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DD"/>
    <w:rsid w:val="00EE5D24"/>
    <w:rsid w:val="00EE5F0D"/>
    <w:rsid w:val="00EE623A"/>
    <w:rsid w:val="00EE664D"/>
    <w:rsid w:val="00EE67DD"/>
    <w:rsid w:val="00EE6C68"/>
    <w:rsid w:val="00EE6F30"/>
    <w:rsid w:val="00EE72D1"/>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8E"/>
    <w:rsid w:val="00F00ABB"/>
    <w:rsid w:val="00F00AD5"/>
    <w:rsid w:val="00F00B17"/>
    <w:rsid w:val="00F012B2"/>
    <w:rsid w:val="00F0135A"/>
    <w:rsid w:val="00F01A65"/>
    <w:rsid w:val="00F02197"/>
    <w:rsid w:val="00F0219B"/>
    <w:rsid w:val="00F023D8"/>
    <w:rsid w:val="00F02440"/>
    <w:rsid w:val="00F02465"/>
    <w:rsid w:val="00F02500"/>
    <w:rsid w:val="00F027C0"/>
    <w:rsid w:val="00F02862"/>
    <w:rsid w:val="00F02901"/>
    <w:rsid w:val="00F037F9"/>
    <w:rsid w:val="00F03837"/>
    <w:rsid w:val="00F03934"/>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75C"/>
    <w:rsid w:val="00F059C8"/>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0DA5"/>
    <w:rsid w:val="00F110EE"/>
    <w:rsid w:val="00F11159"/>
    <w:rsid w:val="00F11195"/>
    <w:rsid w:val="00F11230"/>
    <w:rsid w:val="00F11A18"/>
    <w:rsid w:val="00F11C38"/>
    <w:rsid w:val="00F11F62"/>
    <w:rsid w:val="00F126D4"/>
    <w:rsid w:val="00F12941"/>
    <w:rsid w:val="00F12BFC"/>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C64"/>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5F4"/>
    <w:rsid w:val="00F24607"/>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41"/>
    <w:rsid w:val="00F338BB"/>
    <w:rsid w:val="00F33B7B"/>
    <w:rsid w:val="00F33BD4"/>
    <w:rsid w:val="00F34561"/>
    <w:rsid w:val="00F34AA8"/>
    <w:rsid w:val="00F34ADB"/>
    <w:rsid w:val="00F35160"/>
    <w:rsid w:val="00F351CA"/>
    <w:rsid w:val="00F35587"/>
    <w:rsid w:val="00F35A7F"/>
    <w:rsid w:val="00F35FE0"/>
    <w:rsid w:val="00F36149"/>
    <w:rsid w:val="00F3623A"/>
    <w:rsid w:val="00F36674"/>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46B"/>
    <w:rsid w:val="00F41608"/>
    <w:rsid w:val="00F41658"/>
    <w:rsid w:val="00F416BA"/>
    <w:rsid w:val="00F41724"/>
    <w:rsid w:val="00F41895"/>
    <w:rsid w:val="00F418EC"/>
    <w:rsid w:val="00F41971"/>
    <w:rsid w:val="00F419A1"/>
    <w:rsid w:val="00F419BB"/>
    <w:rsid w:val="00F41A96"/>
    <w:rsid w:val="00F41C8E"/>
    <w:rsid w:val="00F42490"/>
    <w:rsid w:val="00F426B7"/>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2F45"/>
    <w:rsid w:val="00F53083"/>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67C"/>
    <w:rsid w:val="00F54A3F"/>
    <w:rsid w:val="00F54B3B"/>
    <w:rsid w:val="00F54DDD"/>
    <w:rsid w:val="00F54E47"/>
    <w:rsid w:val="00F5510A"/>
    <w:rsid w:val="00F551C8"/>
    <w:rsid w:val="00F551F5"/>
    <w:rsid w:val="00F5538A"/>
    <w:rsid w:val="00F55630"/>
    <w:rsid w:val="00F556A9"/>
    <w:rsid w:val="00F556DF"/>
    <w:rsid w:val="00F55773"/>
    <w:rsid w:val="00F55A97"/>
    <w:rsid w:val="00F55D7B"/>
    <w:rsid w:val="00F560EB"/>
    <w:rsid w:val="00F56159"/>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2"/>
    <w:rsid w:val="00F61505"/>
    <w:rsid w:val="00F619A9"/>
    <w:rsid w:val="00F61CC0"/>
    <w:rsid w:val="00F61DDA"/>
    <w:rsid w:val="00F62114"/>
    <w:rsid w:val="00F623A6"/>
    <w:rsid w:val="00F623D5"/>
    <w:rsid w:val="00F624BA"/>
    <w:rsid w:val="00F62577"/>
    <w:rsid w:val="00F62583"/>
    <w:rsid w:val="00F62986"/>
    <w:rsid w:val="00F62A20"/>
    <w:rsid w:val="00F62CC8"/>
    <w:rsid w:val="00F63311"/>
    <w:rsid w:val="00F63851"/>
    <w:rsid w:val="00F63A58"/>
    <w:rsid w:val="00F63E86"/>
    <w:rsid w:val="00F64115"/>
    <w:rsid w:val="00F6434A"/>
    <w:rsid w:val="00F646F5"/>
    <w:rsid w:val="00F64751"/>
    <w:rsid w:val="00F65515"/>
    <w:rsid w:val="00F6564C"/>
    <w:rsid w:val="00F6576D"/>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15F"/>
    <w:rsid w:val="00F762ED"/>
    <w:rsid w:val="00F76562"/>
    <w:rsid w:val="00F765D2"/>
    <w:rsid w:val="00F76BDA"/>
    <w:rsid w:val="00F76D01"/>
    <w:rsid w:val="00F770BE"/>
    <w:rsid w:val="00F773E1"/>
    <w:rsid w:val="00F776DF"/>
    <w:rsid w:val="00F77EAA"/>
    <w:rsid w:val="00F806AC"/>
    <w:rsid w:val="00F807CA"/>
    <w:rsid w:val="00F808E9"/>
    <w:rsid w:val="00F80D68"/>
    <w:rsid w:val="00F80D79"/>
    <w:rsid w:val="00F8102E"/>
    <w:rsid w:val="00F81434"/>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2E1"/>
    <w:rsid w:val="00F84779"/>
    <w:rsid w:val="00F84D8D"/>
    <w:rsid w:val="00F84E62"/>
    <w:rsid w:val="00F84EA8"/>
    <w:rsid w:val="00F84EF1"/>
    <w:rsid w:val="00F8553A"/>
    <w:rsid w:val="00F858E4"/>
    <w:rsid w:val="00F859E6"/>
    <w:rsid w:val="00F85D02"/>
    <w:rsid w:val="00F861B8"/>
    <w:rsid w:val="00F8625C"/>
    <w:rsid w:val="00F864F0"/>
    <w:rsid w:val="00F86B80"/>
    <w:rsid w:val="00F86C3C"/>
    <w:rsid w:val="00F86EDE"/>
    <w:rsid w:val="00F86F57"/>
    <w:rsid w:val="00F875D2"/>
    <w:rsid w:val="00F8769A"/>
    <w:rsid w:val="00F8769C"/>
    <w:rsid w:val="00F876CC"/>
    <w:rsid w:val="00F876E5"/>
    <w:rsid w:val="00F87AA6"/>
    <w:rsid w:val="00F87F8A"/>
    <w:rsid w:val="00F90144"/>
    <w:rsid w:val="00F90229"/>
    <w:rsid w:val="00F90345"/>
    <w:rsid w:val="00F9051C"/>
    <w:rsid w:val="00F90788"/>
    <w:rsid w:val="00F909DD"/>
    <w:rsid w:val="00F90C44"/>
    <w:rsid w:val="00F90C5C"/>
    <w:rsid w:val="00F90D7F"/>
    <w:rsid w:val="00F90DA1"/>
    <w:rsid w:val="00F90E09"/>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4395"/>
    <w:rsid w:val="00F945E0"/>
    <w:rsid w:val="00F94837"/>
    <w:rsid w:val="00F9484E"/>
    <w:rsid w:val="00F94BDC"/>
    <w:rsid w:val="00F950B8"/>
    <w:rsid w:val="00F954AB"/>
    <w:rsid w:val="00F95689"/>
    <w:rsid w:val="00F956F3"/>
    <w:rsid w:val="00F95A4D"/>
    <w:rsid w:val="00F95C96"/>
    <w:rsid w:val="00F95D78"/>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1E72"/>
    <w:rsid w:val="00FA2708"/>
    <w:rsid w:val="00FA2727"/>
    <w:rsid w:val="00FA2771"/>
    <w:rsid w:val="00FA28AA"/>
    <w:rsid w:val="00FA2A3D"/>
    <w:rsid w:val="00FA2B96"/>
    <w:rsid w:val="00FA2E23"/>
    <w:rsid w:val="00FA31E3"/>
    <w:rsid w:val="00FA35E8"/>
    <w:rsid w:val="00FA3A0A"/>
    <w:rsid w:val="00FA4329"/>
    <w:rsid w:val="00FA46C2"/>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44"/>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87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934"/>
    <w:rsid w:val="00FB7B97"/>
    <w:rsid w:val="00FB7EF3"/>
    <w:rsid w:val="00FB7F6F"/>
    <w:rsid w:val="00FC0004"/>
    <w:rsid w:val="00FC0013"/>
    <w:rsid w:val="00FC00FE"/>
    <w:rsid w:val="00FC0193"/>
    <w:rsid w:val="00FC0805"/>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08"/>
    <w:rsid w:val="00FC3E5D"/>
    <w:rsid w:val="00FC4058"/>
    <w:rsid w:val="00FC4071"/>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F6"/>
    <w:rsid w:val="00FC656F"/>
    <w:rsid w:val="00FC672F"/>
    <w:rsid w:val="00FC6C6D"/>
    <w:rsid w:val="00FC6C8E"/>
    <w:rsid w:val="00FC6CCF"/>
    <w:rsid w:val="00FC720C"/>
    <w:rsid w:val="00FC73EB"/>
    <w:rsid w:val="00FD0BB7"/>
    <w:rsid w:val="00FD0CD2"/>
    <w:rsid w:val="00FD0E43"/>
    <w:rsid w:val="00FD0F39"/>
    <w:rsid w:val="00FD1555"/>
    <w:rsid w:val="00FD15B5"/>
    <w:rsid w:val="00FD1856"/>
    <w:rsid w:val="00FD1BD1"/>
    <w:rsid w:val="00FD1EA3"/>
    <w:rsid w:val="00FD1FBF"/>
    <w:rsid w:val="00FD2054"/>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2C"/>
    <w:rsid w:val="00FD6381"/>
    <w:rsid w:val="00FD6503"/>
    <w:rsid w:val="00FD6584"/>
    <w:rsid w:val="00FD65A8"/>
    <w:rsid w:val="00FD6833"/>
    <w:rsid w:val="00FD6CE6"/>
    <w:rsid w:val="00FD6EEB"/>
    <w:rsid w:val="00FD6F5F"/>
    <w:rsid w:val="00FD6F78"/>
    <w:rsid w:val="00FD71B9"/>
    <w:rsid w:val="00FD7445"/>
    <w:rsid w:val="00FD7AF4"/>
    <w:rsid w:val="00FD7B19"/>
    <w:rsid w:val="00FD7FD1"/>
    <w:rsid w:val="00FE00A5"/>
    <w:rsid w:val="00FE00B6"/>
    <w:rsid w:val="00FE00BC"/>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807"/>
    <w:rsid w:val="00FF184D"/>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55"/>
    <w:rsid w:val="00FF4044"/>
    <w:rsid w:val="00FF43F0"/>
    <w:rsid w:val="00FF4B3F"/>
    <w:rsid w:val="00FF4D84"/>
    <w:rsid w:val="00FF524E"/>
    <w:rsid w:val="00FF52B6"/>
    <w:rsid w:val="00FF562A"/>
    <w:rsid w:val="00FF57D9"/>
    <w:rsid w:val="00FF585E"/>
    <w:rsid w:val="00FF5975"/>
    <w:rsid w:val="00FF5B6B"/>
    <w:rsid w:val="00FF5C2A"/>
    <w:rsid w:val="00FF5EEB"/>
    <w:rsid w:val="00FF6037"/>
    <w:rsid w:val="00FF6664"/>
    <w:rsid w:val="00FF6832"/>
    <w:rsid w:val="00FF6A9D"/>
    <w:rsid w:val="00FF6BB9"/>
    <w:rsid w:val="00FF6F78"/>
    <w:rsid w:val="00FF6FBA"/>
    <w:rsid w:val="00FF7211"/>
    <w:rsid w:val="00FF7E98"/>
    <w:rsid w:val="0BED5BBE"/>
    <w:rsid w:val="1FBE7808"/>
    <w:rsid w:val="1FE83759"/>
    <w:rsid w:val="30FC7F84"/>
    <w:rsid w:val="355DC440"/>
    <w:rsid w:val="36804041"/>
    <w:rsid w:val="46C1467F"/>
    <w:rsid w:val="47E6F84B"/>
    <w:rsid w:val="50493EEC"/>
    <w:rsid w:val="6E9A1C05"/>
    <w:rsid w:val="70F3C0D0"/>
    <w:rsid w:val="75A3BCF0"/>
    <w:rsid w:val="7E32F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71397"/>
  <w15:docId w15:val="{0D129BBA-F636-4578-9750-C674A3CE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lang w:val="en-GB" w:eastAsia="en-GB"/>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o"/>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val="en-US"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en-US"/>
    </w:rPr>
  </w:style>
  <w:style w:type="paragraph" w:customStyle="1" w:styleId="Initial">
    <w:name w:val="Initial"/>
    <w:link w:val="InitialChar"/>
    <w:pPr>
      <w:tabs>
        <w:tab w:val="left" w:pos="-720"/>
      </w:tabs>
      <w:suppressAutoHyphens/>
      <w:jc w:val="both"/>
    </w:pPr>
    <w:rPr>
      <w:spacing w:val="-3"/>
      <w:sz w:val="24"/>
      <w:lang w:val="en-US"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val="fr-BE"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uiPriority w:val="99"/>
    <w:qFormat/>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Dput">
    <w:name w:val="Député"/>
    <w:basedOn w:val="Titreobjet"/>
    <w:pPr>
      <w:spacing w:after="240"/>
    </w:pPr>
    <w:rPr>
      <w:lang w:val="fr-FR"/>
    </w:rPr>
  </w:style>
  <w:style w:type="paragraph" w:customStyle="1" w:styleId="Commissionparlementaire">
    <w:name w:val="Commission parlementaire"/>
    <w:basedOn w:val="Titreobjet"/>
    <w:next w:val="Normal"/>
    <w:pPr>
      <w:spacing w:after="480"/>
    </w:pPr>
    <w:rPr>
      <w:lang w:val="fr-FR"/>
    </w:r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val="fr-BE"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val="fr-BE"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semiHidden/>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val="en-US"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en-GB"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en-GB"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en-US"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en-GB"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val="en-US"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val="en-US" w:eastAsia="en-US"/>
    </w:rPr>
  </w:style>
  <w:style w:type="paragraph" w:customStyle="1" w:styleId="normal12hanging0">
    <w:name w:val="normal12hanging"/>
    <w:basedOn w:val="Normal"/>
    <w:rsid w:val="00E709A0"/>
    <w:pPr>
      <w:ind w:left="357" w:hanging="357"/>
      <w:jc w:val="left"/>
    </w:pPr>
    <w:rPr>
      <w:rFonts w:ascii="Times New Roman" w:hAnsi="Times New Roman"/>
      <w:szCs w:val="24"/>
      <w:lang w:val="en-US" w:eastAsia="en-US"/>
    </w:rPr>
  </w:style>
  <w:style w:type="paragraph" w:customStyle="1" w:styleId="CharCharChar">
    <w:name w:val="Char Char Char"/>
    <w:basedOn w:val="Normal"/>
    <w:next w:val="Normal"/>
    <w:rsid w:val="00E709A0"/>
    <w:pPr>
      <w:spacing w:after="160" w:line="240" w:lineRule="exact"/>
      <w:jc w:val="left"/>
    </w:pPr>
    <w:rPr>
      <w:rFonts w:ascii="Tahoma" w:hAnsi="Tahoma"/>
      <w:lang w:val="en-US" w:eastAsia="en-US"/>
    </w:rPr>
  </w:style>
  <w:style w:type="paragraph" w:customStyle="1" w:styleId="CharCharChar1">
    <w:name w:val="Char Char Char1"/>
    <w:basedOn w:val="Normal"/>
    <w:uiPriority w:val="99"/>
    <w:rsid w:val="0092510C"/>
    <w:pPr>
      <w:spacing w:after="160" w:line="240" w:lineRule="exact"/>
      <w:jc w:val="left"/>
    </w:pPr>
    <w:rPr>
      <w:rFonts w:ascii="Tahoma" w:hAnsi="Tahoma"/>
      <w:sz w:val="20"/>
      <w:lang w:val="en-US" w:eastAsia="en-US"/>
    </w:rPr>
  </w:style>
  <w:style w:type="character" w:customStyle="1" w:styleId="Normal12Char0">
    <w:name w:val="Normal12 Char"/>
    <w:link w:val="Normal120"/>
    <w:rsid w:val="008D0782"/>
    <w:rPr>
      <w:sz w:val="24"/>
      <w:szCs w:val="24"/>
      <w:lang w:val="en-GB"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val="en-US" w:eastAsia="en-US"/>
    </w:rPr>
  </w:style>
  <w:style w:type="paragraph" w:customStyle="1" w:styleId="Char11">
    <w:name w:val="Char11"/>
    <w:basedOn w:val="Normal"/>
    <w:rsid w:val="00F47B73"/>
    <w:pPr>
      <w:spacing w:after="160" w:line="240" w:lineRule="exact"/>
      <w:jc w:val="left"/>
    </w:pPr>
    <w:rPr>
      <w:rFonts w:ascii="Tahoma" w:hAnsi="Tahoma"/>
      <w:sz w:val="20"/>
      <w:lang w:val="en-US" w:eastAsia="en-US"/>
    </w:rPr>
  </w:style>
  <w:style w:type="paragraph" w:customStyle="1" w:styleId="Char">
    <w:name w:val="Char"/>
    <w:basedOn w:val="Normal"/>
    <w:rsid w:val="00124A7A"/>
    <w:pPr>
      <w:spacing w:after="160" w:line="240" w:lineRule="exact"/>
      <w:jc w:val="left"/>
    </w:pPr>
    <w:rPr>
      <w:rFonts w:ascii="Tahoma" w:hAnsi="Tahoma"/>
      <w:sz w:val="20"/>
      <w:lang w:val="en-US"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lang w:val="fr-FR"/>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val="en-US"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qFormat/>
    <w:rsid w:val="00103DE9"/>
    <w:rPr>
      <w:rFonts w:ascii="Courier New" w:hAnsi="Courier New"/>
      <w:lang w:val="en-GB"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val="en-US" w:eastAsia="en-US"/>
    </w:rPr>
  </w:style>
  <w:style w:type="character" w:customStyle="1" w:styleId="Text1Char">
    <w:name w:val="Text 1 Char"/>
    <w:link w:val="Text1"/>
    <w:rsid w:val="001B76B5"/>
    <w:rPr>
      <w:rFonts w:ascii="Courier New" w:hAnsi="Courier New"/>
      <w:sz w:val="24"/>
      <w:lang w:val="en-GB"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en-GB"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val="en-US" w:eastAsia="en-US"/>
    </w:rPr>
  </w:style>
  <w:style w:type="character" w:customStyle="1" w:styleId="Marker">
    <w:name w:val="Marker"/>
    <w:rsid w:val="00FE35A4"/>
    <w:rPr>
      <w:color w:val="0000FF"/>
      <w:lang w:val="en-GB"/>
    </w:rPr>
  </w:style>
  <w:style w:type="paragraph" w:customStyle="1" w:styleId="CarChar">
    <w:name w:val="Car Char"/>
    <w:basedOn w:val="Normal"/>
    <w:rsid w:val="00573DC5"/>
    <w:pPr>
      <w:spacing w:after="160" w:line="240" w:lineRule="exact"/>
      <w:jc w:val="left"/>
    </w:pPr>
    <w:rPr>
      <w:rFonts w:ascii="Tahoma" w:hAnsi="Tahoma"/>
      <w:sz w:val="20"/>
      <w:lang w:val="en-US" w:eastAsia="en-US"/>
    </w:rPr>
  </w:style>
  <w:style w:type="paragraph" w:customStyle="1" w:styleId="Car">
    <w:name w:val="Car"/>
    <w:basedOn w:val="Normal"/>
    <w:rsid w:val="00F02465"/>
    <w:pPr>
      <w:spacing w:after="160" w:line="240" w:lineRule="exact"/>
      <w:jc w:val="left"/>
    </w:pPr>
    <w:rPr>
      <w:rFonts w:ascii="Arial" w:hAnsi="Arial" w:cs="Arial"/>
      <w:sz w:val="28"/>
      <w:szCs w:val="28"/>
      <w:lang w:val="en-US"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en-GB"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uiPriority w:val="99"/>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val="fr-FR"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en-GB"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val="en-US"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val="en-US" w:eastAsia="en-US"/>
    </w:rPr>
  </w:style>
  <w:style w:type="paragraph" w:customStyle="1" w:styleId="Znak">
    <w:name w:val="Znak"/>
    <w:basedOn w:val="Normal"/>
    <w:rsid w:val="00A76EE9"/>
    <w:pPr>
      <w:spacing w:after="160" w:line="240" w:lineRule="exact"/>
      <w:jc w:val="left"/>
    </w:pPr>
    <w:rPr>
      <w:rFonts w:ascii="Tahoma" w:hAnsi="Tahoma"/>
      <w:sz w:val="20"/>
      <w:lang w:val="en-US"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en-GB"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en-GB"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val="en-US" w:eastAsia="en-US"/>
    </w:rPr>
  </w:style>
  <w:style w:type="character" w:customStyle="1" w:styleId="ListBulletChar">
    <w:name w:val="List Bullet Char"/>
    <w:rsid w:val="00B36749"/>
    <w:rPr>
      <w:sz w:val="24"/>
      <w:lang w:val="en-GB" w:eastAsia="en-US" w:bidi="ar-SA"/>
    </w:rPr>
  </w:style>
  <w:style w:type="character" w:customStyle="1" w:styleId="Normal12HangingZnak">
    <w:name w:val="Normal12Hanging Znak"/>
    <w:rsid w:val="006474F2"/>
    <w:rPr>
      <w:sz w:val="24"/>
      <w:lang w:val="en-GB" w:eastAsia="en-GB" w:bidi="ar-SA"/>
    </w:rPr>
  </w:style>
  <w:style w:type="character" w:customStyle="1" w:styleId="Text2Char1">
    <w:name w:val="Text 2 Char1"/>
    <w:link w:val="Text2"/>
    <w:rsid w:val="006474F2"/>
    <w:rPr>
      <w:rFonts w:ascii="Courier New" w:hAnsi="Courier New"/>
      <w:sz w:val="24"/>
      <w:lang w:val="en-GB"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lang w:val="fr-FR"/>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en-GB"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val="en-US"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en-GB"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val="en-US"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en-GB"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val="de-DE"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en-GB"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en-GB"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en-GB"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val="fr-FR"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Char1 Char"/>
    <w:uiPriority w:val="99"/>
    <w:locked/>
    <w:rsid w:val="00EA0D59"/>
    <w:rPr>
      <w:lang w:val="es-ES_tradnl" w:eastAsia="en-GB" w:bidi="ar-SA"/>
    </w:rPr>
  </w:style>
  <w:style w:type="character" w:customStyle="1" w:styleId="InitialChar">
    <w:name w:val="Initial Char"/>
    <w:link w:val="Initial"/>
    <w:rsid w:val="00FD22F7"/>
    <w:rPr>
      <w:spacing w:val="-3"/>
      <w:sz w:val="24"/>
      <w:lang w:val="en-US"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val="en-GB"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en-GB" w:eastAsia="en-GB" w:bidi="ar-SA"/>
    </w:rPr>
  </w:style>
  <w:style w:type="paragraph" w:customStyle="1" w:styleId="ZnakZnak">
    <w:name w:val="Znak Znak"/>
    <w:basedOn w:val="Normal"/>
    <w:link w:val="NoList"/>
    <w:rsid w:val="00E61FC7"/>
    <w:pPr>
      <w:spacing w:after="0" w:line="360" w:lineRule="auto"/>
    </w:pPr>
    <w:rPr>
      <w:rFonts w:ascii="Verdana" w:hAnsi="Verdana"/>
      <w:sz w:val="20"/>
      <w:lang w:val="pl-PL"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en-GB"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en-GB"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1">
    <w:name w:val="Znak Znak1"/>
    <w:basedOn w:val="Normal"/>
    <w:rsid w:val="002D2D7A"/>
    <w:pPr>
      <w:spacing w:after="0" w:line="360" w:lineRule="auto"/>
    </w:pPr>
    <w:rPr>
      <w:rFonts w:ascii="Verdana" w:hAnsi="Verdana"/>
      <w:sz w:val="20"/>
      <w:lang w:val="pl-PL"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val="en-US" w:eastAsia="en-US"/>
    </w:rPr>
  </w:style>
  <w:style w:type="paragraph" w:customStyle="1" w:styleId="MediumGrid21">
    <w:name w:val="Medium Grid 21"/>
    <w:link w:val="MediumGrid2Char"/>
    <w:uiPriority w:val="1"/>
    <w:qFormat/>
    <w:rsid w:val="007C5D8A"/>
    <w:rPr>
      <w:rFonts w:ascii="Arial" w:hAnsi="Arial"/>
      <w:sz w:val="22"/>
      <w:szCs w:val="22"/>
      <w:lang w:val="en-GB"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val="en-GB" w:eastAsia="en-GB"/>
    </w:rPr>
  </w:style>
  <w:style w:type="paragraph" w:customStyle="1" w:styleId="CM3">
    <w:name w:val="CM3"/>
    <w:basedOn w:val="Default"/>
    <w:next w:val="Default"/>
    <w:uiPriority w:val="99"/>
    <w:rsid w:val="007C5D8A"/>
    <w:rPr>
      <w:rFonts w:ascii="EUAlbertina" w:hAnsi="EUAlbertina"/>
      <w:color w:val="auto"/>
      <w:lang w:val="en-GB" w:eastAsia="en-GB"/>
    </w:rPr>
  </w:style>
  <w:style w:type="paragraph" w:customStyle="1" w:styleId="CM4">
    <w:name w:val="CM4"/>
    <w:basedOn w:val="Default"/>
    <w:next w:val="Default"/>
    <w:uiPriority w:val="99"/>
    <w:rsid w:val="007C5D8A"/>
    <w:rPr>
      <w:rFonts w:ascii="EUAlbertina" w:hAnsi="EUAlbertina"/>
      <w:color w:val="auto"/>
      <w:lang w:val="en-GB"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lang w:val="en-GB" w:eastAsia="en-GB"/>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en-US"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BA139E"/>
  </w:style>
  <w:style w:type="character" w:customStyle="1" w:styleId="playersrapportertext">
    <w:name w:val="players_rapporter_text"/>
    <w:rsid w:val="003F006A"/>
  </w:style>
  <w:style w:type="paragraph" w:customStyle="1" w:styleId="CharCharChar0">
    <w:name w:val="Char Char Char0"/>
    <w:basedOn w:val="Normal"/>
    <w:uiPriority w:val="99"/>
    <w:rsid w:val="003340F5"/>
    <w:pPr>
      <w:spacing w:after="160" w:line="240" w:lineRule="exact"/>
      <w:jc w:val="left"/>
    </w:pPr>
    <w:rPr>
      <w:rFonts w:ascii="Tahoma" w:hAnsi="Tahoma"/>
      <w:sz w:val="20"/>
      <w:lang w:val="en-US" w:eastAsia="en-US"/>
    </w:rPr>
  </w:style>
  <w:style w:type="paragraph" w:customStyle="1" w:styleId="ZnakZnak0">
    <w:name w:val="Znak Znak0"/>
    <w:basedOn w:val="Normal"/>
    <w:rsid w:val="003340F5"/>
    <w:pPr>
      <w:spacing w:after="0" w:line="360" w:lineRule="auto"/>
    </w:pPr>
    <w:rPr>
      <w:rFonts w:ascii="Verdana" w:hAnsi="Verdana"/>
      <w:sz w:val="20"/>
      <w:lang w:val="pl-PL" w:eastAsia="pl-PL"/>
    </w:rPr>
  </w:style>
  <w:style w:type="character" w:customStyle="1" w:styleId="normaltextrun">
    <w:name w:val="normaltextrun"/>
    <w:basedOn w:val="DefaultParagraphFont"/>
    <w:rsid w:val="00103B78"/>
  </w:style>
  <w:style w:type="character" w:customStyle="1" w:styleId="superscript">
    <w:name w:val="superscript"/>
    <w:basedOn w:val="DefaultParagraphFont"/>
    <w:rsid w:val="00103B78"/>
  </w:style>
  <w:style w:type="character" w:styleId="UnresolvedMention">
    <w:name w:val="Unresolved Mention"/>
    <w:basedOn w:val="DefaultParagraphFont"/>
    <w:uiPriority w:val="99"/>
    <w:semiHidden/>
    <w:unhideWhenUsed/>
    <w:rsid w:val="00266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215184">
      <w:bodyDiv w:val="1"/>
      <w:marLeft w:val="0"/>
      <w:marRight w:val="0"/>
      <w:marTop w:val="0"/>
      <w:marBottom w:val="0"/>
      <w:divBdr>
        <w:top w:val="none" w:sz="0" w:space="0" w:color="auto"/>
        <w:left w:val="none" w:sz="0" w:space="0" w:color="auto"/>
        <w:bottom w:val="none" w:sz="0" w:space="0" w:color="auto"/>
        <w:right w:val="none" w:sz="0" w:space="0" w:color="auto"/>
      </w:divBdr>
      <w:divsChild>
        <w:div w:id="1258712058">
          <w:marLeft w:val="0"/>
          <w:marRight w:val="0"/>
          <w:marTop w:val="0"/>
          <w:marBottom w:val="0"/>
          <w:divBdr>
            <w:top w:val="none" w:sz="0" w:space="0" w:color="auto"/>
            <w:left w:val="none" w:sz="0" w:space="0" w:color="auto"/>
            <w:bottom w:val="none" w:sz="0" w:space="0" w:color="auto"/>
            <w:right w:val="none" w:sz="0" w:space="0" w:color="auto"/>
          </w:divBdr>
          <w:divsChild>
            <w:div w:id="775558661">
              <w:marLeft w:val="0"/>
              <w:marRight w:val="0"/>
              <w:marTop w:val="0"/>
              <w:marBottom w:val="0"/>
              <w:divBdr>
                <w:top w:val="none" w:sz="0" w:space="0" w:color="auto"/>
                <w:left w:val="none" w:sz="0" w:space="0" w:color="auto"/>
                <w:bottom w:val="none" w:sz="0" w:space="0" w:color="auto"/>
                <w:right w:val="none" w:sz="0" w:space="0" w:color="auto"/>
              </w:divBdr>
              <w:divsChild>
                <w:div w:id="21376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4856">
          <w:marLeft w:val="0"/>
          <w:marRight w:val="0"/>
          <w:marTop w:val="0"/>
          <w:marBottom w:val="0"/>
          <w:divBdr>
            <w:top w:val="none" w:sz="0" w:space="0" w:color="auto"/>
            <w:left w:val="none" w:sz="0" w:space="0" w:color="auto"/>
            <w:bottom w:val="none" w:sz="0" w:space="0" w:color="auto"/>
            <w:right w:val="none" w:sz="0" w:space="0" w:color="auto"/>
          </w:divBdr>
          <w:divsChild>
            <w:div w:id="350451176">
              <w:marLeft w:val="0"/>
              <w:marRight w:val="0"/>
              <w:marTop w:val="0"/>
              <w:marBottom w:val="0"/>
              <w:divBdr>
                <w:top w:val="none" w:sz="0" w:space="0" w:color="auto"/>
                <w:left w:val="none" w:sz="0" w:space="0" w:color="auto"/>
                <w:bottom w:val="none" w:sz="0" w:space="0" w:color="auto"/>
                <w:right w:val="none" w:sz="0" w:space="0" w:color="auto"/>
              </w:divBdr>
              <w:divsChild>
                <w:div w:id="523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publications/documents-defence-democracy_en" TargetMode="External"/><Relationship Id="rId7" Type="http://schemas.openxmlformats.org/officeDocument/2006/relationships/hyperlink" Target="https://eur-lex.europa.eu/legal-content/EN/TXT/?toc=OJ%3AL%3A2022%3A277%3ATOC&amp;uri=%20uriserv%3AOJ.L_.2022.277.01.0001.01.ENG" TargetMode="External"/><Relationship Id="rId2" Type="http://schemas.openxmlformats.org/officeDocument/2006/relationships/hyperlink" Target="https://elections.europa.eu/en/" TargetMode="External"/><Relationship Id="rId1" Type="http://schemas.openxmlformats.org/officeDocument/2006/relationships/hyperlink" Target="https://commission.europa.eu/document/download/c0441a72-c5c0-40d0-900f-c8af7d9b1a04_en?%20filename=Guide%20to%20EU_citizenship_EN_0.pdf" TargetMode="External"/><Relationship Id="rId6" Type="http://schemas.openxmlformats.org/officeDocument/2006/relationships/hyperlink" Target="https://commission.europa.eu/publications/guide-good-electoral-practices-member-states-addressing-participation-citizens-disabilities_en" TargetMode="External"/><Relationship Id="rId5" Type="http://schemas.openxmlformats.org/officeDocument/2006/relationships/hyperlink" Target="https://commission.europa.eu/publications/reinforcing-democracy-and-integrity-elections-all-documents_en" TargetMode="External"/><Relationship Id="rId4" Type="http://schemas.openxmlformats.org/officeDocument/2006/relationships/hyperlink" Target="https://eur-lex.europa.eu/legal-content/EN/TXT/?uri=CELEX%3A32023H28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BF3F3-08FC-4B50-9684-3EE93939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TEL</Template>
  <TotalTime>2</TotalTime>
  <Pages>6</Pages>
  <Words>2988</Words>
  <Characters>17337</Characters>
  <Application>Microsoft Office Word</Application>
  <DocSecurity>0</DocSecurity>
  <PresentationFormat>Microsoft Word 8.0b</PresentationFormat>
  <Lines>251</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dc:description/>
  <cp:lastModifiedBy>ALMEIDA Maria Jose (SG)</cp:lastModifiedBy>
  <cp:revision>4</cp:revision>
  <cp:lastPrinted>2017-11-24T02:32:00Z</cp:lastPrinted>
  <dcterms:created xsi:type="dcterms:W3CDTF">2024-03-07T06:42:00Z</dcterms:created>
  <dcterms:modified xsi:type="dcterms:W3CDTF">2024-03-15T09:54:00Z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2024-01-15T15:35:21Z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0a115a68-c859-4b1e-a225-6b1843bf4c83</vt:lpwstr>
  </property>
  <property fmtid="{D5CDD505-2E9C-101B-9397-08002B2CF9AE}" pid="19" name="MSIP_Label_6bd9ddd1-4d20-43f6-abfa-fc3c07406f94_ContentBits">
    <vt:lpwstr>0</vt:lpwstr>
  </property>
</Properties>
</file>