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6410" w14:textId="77777777" w:rsidR="001845DE" w:rsidRPr="00AD0DE7" w:rsidRDefault="001845DE" w:rsidP="001845DE">
      <w:pPr>
        <w:spacing w:after="600"/>
        <w:jc w:val="center"/>
        <w:rPr>
          <w:rFonts w:ascii="Times New Roman" w:hAnsi="Times New Roman"/>
          <w:b/>
          <w:iCs/>
          <w:szCs w:val="24"/>
        </w:rPr>
      </w:pPr>
      <w:bookmarkStart w:id="0" w:name="Elections"/>
      <w:r>
        <w:rPr>
          <w:rFonts w:ascii="Times New Roman" w:hAnsi="Times New Roman"/>
          <w:b/>
        </w:rPr>
        <w:t>Suite donnée à la résolution non législative du Parlement européen sur les élections européennes de 2024</w:t>
      </w:r>
    </w:p>
    <w:bookmarkEnd w:id="0"/>
    <w:p w14:paraId="1812918E" w14:textId="77777777" w:rsidR="001845DE" w:rsidRPr="00AD0DE7" w:rsidRDefault="001845DE" w:rsidP="001845DE">
      <w:pPr>
        <w:numPr>
          <w:ilvl w:val="0"/>
          <w:numId w:val="33"/>
        </w:numPr>
        <w:ind w:left="567" w:hanging="567"/>
        <w:rPr>
          <w:rFonts w:ascii="Times New Roman" w:hAnsi="Times New Roman"/>
          <w:b/>
          <w:iCs/>
          <w:szCs w:val="24"/>
        </w:rPr>
      </w:pPr>
      <w:r>
        <w:rPr>
          <w:rFonts w:ascii="Times New Roman" w:hAnsi="Times New Roman"/>
          <w:b/>
        </w:rPr>
        <w:t xml:space="preserve">Rapporteurs: </w:t>
      </w:r>
      <w:r>
        <w:rPr>
          <w:rFonts w:ascii="Times New Roman" w:hAnsi="Times New Roman"/>
        </w:rPr>
        <w:t>Sven SIMON (PPE / DE), Domènec RUIZ DEVESA (S&amp;D / ES)</w:t>
      </w:r>
    </w:p>
    <w:p w14:paraId="1B66C2F7" w14:textId="77777777" w:rsidR="001845DE" w:rsidRPr="00AD0DE7" w:rsidRDefault="001845DE" w:rsidP="001845DE">
      <w:pPr>
        <w:numPr>
          <w:ilvl w:val="0"/>
          <w:numId w:val="33"/>
        </w:numPr>
        <w:ind w:left="567" w:hanging="567"/>
        <w:rPr>
          <w:rFonts w:ascii="Times New Roman" w:hAnsi="Times New Roman"/>
          <w:iCs/>
          <w:szCs w:val="24"/>
        </w:rPr>
      </w:pPr>
      <w:r>
        <w:rPr>
          <w:rFonts w:ascii="Times New Roman" w:hAnsi="Times New Roman"/>
          <w:b/>
        </w:rPr>
        <w:t xml:space="preserve">Numéro de référence: </w:t>
      </w:r>
      <w:r>
        <w:rPr>
          <w:rFonts w:ascii="Times New Roman" w:hAnsi="Times New Roman"/>
        </w:rPr>
        <w:t>2023/2016 (INI) / A9-0332/2023 / P9_TA(2023)0455</w:t>
      </w:r>
    </w:p>
    <w:p w14:paraId="5052310E" w14:textId="77777777" w:rsidR="001845DE" w:rsidRPr="00AD0DE7" w:rsidRDefault="001845DE" w:rsidP="001845DE">
      <w:pPr>
        <w:numPr>
          <w:ilvl w:val="0"/>
          <w:numId w:val="33"/>
        </w:numPr>
        <w:ind w:left="567" w:hanging="567"/>
        <w:rPr>
          <w:rFonts w:ascii="Times New Roman" w:hAnsi="Times New Roman"/>
          <w:iCs/>
          <w:szCs w:val="24"/>
        </w:rPr>
      </w:pPr>
      <w:r>
        <w:rPr>
          <w:rFonts w:ascii="Times New Roman" w:hAnsi="Times New Roman"/>
          <w:b/>
        </w:rPr>
        <w:t xml:space="preserve">Date d’adoption de la résolution: </w:t>
      </w:r>
      <w:r>
        <w:rPr>
          <w:rFonts w:ascii="Times New Roman" w:hAnsi="Times New Roman"/>
        </w:rPr>
        <w:t>12 décembre 2023</w:t>
      </w:r>
    </w:p>
    <w:p w14:paraId="7C30D02E" w14:textId="77777777" w:rsidR="001845DE" w:rsidRPr="00AD0DE7" w:rsidRDefault="001845DE" w:rsidP="001845DE">
      <w:pPr>
        <w:numPr>
          <w:ilvl w:val="0"/>
          <w:numId w:val="33"/>
        </w:numPr>
        <w:ind w:left="567" w:hanging="567"/>
        <w:rPr>
          <w:rFonts w:ascii="Times New Roman" w:hAnsi="Times New Roman"/>
          <w:iCs/>
          <w:szCs w:val="24"/>
        </w:rPr>
      </w:pPr>
      <w:r>
        <w:rPr>
          <w:rFonts w:ascii="Times New Roman" w:hAnsi="Times New Roman"/>
          <w:b/>
        </w:rPr>
        <w:t>Commission parlementaire compétente:</w:t>
      </w:r>
      <w:r>
        <w:rPr>
          <w:rFonts w:ascii="Times New Roman" w:hAnsi="Times New Roman"/>
        </w:rPr>
        <w:t xml:space="preserve"> </w:t>
      </w:r>
      <w:r>
        <w:rPr>
          <w:rFonts w:ascii="Times New Roman" w:hAnsi="Times New Roman"/>
          <w:color w:val="1E1E1F"/>
          <w:shd w:val="clear" w:color="auto" w:fill="FFFFFF"/>
        </w:rPr>
        <w:t>commission des affaires constitutionnelles (AFCO)</w:t>
      </w:r>
    </w:p>
    <w:p w14:paraId="77AF7CB4" w14:textId="77777777" w:rsidR="001845DE" w:rsidRPr="00AD0DE7" w:rsidRDefault="001845DE" w:rsidP="001845DE">
      <w:pPr>
        <w:widowControl w:val="0"/>
        <w:numPr>
          <w:ilvl w:val="0"/>
          <w:numId w:val="33"/>
        </w:numPr>
        <w:ind w:left="567" w:hanging="567"/>
        <w:rPr>
          <w:rFonts w:ascii="Times New Roman" w:hAnsi="Times New Roman"/>
          <w:iCs/>
          <w:szCs w:val="24"/>
        </w:rPr>
      </w:pPr>
      <w:r>
        <w:rPr>
          <w:rFonts w:ascii="Times New Roman" w:hAnsi="Times New Roman"/>
          <w:b/>
        </w:rPr>
        <w:t>Analyse/évaluation succincte de la résolution et des demandes qu’elle contient:</w:t>
      </w:r>
    </w:p>
    <w:p w14:paraId="224FF94F" w14:textId="77777777" w:rsidR="001845DE" w:rsidRPr="00AD0DE7" w:rsidRDefault="001845DE" w:rsidP="001845DE">
      <w:pPr>
        <w:widowControl w:val="0"/>
        <w:spacing w:after="120"/>
        <w:rPr>
          <w:rFonts w:ascii="Times New Roman" w:hAnsi="Times New Roman"/>
          <w:iCs/>
          <w:szCs w:val="24"/>
        </w:rPr>
      </w:pPr>
      <w:r>
        <w:rPr>
          <w:rFonts w:ascii="Times New Roman" w:hAnsi="Times New Roman"/>
        </w:rPr>
        <w:t>La résolution s’articule autour de trois grands blocs thématiques: 1) le renforcement de la démocratie européenne lors des élections de 2024, 2) la participation des citoyens et le droit de vote et 3) la résilience institutionnelle. Il appelle à la mise en place d’un mécanisme d’élection du président de la Commission qui reflète clairement le choix des électeurs, ainsi que de moyens d’accroître la participation électorale et de renforcer les aspects démocratiques des prochaines élections. La résolution demande également un accord contraignant entre le Parlement et le Conseil européen sur le système des candidats têtes de liste en vue de l’élection du président de la Commission. Les candidats têtes de liste, conjointement avec les présidents des partis politiques européens et de leurs groupes parlementaires respectifs, devraient entamer des négociations immédiatement après les élections afin de présenter un candidat commun, avant que le Conseil européen ne puisse présenter une proposition.</w:t>
      </w:r>
    </w:p>
    <w:p w14:paraId="711BFF2C" w14:textId="77777777" w:rsidR="001845DE" w:rsidRPr="00AD0DE7" w:rsidRDefault="001845DE" w:rsidP="001845DE">
      <w:pPr>
        <w:widowControl w:val="0"/>
        <w:spacing w:after="120"/>
        <w:rPr>
          <w:rFonts w:ascii="Times New Roman" w:hAnsi="Times New Roman"/>
          <w:iCs/>
          <w:szCs w:val="24"/>
        </w:rPr>
      </w:pPr>
      <w:r>
        <w:rPr>
          <w:rFonts w:ascii="Times New Roman" w:hAnsi="Times New Roman"/>
        </w:rPr>
        <w:t>Parmi les autres propositions figurent des mesures visant à accroître le taux de participation et à mobiliser en particulier les personnes vivant dans un État membre qui n’est pas le leur, des mesures visant à intensifier les efforts de lutte contre la désinformation et un appel en faveur de progrès en ce qui concerne la législation en suspens dans le domaine électoral, comme la proposition de nouvelle loi électorale européenne et les règles applicables aux partis politiques européens et aux fondations politiques européennes.</w:t>
      </w:r>
    </w:p>
    <w:p w14:paraId="5A193305" w14:textId="77777777" w:rsidR="001845DE" w:rsidRPr="00AD0DE7" w:rsidRDefault="001845DE" w:rsidP="001845DE">
      <w:pPr>
        <w:widowControl w:val="0"/>
        <w:numPr>
          <w:ilvl w:val="0"/>
          <w:numId w:val="33"/>
        </w:numPr>
        <w:ind w:left="567" w:hanging="567"/>
        <w:rPr>
          <w:rFonts w:ascii="Times New Roman" w:hAnsi="Times New Roman"/>
          <w:b/>
          <w:iCs/>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13C7205C"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 xml:space="preserve">La Commission partage l’avis selon lequel il </w:t>
      </w:r>
      <w:r>
        <w:rPr>
          <w:rFonts w:ascii="Times New Roman" w:hAnsi="Times New Roman"/>
          <w:b/>
          <w:shd w:val="clear" w:color="auto" w:fill="FFFFFF"/>
        </w:rPr>
        <w:t>importe d’accroître le taux de participation aux élections au Parlement européen de 2024 (paragraphe 1)</w:t>
      </w:r>
      <w:r>
        <w:rPr>
          <w:rFonts w:ascii="Times New Roman" w:hAnsi="Times New Roman"/>
          <w:shd w:val="clear" w:color="auto" w:fill="FFFFFF"/>
        </w:rPr>
        <w:t xml:space="preserve"> et reconnaît les efforts déployés par le Parlement à cet égard. Donner aux citoyens de l’Union les moyens d’agir et garantir des démocraties inclusives ainsi que l’égalité des chances lors des élections est également essentiel pour la Commission, dont la légitimité démocratique repose notamment sur la responsabilité devant le Parlement européen, conformément à l’article 17, paragraphe 8, du traité sur l’Union européenne (TUE).</w:t>
      </w:r>
    </w:p>
    <w:p w14:paraId="59311F38"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 xml:space="preserve">La Commission encourage la participation aux élections européennes de 2024 en s’adressant directement aux citoyens, par exemple en soutenant les campagnes incitant à aller voter à l’échelle de l’UE et en fournissant des canaux européens communs pour informer les citoyens sur les modalités d’inscription et de vote, grâce au financement de </w:t>
      </w:r>
      <w:r>
        <w:rPr>
          <w:rFonts w:ascii="Times New Roman" w:hAnsi="Times New Roman"/>
          <w:shd w:val="clear" w:color="auto" w:fill="FFFFFF"/>
        </w:rPr>
        <w:lastRenderedPageBreak/>
        <w:t>la société civile par l’UE. Le «Guide de la citoyenneté européenne»</w:t>
      </w:r>
      <w:r w:rsidRPr="00AD0DE7">
        <w:rPr>
          <w:rStyle w:val="FootnoteReference"/>
          <w:rFonts w:ascii="Times New Roman" w:hAnsi="Times New Roman"/>
          <w:szCs w:val="24"/>
          <w:shd w:val="clear" w:color="auto" w:fill="FFFFFF"/>
        </w:rPr>
        <w:footnoteReference w:id="2"/>
      </w:r>
      <w:r>
        <w:rPr>
          <w:rFonts w:ascii="Times New Roman" w:hAnsi="Times New Roman"/>
          <w:shd w:val="clear" w:color="auto" w:fill="FFFFFF"/>
        </w:rPr>
        <w:t>, récemment publié, est un outil utile pour aider les nouveaux et jeunes citoyens de l’Union à se familiariser avec l’histoire, les valeurs et les droits qui sous-tendent leur statut de citoyen de l’Union, ainsi qu’avec les avantages et les possibilités que ce statut offre en matière d’engagement démocratique.</w:t>
      </w:r>
    </w:p>
    <w:p w14:paraId="4C879138"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Dans la perspective des élections européennes de juin 2024, la Commission travaille également, en coopération avec le Parlement européen, à une campagne spécifique visant à promouvoir le taux de participation des citoyens mobiles de l’Union. La Commission a rendu le centre de contact direct Europe Direct plus visible avant les élections en tant que «ligne d’assistance électorale» afin de faciliter le droit de vote des citoyens en apportant des solutions pratiques aux difficultés que les autorités locales ou les citoyens pourraient rencontrer lorsqu’ils souhaitent s’inscrire aux élections. Cela facilitera l’accès à l’information, améliorera la qualité des services et accélérera les réponses aux demandes d’informations des citoyens mobiles de l’Union. Le numéro de la ligne téléphonique est déjà bien mis en évidence sur le site web commun de la campagne interinstitutionnelle consacrée aux élections européennes</w:t>
      </w:r>
      <w:r w:rsidRPr="00AD0DE7">
        <w:rPr>
          <w:rStyle w:val="FootnoteReference"/>
          <w:rFonts w:ascii="Times New Roman" w:hAnsi="Times New Roman"/>
          <w:szCs w:val="24"/>
          <w:shd w:val="clear" w:color="auto" w:fill="FFFFFF"/>
        </w:rPr>
        <w:footnoteReference w:id="3"/>
      </w:r>
      <w:r>
        <w:rPr>
          <w:rFonts w:ascii="Times New Roman" w:hAnsi="Times New Roman"/>
          <w:shd w:val="clear" w:color="auto" w:fill="FFFFFF"/>
        </w:rPr>
        <w:t>. Le site web comprend également des pages détaillées sur «Comment voter», qui ont été mises à jour avec l’aide des États membres dans le cadre du réseau européen de coopération en matière d’élections.</w:t>
      </w:r>
    </w:p>
    <w:p w14:paraId="07DADE13"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Dans le cadre de la préparation des élections au Parlement européen, la Commission a organisé un événement de haut niveau sur les élections en octobre 2023 réunissant les États membres, les institutions de l’Union, des organisations de la société civile et des membres du monde universitaire afin de présenter des idées pour soutenir le taux de participation électorale, de manière inclusive, pour garantir la résilience des systèmes électoraux et veiller à l’organisation d’élections régulières et inclusives dans l’ensemble de l’Union.</w:t>
      </w:r>
    </w:p>
    <w:p w14:paraId="72863260"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Dans le contexte de l’augmentation du taux de participation aux élections européennes, le Parlement européen attire également à juste titre l’attention sur tous les citoyens de l’Union vivant ou travaillant dans un pays tiers (paragraphe 20). Il appelle à une coopération étroite entre les États membres de l’UE, le Service européen pour l’action extérieure (SEAE) et le Parlement européen afin de les informer et de les mobiliser. Le SEAE a mis en place un groupe de travail avec les ministères des affaires étrangères des États membres afin de lancer la communication sur les élections européennes en dehors de l’Union et d’encourager l’échange de bonnes pratiques pour de telles campagnes d’information. Coordonnées par le SEAE et avec les ambassades/consulats des États membres, les 145 délégations de l’UE s’adresseront aux citoyens vivant en dehors de l’Union afin de les informer et de les mobiliser pour les élections européennes. Le SEAE coordonne cette communication avec le Parlement européen et les bureaux locaux du Parlement européen.</w:t>
      </w:r>
    </w:p>
    <w:p w14:paraId="214784EA" w14:textId="77777777" w:rsidR="001845DE" w:rsidRPr="00AD0DE7" w:rsidRDefault="001845DE" w:rsidP="001845DE">
      <w:pPr>
        <w:widowControl w:val="0"/>
        <w:spacing w:after="120"/>
        <w:rPr>
          <w:rFonts w:ascii="Times New Roman" w:hAnsi="Times New Roman"/>
          <w:szCs w:val="24"/>
          <w:shd w:val="clear" w:color="auto" w:fill="FFFFFF"/>
        </w:rPr>
      </w:pPr>
      <w:bookmarkStart w:id="1" w:name="_Hlk158194569"/>
      <w:r>
        <w:rPr>
          <w:rFonts w:ascii="Times New Roman" w:hAnsi="Times New Roman"/>
          <w:shd w:val="clear" w:color="auto" w:fill="FFFFFF"/>
        </w:rPr>
        <w:t>Dans le cadre du paquet «Défense de la démocratie»</w:t>
      </w:r>
      <w:r w:rsidRPr="00AD0DE7">
        <w:rPr>
          <w:rStyle w:val="FootnoteReference"/>
          <w:rFonts w:ascii="Times New Roman" w:hAnsi="Times New Roman"/>
          <w:szCs w:val="24"/>
          <w:shd w:val="clear" w:color="auto" w:fill="FFFFFF"/>
        </w:rPr>
        <w:footnoteReference w:id="4"/>
      </w:r>
      <w:r>
        <w:rPr>
          <w:rFonts w:ascii="Times New Roman" w:hAnsi="Times New Roman"/>
          <w:shd w:val="clear" w:color="auto" w:fill="FFFFFF"/>
        </w:rPr>
        <w:t>, adopté en décembre 2023, la Commission a présenté une recommandation relative à des processus électoraux inclusifs et résilients dans l’Union européenne, au renforcement du caractère européen des élections au Parlement européen et à une meilleure garantie de leur bon déroulement</w:t>
      </w:r>
      <w:r w:rsidRPr="00AD0DE7">
        <w:rPr>
          <w:rStyle w:val="FootnoteReference"/>
          <w:rFonts w:ascii="Times New Roman" w:hAnsi="Times New Roman"/>
          <w:szCs w:val="24"/>
          <w:shd w:val="clear" w:color="auto" w:fill="FFFFFF"/>
        </w:rPr>
        <w:footnoteReference w:id="5"/>
      </w:r>
      <w:r>
        <w:rPr>
          <w:rFonts w:ascii="Times New Roman" w:hAnsi="Times New Roman"/>
          <w:shd w:val="clear" w:color="auto" w:fill="FFFFFF"/>
        </w:rPr>
        <w:t xml:space="preserve">. Elle s’adresse aux États membres, aux partis politiques européens et nationaux, aux fondations et aux organisations chargées des campagnes dans le contexte de la </w:t>
      </w:r>
      <w:r>
        <w:rPr>
          <w:rFonts w:ascii="Times New Roman" w:hAnsi="Times New Roman"/>
          <w:shd w:val="clear" w:color="auto" w:fill="FFFFFF"/>
        </w:rPr>
        <w:lastRenderedPageBreak/>
        <w:t xml:space="preserve">préparation des élections de manière générale et au sujet des prochaines élections au Parlement européen en particulier. Elle vise à promouvoir des normes démocratiques élevées pour les élections dans l’UE et à soutenir un taux de participation électorale important, une participation inclusive, un exercice aisé et égal des droits électoraux et des processus électoraux résilients. </w:t>
      </w:r>
      <w:bookmarkStart w:id="2" w:name="_Hlk158194548"/>
      <w:r>
        <w:rPr>
          <w:rFonts w:ascii="Times New Roman" w:hAnsi="Times New Roman"/>
        </w:rPr>
        <w:t>La recommandation relative à des élections inclusives et résilientes encourage également le recours aux engagements relatifs aux campagnes et aux codes de conduite sur l’intégrité électorale et la tenue de campagnes équitables par les partis politiques et les organisations chargées des campagnes, ce qui devrait comprendre, entre autres, un engagement à encourager un discours politique inclusif.</w:t>
      </w:r>
      <w:bookmarkEnd w:id="2"/>
    </w:p>
    <w:bookmarkEnd w:id="1"/>
    <w:p w14:paraId="4FC2B82F" w14:textId="77777777" w:rsidR="001845DE" w:rsidRPr="00AD0DE7" w:rsidRDefault="001845DE" w:rsidP="001845DE">
      <w:pPr>
        <w:widowControl w:val="0"/>
        <w:spacing w:after="120"/>
        <w:rPr>
          <w:rFonts w:ascii="Times New Roman" w:hAnsi="Times New Roman"/>
          <w:szCs w:val="24"/>
        </w:rPr>
      </w:pPr>
      <w:r>
        <w:rPr>
          <w:rFonts w:ascii="Times New Roman" w:hAnsi="Times New Roman"/>
        </w:rPr>
        <w:t xml:space="preserve">La Commission a présenté une </w:t>
      </w:r>
      <w:r>
        <w:rPr>
          <w:rFonts w:ascii="Times New Roman" w:hAnsi="Times New Roman"/>
          <w:b/>
        </w:rPr>
        <w:t>proposition de refonte du règlement (UE, Euratom) nº 1141/2014 relatif au statut et au financement des partis politiques européens et des fondations politiques européennes (paragraphes 2 et 27)</w:t>
      </w:r>
      <w:r>
        <w:rPr>
          <w:rFonts w:ascii="Times New Roman" w:hAnsi="Times New Roman"/>
        </w:rPr>
        <w:t xml:space="preserve"> il y a plus de deux ans, le 25 novembre 2021. L’un des objectifs de la proposition de la Commission était de renforcer les partis politiques européens et de mieux leur permettre d’exercer leur rôle principal que leur confère l’article 10, paragraphe 4, du TUE – à savoir contribuer à la formation de la conscience politique européenne – bien à temps pour la campagne pour les élections au Parlement européen de 2024. En particulier, la Commission proposait de modifier l’article 2, point 3), relatif à la définition de «parti politique européen» afin de mieux tenir compte de leur capacité à mener des campagnes politiques transfrontières.</w:t>
      </w:r>
    </w:p>
    <w:p w14:paraId="7C20BF3C" w14:textId="77777777" w:rsidR="001845DE" w:rsidRPr="00AD0DE7" w:rsidRDefault="001845DE" w:rsidP="001845DE">
      <w:pPr>
        <w:widowControl w:val="0"/>
        <w:spacing w:after="120"/>
        <w:rPr>
          <w:rFonts w:ascii="Times New Roman" w:hAnsi="Times New Roman"/>
        </w:rPr>
      </w:pPr>
      <w:r>
        <w:rPr>
          <w:rFonts w:ascii="Times New Roman" w:hAnsi="Times New Roman"/>
        </w:rPr>
        <w:t>Tout au long de la négociation interinstitutionnelle, la Commission a agi en tant que médiateur impartial, en fournissant une expertise technique, en facilitant la discussion entre les deux législateurs et en proposant une rédaction de compromis visant à débloquer les blocages répétés dans les négociations.</w:t>
      </w:r>
    </w:p>
    <w:p w14:paraId="0F554AAD" w14:textId="77777777" w:rsidR="001845DE" w:rsidRPr="00AD0DE7" w:rsidRDefault="001845DE" w:rsidP="001845DE">
      <w:pPr>
        <w:widowControl w:val="0"/>
        <w:spacing w:after="120"/>
        <w:rPr>
          <w:rFonts w:ascii="Times New Roman" w:hAnsi="Times New Roman"/>
          <w:szCs w:val="24"/>
        </w:rPr>
      </w:pPr>
      <w:r>
        <w:rPr>
          <w:rFonts w:ascii="Times New Roman" w:hAnsi="Times New Roman"/>
        </w:rPr>
        <w:t>La Commission regrette profondément que, malgré les efforts déployés par toutes les parties au cours des négociations, les colégislateurs n’aient pas pu surmonter leurs positions divergentes sur les aspects fondamentaux de la proposition afin de trouver un accord avant les élections au Parlement européen de 2024.</w:t>
      </w:r>
    </w:p>
    <w:p w14:paraId="561E7549"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 xml:space="preserve">La Commission soutient l’accent mis par le Parlement européen sur la nécessité de </w:t>
      </w:r>
      <w:r>
        <w:rPr>
          <w:rFonts w:ascii="Times New Roman" w:hAnsi="Times New Roman"/>
          <w:b/>
          <w:shd w:val="clear" w:color="auto" w:fill="FFFFFF"/>
        </w:rPr>
        <w:t>veiller à ce que les droits électoraux des citoyens de l’Union soient effectifs et respectés, de manière inclusive (paragraphe 16)</w:t>
      </w:r>
      <w:r>
        <w:rPr>
          <w:rFonts w:ascii="Times New Roman" w:hAnsi="Times New Roman"/>
          <w:shd w:val="clear" w:color="auto" w:fill="FFFFFF"/>
        </w:rPr>
        <w:t>.</w:t>
      </w:r>
    </w:p>
    <w:p w14:paraId="69865253"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Le 25 novembre 2021, la Commission a adopté un ensemble de mesures visant à renforcer la démocratie et à protéger l’intégrité des élections</w:t>
      </w:r>
      <w:r w:rsidRPr="00AD0DE7">
        <w:rPr>
          <w:rStyle w:val="FootnoteReference"/>
          <w:rFonts w:ascii="Times New Roman" w:hAnsi="Times New Roman"/>
          <w:szCs w:val="24"/>
          <w:shd w:val="clear" w:color="auto" w:fill="FFFFFF"/>
        </w:rPr>
        <w:footnoteReference w:id="6"/>
      </w:r>
      <w:r>
        <w:rPr>
          <w:rFonts w:ascii="Times New Roman" w:hAnsi="Times New Roman"/>
          <w:shd w:val="clear" w:color="auto" w:fill="FFFFFF"/>
        </w:rPr>
        <w:t>. Cet ensemble de mesures comprend deux propositions législatives visant à refondre les directives relatives au droit de vote et d’éligibilité aux élections au Parlement européen et aux élections municipales des citoyens de l’Union résidant dans un État membre différent de leur État d’origine. Ces initiatives ont pour but de mettre à jour, de clarifier et de renforcer les règles existantes pour remédier aux difficultés que rencontrent les citoyens de l’Union mobiles et à garantir une participation large et inclusive aux élections, à soutenir les citoyens mobiles de l’Union dans l’exercice de leurs droits et à protéger l’intégrité des élections au Parlement européen. S’il est vrai que les discussions au sein du Conseil progressent, ces initiatives ne seront pas en vigueur pour les élections au Parlement européen de 2024.</w:t>
      </w:r>
    </w:p>
    <w:p w14:paraId="61112E11"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 xml:space="preserve">La recommandation relative à des élections inclusives et résilientes aborde également les besoins de groupes spécifiques, notamment les personnes handicapées, les jeunes électeurs, les citoyens mobiles de l’Union et les personnes exposées à la marginalisation. En outre, comme annoncé dans la stratégie en faveur des droits des personnes handicapées 2021-2030, la Commission a élaboré, en décembre 2023, un guide de </w:t>
      </w:r>
      <w:r>
        <w:rPr>
          <w:rFonts w:ascii="Times New Roman" w:hAnsi="Times New Roman"/>
          <w:shd w:val="clear" w:color="auto" w:fill="FFFFFF"/>
        </w:rPr>
        <w:lastRenderedPageBreak/>
        <w:t>bonnes pratiques électorales concernant la participation des citoyens handicapés, dans le cadre d’un paquet «Citoyenneté»</w:t>
      </w:r>
      <w:r w:rsidRPr="00AD0DE7">
        <w:rPr>
          <w:rStyle w:val="FootnoteReference"/>
          <w:rFonts w:ascii="Times New Roman" w:hAnsi="Times New Roman"/>
          <w:szCs w:val="24"/>
          <w:shd w:val="clear" w:color="auto" w:fill="FFFFFF"/>
        </w:rPr>
        <w:footnoteReference w:id="7"/>
      </w:r>
      <w:r>
        <w:rPr>
          <w:rFonts w:ascii="Times New Roman" w:hAnsi="Times New Roman"/>
          <w:shd w:val="clear" w:color="auto" w:fill="FFFFFF"/>
        </w:rPr>
        <w:t>.</w:t>
      </w:r>
      <w:r>
        <w:rPr>
          <w:rFonts w:ascii="Times New Roman" w:hAnsi="Times New Roman"/>
        </w:rPr>
        <w:t xml:space="preserve"> </w:t>
      </w:r>
      <w:r>
        <w:rPr>
          <w:rFonts w:ascii="Times New Roman" w:hAnsi="Times New Roman"/>
          <w:shd w:val="clear" w:color="auto" w:fill="FFFFFF"/>
        </w:rPr>
        <w:t>Il a été élaboré en étroite coopération avec les États membres dans le cadre du réseau européen de coopération en matière d’élections et en consultant différentes parties prenantes actives dans le domaine des droits des personnes handicapées. Ce guide présente les différentes mesures prises par les États membres pour lever les obstacles auxquels sont confrontés les citoyens handicapés lorsqu’ils interagissent avec l’environnement électoral et pour garantir l’effectivité de leurs droits électoraux. Il souligne également l’émergence de références communes à la tenue d’élections accessibles.</w:t>
      </w:r>
    </w:p>
    <w:p w14:paraId="6B211BF0"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color w:val="333333"/>
          <w:shd w:val="clear" w:color="auto" w:fill="FFFFFF"/>
        </w:rPr>
        <w:t>En outre, dans le cadre des mesures annoncées dans le plan d’action pour la démocratie européenne, la Commission a également élaboré un recueil des pratiques en matière de vote électronique et de technologies de l’information et de la communication en coopération avec les États membres et le Conseil de l’Europe. Ce recueil vise également à répondre aux besoins des personnes handicapées, en favorisant l’accessibilité des élections.</w:t>
      </w:r>
    </w:p>
    <w:p w14:paraId="7039B740" w14:textId="77777777"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 xml:space="preserve">La Commission se félicite de l’appel lancé par le Parlement européen en faveur de garanties et de mesures plus solides </w:t>
      </w:r>
      <w:r>
        <w:rPr>
          <w:rFonts w:ascii="Times New Roman" w:hAnsi="Times New Roman"/>
          <w:b/>
          <w:shd w:val="clear" w:color="auto" w:fill="FFFFFF"/>
        </w:rPr>
        <w:t>dans la lutte contre la désinformation ainsi que la manipulation de l’information et l’ingérence étrangères (paragraphe 26)</w:t>
      </w:r>
      <w:r>
        <w:rPr>
          <w:rFonts w:ascii="Times New Roman" w:hAnsi="Times New Roman"/>
          <w:shd w:val="clear" w:color="auto" w:fill="FFFFFF"/>
        </w:rPr>
        <w:t xml:space="preserve"> lors des élections, qui complètent ses objectifs et ses actions dans ce domaine.</w:t>
      </w:r>
    </w:p>
    <w:p w14:paraId="71381632" w14:textId="6A6DDB0B" w:rsidR="001845DE" w:rsidRPr="00AD0DE7" w:rsidRDefault="001845DE" w:rsidP="001845DE">
      <w:pPr>
        <w:widowControl w:val="0"/>
        <w:spacing w:after="120"/>
        <w:rPr>
          <w:rFonts w:ascii="Times New Roman" w:hAnsi="Times New Roman"/>
          <w:szCs w:val="24"/>
          <w:shd w:val="clear" w:color="auto" w:fill="FFFFFF"/>
        </w:rPr>
      </w:pPr>
      <w:r>
        <w:rPr>
          <w:rFonts w:ascii="Times New Roman" w:hAnsi="Times New Roman"/>
          <w:shd w:val="clear" w:color="auto" w:fill="FFFFFF"/>
        </w:rPr>
        <w:t>La protection des démocraties européennes contre les menaces et les effets néfastes de la désinformation, de la manipulation de l’information et des ingérences, en particulier de la part d’acteurs étrangers, a été une priorité de l’UE ces dernières années. Dans le cadre du plan d’action pour la démocratie européenne, l’UE a intensifié ses efforts pour améliorer sa capacité à détecter et à analyser ce paysage de menaces nouveau et changeant, ainsi qu’à y réagir, tant au niveau national qu’au niveau international. La coopération existante a été renforcée au sein de la Commission, entre les institutions et les services de l’UE et au-delà, avec la participation des parties prenantes concernées de la société civile, du monde universitaire et du secteur, ainsi que des partenaires internationaux. Le système d’alerte rapide géré par le SEAE a continué de fournir une appréciation commune de la situation et de partager avec les États membres, les institutions de l’UE et les partenaires internationaux des approches efficaces pour faire face à la menace que constituent les activités de manipulation de l’information et d’ingérence menées depuis l’étranger. Ces initiatives ont donné des résultats concrets visibles dans la capacité à relever les défis efficacement, plus rapidement et de manière plus coordonnée. Elles ont également apporté une contribution plus large à la résilience démocratique. Elles ont été complétées par l’élaboration d’une boîte à outils renforcée de l’UE visant à prévenir et à décourager les activités de manipulation de l’information et d’ingérence menées depuis l’étranger et à y réagir. La boîte à outils décrit quatre domaines dans lesquels des instruments existent et peuvent être développés davantage: 1) connaissance de la situation, 2) renforcement de la résilience, 3) perturbation et réglementation et 4) action extérieure de l’UE. Ces éléments sont complétés par un cadre et une méthode analytiques communs visant à recueillir des preuves systématiques d’incidents de manipulation de l’information et d’ingérence organisés depuis l’étranger, non seulement pour contribuer à améliorer la compréhension des tactiques, techniques et procédures utilisées pour manipuler et interférer, mais aussi pour réagir efficacement aux menaces de manipulation de l’information et d’ingérence étrangères.</w:t>
      </w:r>
      <w:r w:rsidR="008E72DA">
        <w:rPr>
          <w:rFonts w:ascii="Times New Roman" w:hAnsi="Times New Roman"/>
          <w:shd w:val="clear" w:color="auto" w:fill="FFFFFF"/>
        </w:rPr>
        <w:t xml:space="preserve"> </w:t>
      </w:r>
      <w:r>
        <w:rPr>
          <w:rFonts w:ascii="Times New Roman" w:hAnsi="Times New Roman"/>
          <w:shd w:val="clear" w:color="auto" w:fill="FFFFFF"/>
        </w:rPr>
        <w:t xml:space="preserve">En outre, le deuxième rapport du SEAE sur les menaces de manipulation de l’information et d’ingérence étrangères, publié récemment </w:t>
      </w:r>
      <w:r>
        <w:rPr>
          <w:rFonts w:ascii="Times New Roman" w:hAnsi="Times New Roman"/>
          <w:shd w:val="clear" w:color="auto" w:fill="FFFFFF"/>
        </w:rPr>
        <w:lastRenderedPageBreak/>
        <w:t>par le SEAE et axé principalement sur les élections, met en évidence cette méthode dans un échantillon de 750 incidents ayant fait l’objet d’une enquête et propose un cadre et une méthode communs pour la défense en réseau contre les activités de manipulation de l’information et d’ingérence menées depuis l’étranger.</w:t>
      </w:r>
    </w:p>
    <w:p w14:paraId="0FB8776D" w14:textId="394347D9" w:rsidR="001845DE" w:rsidRPr="00AD0DE7" w:rsidRDefault="001845DE" w:rsidP="001845DE">
      <w:pPr>
        <w:spacing w:after="120"/>
        <w:rPr>
          <w:rFonts w:ascii="Times New Roman" w:hAnsi="Times New Roman"/>
          <w:szCs w:val="24"/>
          <w:shd w:val="clear" w:color="auto" w:fill="FFFFFF"/>
        </w:rPr>
      </w:pPr>
      <w:r>
        <w:rPr>
          <w:rFonts w:ascii="Times New Roman" w:hAnsi="Times New Roman"/>
          <w:shd w:val="clear" w:color="auto" w:fill="FFFFFF"/>
        </w:rPr>
        <w:t>Au cœur de l’approche de la Commission en matière de lutte contre la désinformation figurent les travaux qu’elle a menés pour responsabiliser davantage les plateformes en ligne. Le règlement sur les services numériques (Digital Services Act – DSA)</w:t>
      </w:r>
      <w:r w:rsidRPr="00AD0DE7">
        <w:rPr>
          <w:rStyle w:val="FootnoteReference"/>
          <w:rFonts w:ascii="Times New Roman" w:hAnsi="Times New Roman"/>
          <w:szCs w:val="24"/>
          <w:shd w:val="clear" w:color="auto" w:fill="FFFFFF"/>
        </w:rPr>
        <w:footnoteReference w:id="8"/>
      </w:r>
      <w:r>
        <w:rPr>
          <w:rFonts w:ascii="Times New Roman" w:hAnsi="Times New Roman"/>
          <w:shd w:val="clear" w:color="auto" w:fill="FFFFFF"/>
        </w:rPr>
        <w:t xml:space="preserve"> oblige les fournisseurs de très grandes plateformes en ligne et de très grands moteurs de recherche en ligne à évaluer régulièrement les risques systémiques que leurs services peuvent présenter pour la société, notamment en ce qui concerne la liberté d’expression, ou le risque que leurs services soient utilisés comme outil de campagne de désinformation, y compris les risques liés au discours civique et aux processus électoraux. Les fournisseurs de très grandes plateformes en ligne et de très grands moteurs de recherche en ligne sont également invités à participer à l’établissement de codes de conduite volontaires et de protocoles de crise.</w:t>
      </w:r>
    </w:p>
    <w:p w14:paraId="32CA3C6F" w14:textId="65281943" w:rsidR="001845DE" w:rsidRPr="00AD0DE7" w:rsidRDefault="001845DE" w:rsidP="001845DE">
      <w:pPr>
        <w:spacing w:after="120"/>
        <w:rPr>
          <w:rFonts w:ascii="Times New Roman" w:hAnsi="Times New Roman"/>
          <w:szCs w:val="24"/>
          <w:shd w:val="clear" w:color="auto" w:fill="FFFFFF"/>
        </w:rPr>
      </w:pPr>
      <w:r>
        <w:rPr>
          <w:rFonts w:ascii="Times New Roman" w:hAnsi="Times New Roman"/>
          <w:shd w:val="clear" w:color="auto" w:fill="FFFFFF"/>
        </w:rPr>
        <w:t>La Commission prépare actuellement des lignes directrices à l’intention des fournisseurs de très grandes plateformes en ligne et de très grands moteurs de recherche en ligne sur l’atténuation des risques systémiques pour les processus électoraux. Ces lignes directrices définiraient les mesures d’atténuation des meilleures pratiques que les très grandes plateformes et très grands moteurs de recherche en ligne peuvent adopter pour faire face aux risques systémiques liés aux élections, tant en général que se rapportant spécifiquement aux contenus d’IA (intelligence artificielle) générative, y compris, entre autres, en ce qui concerne la coopération avec les autorités et les autres parties prenantes.</w:t>
      </w:r>
    </w:p>
    <w:p w14:paraId="137D2BC5" w14:textId="4E5DF97A" w:rsidR="001845DE" w:rsidRPr="00AD0DE7" w:rsidRDefault="001845DE" w:rsidP="001845DE">
      <w:pPr>
        <w:spacing w:after="120"/>
        <w:rPr>
          <w:rFonts w:ascii="Times New Roman" w:hAnsi="Times New Roman"/>
          <w:szCs w:val="24"/>
          <w:shd w:val="clear" w:color="auto" w:fill="FFFFFF"/>
        </w:rPr>
      </w:pPr>
      <w:r>
        <w:rPr>
          <w:rFonts w:ascii="Times New Roman" w:hAnsi="Times New Roman"/>
          <w:shd w:val="clear" w:color="auto" w:fill="FFFFFF"/>
        </w:rPr>
        <w:t>L’ambitieux code de bonnes pratiques contre la désinformation signé en juin 2022 par un large éventail de signataires devrait devenir un code de conduite reconnu dans le cadre de corégulation du règlement sur les services numériques. Ce code s’accompagne également d’un cadre de surveillance solide et d’un centre de la transparence destiné à garantir la transparence et la responsabilité. En janvier et septembre 2023, les signataires du code, y compris les plateformes en ligne, ont rendu compte des progrès accomplis, fournissant des informations publiques d’un niveau inédit sur la manière dont ils mettent en œuvre leurs engagements en matière de lutte contre la désinformation. Dans la perspective des élections européennes de 2024, la Commission mène par ailleurs un dialogue et une collaboration préélectoraux avec les plateformes en ligne et d’autres signataires du code. En outre, les travaux menés dans le cadre du code se concentrent également sur la lutte contre le potentiel néfaste des nouveaux outils fondés sur l’IA qui pourraient être utilisés dans des campagnes de désinformation et d’ingérence organisées depuis l’étranger.</w:t>
      </w:r>
    </w:p>
    <w:p w14:paraId="4404D5F2" w14:textId="77777777" w:rsidR="001845DE" w:rsidRPr="00AD0DE7" w:rsidRDefault="001845DE" w:rsidP="001845DE">
      <w:pPr>
        <w:widowControl w:val="0"/>
        <w:spacing w:after="120"/>
        <w:rPr>
          <w:rFonts w:ascii="Times New Roman" w:hAnsi="Times New Roman"/>
          <w:szCs w:val="24"/>
          <w:shd w:val="clear" w:color="auto" w:fill="FFFFFF"/>
        </w:rPr>
      </w:pPr>
      <w:bookmarkStart w:id="3" w:name="_Hlk160016071"/>
      <w:r>
        <w:rPr>
          <w:rFonts w:ascii="Times New Roman" w:hAnsi="Times New Roman"/>
          <w:shd w:val="clear" w:color="auto" w:fill="FFFFFF"/>
        </w:rPr>
        <w:t xml:space="preserve">À la suite d’un accord politique intervenu entre les colégislateurs de l’Union en novembre 2023, le règlement sur la transparence et le ciblage de la publicité à caractère politique a été formellement adopté par le Parlement lors de la session plénière du 27 février 2024 et est actuellement en attente d’adoption formelle par le Conseil. Il devrait avoir force de loi avant les prochaines élections, certains éléments s’appliquant immédiatement, notamment ses définitions. </w:t>
      </w:r>
      <w:bookmarkEnd w:id="3"/>
      <w:r>
        <w:rPr>
          <w:rFonts w:ascii="Times New Roman" w:hAnsi="Times New Roman"/>
          <w:shd w:val="clear" w:color="auto" w:fill="FFFFFF"/>
        </w:rPr>
        <w:t xml:space="preserve">Il contribuera à empêcher que la publicité à caractère politique soit utilisée comme vecteur de désinformation, de manipulation de l’information et d’ingérence, notamment en divulguant la nature politique de la publicité, l’identité de ses parraineurs et des entités qui la financent, et en imposant des restrictions aux techniques utilisant des données à caractère personnel qui ciblent les publicités à </w:t>
      </w:r>
      <w:r>
        <w:rPr>
          <w:rFonts w:ascii="Times New Roman" w:hAnsi="Times New Roman"/>
          <w:shd w:val="clear" w:color="auto" w:fill="FFFFFF"/>
        </w:rPr>
        <w:lastRenderedPageBreak/>
        <w:t>caractère politique sur les citoyens, y compris celles qui exploitent ouvertement leurs vulnérabilités.</w:t>
      </w:r>
    </w:p>
    <w:p w14:paraId="0890734B" w14:textId="77777777" w:rsidR="001845DE" w:rsidRPr="00AD0DE7" w:rsidRDefault="001845DE" w:rsidP="001845DE">
      <w:pPr>
        <w:widowControl w:val="0"/>
        <w:spacing w:after="120"/>
        <w:rPr>
          <w:rFonts w:ascii="Times New Roman" w:hAnsi="Times New Roman"/>
          <w:szCs w:val="24"/>
        </w:rPr>
      </w:pPr>
      <w:r>
        <w:rPr>
          <w:rFonts w:ascii="Times New Roman" w:hAnsi="Times New Roman"/>
        </w:rPr>
        <w:t xml:space="preserve">La recommandation relative à des élections inclusives et résilientes s’appuie sur les mesures décisives prises par la Commission depuis 2020 pour combler les lacunes recensées et faire en sorte que les citoyens puissent se forger leur propre jugement et faire des choix électoraux dans un espace public où une pluralité d’opinions peut être exprimée, sans ingérence, qu’elle soit intérieure ou étrangère. À cette fin, et en s’appuyant sur les données Eurobaromètre, la recommandation propose une série de mesures visant à soutenir le taux de participation et le caractère inclusif des élections et à protéger les informations liées aux élections contre la manipulation et la désinformation, telles que la formation des autorités électorales et d’autres autorités compétentes sur la manière de prévenir et de réfuter efficacement les manipulations de l’information, les ingérences et la désinformation, en ligne et hors ligne. Le renforcement du soutien mutuel et de la coopération entre les États membres sur ces sujets est également encouragé. Les États membres coopèrent déjà au sein du réseau européen de coopération en matière d’élections, de même qu’avec le groupe des régulateurs européens des services de médias audiovisuels, le système d’alerte rapide et d’autres enceintes, afin de lutter contre les activités de manipulation de l’information et d’ingérence menées depuis l’étranger, ainsi que contre la désinformation, grâce à l’élaboration d’une réponse pluridisciplinaire face à de telles menaces pesant sur les processus électoraux. D’autres formats, tels que les groupes de travail tripartites entre le Parlement européen, la Commission et le SEAE, travaillent à différents niveaux pour veiller à ce que les menaces potentielles de manipulation de l’information et d’ingérence étrangères avant les élections européennes de 2024 soient évaluées et traitées de manière coordonnée et en temps utile. </w:t>
      </w:r>
    </w:p>
    <w:p w14:paraId="28A3B793" w14:textId="77777777" w:rsidR="001845DE" w:rsidRPr="00AD0DE7" w:rsidRDefault="001845DE" w:rsidP="001845DE">
      <w:pPr>
        <w:widowControl w:val="0"/>
        <w:spacing w:after="120"/>
        <w:rPr>
          <w:rFonts w:ascii="Times New Roman" w:hAnsi="Times New Roman"/>
          <w:szCs w:val="24"/>
        </w:rPr>
      </w:pPr>
      <w:r>
        <w:rPr>
          <w:rFonts w:ascii="Times New Roman" w:hAnsi="Times New Roman"/>
        </w:rPr>
        <w:t>Un mécanisme conjoint pour la résilience électorale a été lancé en janvier 2022, dans le but de renforcer les capacités des États membres à faire face aux risques liés aux élections, au moyen d’échanges d’experts, en particulier sur la désinformation et les menaces liées au cyberespace. Le 21 novembre 2023, dans le cadre de la préparation conjointe des élections de 2024, la Commission a organisé, avec le soutien de l’Agence de l’Union européenne pour la cybersécurité (ENISA) et en coopération avec le Parlement européen, un exercice de simulation dans le cadre du mécanisme commun de résilience électorale, qui visait à tester la préparation des États membres aux cyberattaques et aux menaces hybrides, y compris les campagnes de désinformation. Le groupe de coopération pour la sécurité des réseaux et des systèmes d’information (SRI), composé de représentants des États membres de l’UE, de la Commission et de l’ENISA, institué par la directive (UE) 2022/2555 concernant des mesures destinées à assurer un niveau élevé commun de cybersécurité dans l’ensemble de l’Union («directive SRI 2»), a publié, le 6 mars 2024, une nouvelle édition du recueil sur la manière de protéger la cybersécurité des élections. Cette nouvelle édition du recueil expose les mesures à prendre et les orientations utiles pour gérer les cyberincidents potentiels tout au long des processus électoraux. Cette publication faisait suite à l’exercice susmentionné et à la recommandation relative à des élections inclusives et résilientes.</w:t>
      </w:r>
    </w:p>
    <w:p w14:paraId="2BC64624" w14:textId="77777777" w:rsidR="001845DE" w:rsidRPr="00AD0DE7" w:rsidRDefault="001845DE" w:rsidP="001845DE">
      <w:pPr>
        <w:widowControl w:val="0"/>
        <w:spacing w:after="120"/>
        <w:rPr>
          <w:rFonts w:ascii="Times New Roman" w:hAnsi="Times New Roman"/>
          <w:szCs w:val="24"/>
        </w:rPr>
      </w:pPr>
      <w:r>
        <w:rPr>
          <w:rFonts w:ascii="Times New Roman" w:hAnsi="Times New Roman"/>
        </w:rPr>
        <w:t xml:space="preserve">Afin que les citoyens soient bien informés et conscients de la manière de garantir la libre formation de leur opinion lors de leur participation aux élections, la recommandation relative à des élections inclusives et résilientes encourage également le renforcement de la résilience, la sensibilisation et la formation à l’ingérence autour des élections. Le rôle de la société civile, des organisations de médias, des instituts de recherche et du monde universitaire en ce qui concerne la sensibilisation accrue du public, l’éducation aux médias et l’esprit critique sont essentiels afin de doter les citoyens des compétences requises pour pouvoir exercer un jugement face à des réalités complexes influant sur la </w:t>
      </w:r>
      <w:r>
        <w:rPr>
          <w:rFonts w:ascii="Times New Roman" w:hAnsi="Times New Roman"/>
        </w:rPr>
        <w:lastRenderedPageBreak/>
        <w:t>sphère démocratique. Les États membres sont encouragés à utiliser au mieux les financements disponibles au niveau de l’Union afin de mener des actions contre la manipulation de l’information, l’ingérence et la désinformation influant sur des élections libres, régulières et résilientes, notamment en promouvant les possibilités de financement offertes par le programme «Citoyens, égalité, droits et valeurs», établi par le règlement (UE) 2021/692 du Parlement européen et du Conseil, et par le programme Erasmus+, établi par le règlement (UE) 2021/817 du Parlement européen et du Conseil. Les États membres sont invités à encourager les écoles et les établissements d’enseignement supérieur à inscrire dans leurs programmes l’éducation aux médias, l’esprit critique et les droits et obligations politiques des citoyens, le fonctionnement des institutions et des processus démocratiques, tant sur leur territoire qu’au niveau de l’Union, ainsi que la promotion de la participation démocratique.</w:t>
      </w:r>
    </w:p>
    <w:p w14:paraId="707D8E58" w14:textId="0638AADF" w:rsidR="001845DE" w:rsidRDefault="001845DE" w:rsidP="001845DE">
      <w:pPr>
        <w:widowControl w:val="0"/>
        <w:spacing w:after="120"/>
        <w:rPr>
          <w:rFonts w:ascii="Times New Roman" w:hAnsi="Times New Roman"/>
          <w:szCs w:val="24"/>
        </w:rPr>
      </w:pPr>
      <w:r>
        <w:rPr>
          <w:rFonts w:ascii="Times New Roman" w:hAnsi="Times New Roman"/>
        </w:rPr>
        <w:t>Ces recommandations complètent les efforts déployés par la Commission pour renforcer la liberté et le pluralisme des médias dans le cadre de ses rapports annuels sur l’état de droit et du plan d’action pour la démocratie européenne, tels que la législation européenne sur la liberté des médias et ses initiatives visant à améliorer la sécurité des journalistes et à protéger les journalistes, les défenseurs des droits de l’homme et d’autres personnes contre les poursuites abusives altérant le débat public. Elles sont également cohérentes avec le soutien constant de la Commission en faveur de la résilience des médias, notamment au moyen de financements et de mesures spécifiques au titre de son plan d’action pour les médias et l’audiovisuel adopté en décembre 2020.</w:t>
      </w:r>
    </w:p>
    <w:sectPr w:rsidR="001845DE" w:rsidSect="000A07D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C87B" w14:textId="77777777" w:rsidR="00293B06" w:rsidRDefault="00293B06">
      <w:r>
        <w:separator/>
      </w:r>
    </w:p>
  </w:endnote>
  <w:endnote w:type="continuationSeparator" w:id="0">
    <w:p w14:paraId="5D25323A" w14:textId="77777777" w:rsidR="00293B06" w:rsidRDefault="00293B06">
      <w:r>
        <w:continuationSeparator/>
      </w:r>
    </w:p>
  </w:endnote>
  <w:endnote w:type="continuationNotice" w:id="1">
    <w:p w14:paraId="0ECA7036" w14:textId="77777777" w:rsidR="00293B06" w:rsidRDefault="00293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9497"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32B747D6"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A74B" w14:textId="346ECED8"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F30">
      <w:rPr>
        <w:rStyle w:val="PageNumber"/>
      </w:rPr>
      <w:t>4</w:t>
    </w:r>
    <w:r>
      <w:rPr>
        <w:rStyle w:val="PageNumber"/>
      </w:rPr>
      <w:fldChar w:fldCharType="end"/>
    </w:r>
  </w:p>
  <w:p w14:paraId="13D0BDD1"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9A61" w14:textId="311A76EE" w:rsidR="005E6EC2" w:rsidRPr="00C807CC" w:rsidRDefault="005E6EC2" w:rsidP="00C8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73CD" w14:textId="77777777" w:rsidR="00293B06" w:rsidRDefault="00293B06">
      <w:r>
        <w:separator/>
      </w:r>
    </w:p>
  </w:footnote>
  <w:footnote w:type="continuationSeparator" w:id="0">
    <w:p w14:paraId="5A15A94F" w14:textId="77777777" w:rsidR="00293B06" w:rsidRDefault="00293B06">
      <w:r>
        <w:continuationSeparator/>
      </w:r>
    </w:p>
  </w:footnote>
  <w:footnote w:type="continuationNotice" w:id="1">
    <w:p w14:paraId="717DED12" w14:textId="77777777" w:rsidR="00293B06" w:rsidRDefault="00293B06">
      <w:pPr>
        <w:spacing w:after="0"/>
      </w:pPr>
    </w:p>
  </w:footnote>
  <w:footnote w:id="2">
    <w:p w14:paraId="1BCAB9CF" w14:textId="77777777" w:rsidR="001845DE" w:rsidRPr="00AD0DE7"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https://commission.europa.eu/document/download/c0441a72-c5c0-40d0-900f-c8af7d9b1a04_fr?filename=Guide%20to%20EU%20citizenship_FR.pdf</w:t>
        </w:r>
      </w:hyperlink>
      <w:r>
        <w:rPr>
          <w:rFonts w:ascii="Times New Roman" w:hAnsi="Times New Roman"/>
        </w:rPr>
        <w:t xml:space="preserve"> </w:t>
      </w:r>
    </w:p>
  </w:footnote>
  <w:footnote w:id="3">
    <w:p w14:paraId="4B470D25" w14:textId="77777777" w:rsidR="001845DE" w:rsidRPr="00AD0DE7"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https://elections.europa.eu/fr/</w:t>
        </w:r>
      </w:hyperlink>
      <w:r>
        <w:rPr>
          <w:rFonts w:ascii="Times New Roman" w:hAnsi="Times New Roman"/>
        </w:rPr>
        <w:t xml:space="preserve"> </w:t>
      </w:r>
    </w:p>
  </w:footnote>
  <w:footnote w:id="4">
    <w:p w14:paraId="7FD02133" w14:textId="77777777" w:rsidR="001845DE" w:rsidRPr="00AD0DE7"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https://commission.europa.eu/publications/documents-defence-democracy_en?prefLang=fr</w:t>
        </w:r>
      </w:hyperlink>
      <w:r>
        <w:rPr>
          <w:rFonts w:ascii="Times New Roman" w:hAnsi="Times New Roman"/>
        </w:rPr>
        <w:t xml:space="preserve"> </w:t>
      </w:r>
    </w:p>
  </w:footnote>
  <w:footnote w:id="5">
    <w:p w14:paraId="6E969CC8" w14:textId="77777777" w:rsidR="001845DE" w:rsidRPr="00101279"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4" w:history="1">
        <w:r>
          <w:rPr>
            <w:rStyle w:val="Hyperlink"/>
            <w:rFonts w:ascii="Times New Roman" w:hAnsi="Times New Roman"/>
          </w:rPr>
          <w:t>https://eur-lex.europa.eu/legal-content/FR/TXT/?uri=CELEX%3A32023H2829</w:t>
        </w:r>
      </w:hyperlink>
      <w:r>
        <w:rPr>
          <w:rFonts w:ascii="Times New Roman" w:hAnsi="Times New Roman"/>
        </w:rPr>
        <w:t xml:space="preserve"> </w:t>
      </w:r>
    </w:p>
  </w:footnote>
  <w:footnote w:id="6">
    <w:p w14:paraId="23099D38" w14:textId="77777777" w:rsidR="001845DE" w:rsidRPr="00AD0DE7"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5" w:history="1">
        <w:r>
          <w:rPr>
            <w:rStyle w:val="Hyperlink"/>
            <w:rFonts w:ascii="Times New Roman" w:hAnsi="Times New Roman"/>
          </w:rPr>
          <w:t>https://commission.europa.eu/publications/reinforcing-democracy-and-integrity-elections-all-documents_en?prefLang=fr</w:t>
        </w:r>
      </w:hyperlink>
      <w:r>
        <w:rPr>
          <w:rFonts w:ascii="Times New Roman" w:hAnsi="Times New Roman"/>
        </w:rPr>
        <w:t xml:space="preserve"> </w:t>
      </w:r>
    </w:p>
  </w:footnote>
  <w:footnote w:id="7">
    <w:p w14:paraId="42E12ADC" w14:textId="77777777" w:rsidR="001845DE" w:rsidRPr="00AD0DE7"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6" w:history="1">
        <w:r>
          <w:rPr>
            <w:rStyle w:val="Hyperlink"/>
            <w:rFonts w:ascii="Times New Roman" w:hAnsi="Times New Roman"/>
          </w:rPr>
          <w:t>https://commission.europa.eu/publications/guide-good-electoral-practices-member-states-addressing-participation-citizens-disabilities_en?prefLang=fr</w:t>
        </w:r>
      </w:hyperlink>
      <w:r>
        <w:rPr>
          <w:rFonts w:ascii="Times New Roman" w:hAnsi="Times New Roman"/>
        </w:rPr>
        <w:t xml:space="preserve"> </w:t>
      </w:r>
    </w:p>
  </w:footnote>
  <w:footnote w:id="8">
    <w:p w14:paraId="533618A1" w14:textId="77777777" w:rsidR="001845DE" w:rsidRPr="00AD0DE7" w:rsidRDefault="001845DE" w:rsidP="001845DE">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7" w:history="1">
        <w:r>
          <w:rPr>
            <w:rStyle w:val="Hyperlink"/>
            <w:rFonts w:ascii="Times New Roman" w:hAnsi="Times New Roman"/>
          </w:rPr>
          <w:t>https://eur-lex.europa.eu/legal-content/FR/TXT/?toc=OJ%3AL%3A2022%3A277%3ATOC&amp;uri=uriserv%3AOJ.L_.2022.277.01.0001.01.FRA</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7A6E" w14:textId="77777777" w:rsidR="00C807CC" w:rsidRDefault="00C80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3B78" w14:textId="77777777" w:rsidR="00C807CC" w:rsidRDefault="00C80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C0B" w14:textId="77777777" w:rsidR="00C807CC" w:rsidRDefault="00C80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73D76BD"/>
    <w:multiLevelType w:val="hybridMultilevel"/>
    <w:tmpl w:val="F886C5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9"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D8532D7"/>
    <w:multiLevelType w:val="hybridMultilevel"/>
    <w:tmpl w:val="C66A48E8"/>
    <w:lvl w:ilvl="0" w:tplc="FFFFFFFF">
      <w:start w:val="1"/>
      <w:numFmt w:val="decimal"/>
      <w:lvlText w:val="%1."/>
      <w:lvlJc w:val="left"/>
      <w:pPr>
        <w:ind w:left="720" w:hanging="720"/>
      </w:pPr>
      <w:rPr>
        <w:rFonts w:hint="default"/>
        <w:b/>
        <w:i w:val="0"/>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418867041">
    <w:abstractNumId w:val="6"/>
  </w:num>
  <w:num w:numId="2" w16cid:durableId="1041201968">
    <w:abstractNumId w:val="1"/>
  </w:num>
  <w:num w:numId="3" w16cid:durableId="1328360106">
    <w:abstractNumId w:val="31"/>
  </w:num>
  <w:num w:numId="4" w16cid:durableId="391923605">
    <w:abstractNumId w:val="13"/>
  </w:num>
  <w:num w:numId="5" w16cid:durableId="1274291741">
    <w:abstractNumId w:val="25"/>
  </w:num>
  <w:num w:numId="6" w16cid:durableId="1815872576">
    <w:abstractNumId w:val="10"/>
  </w:num>
  <w:num w:numId="7" w16cid:durableId="1634822002">
    <w:abstractNumId w:val="5"/>
  </w:num>
  <w:num w:numId="8" w16cid:durableId="1122109669">
    <w:abstractNumId w:val="16"/>
  </w:num>
  <w:num w:numId="9" w16cid:durableId="207229998">
    <w:abstractNumId w:val="30"/>
  </w:num>
  <w:num w:numId="10" w16cid:durableId="695347775">
    <w:abstractNumId w:val="21"/>
  </w:num>
  <w:num w:numId="11" w16cid:durableId="1349259601">
    <w:abstractNumId w:val="23"/>
  </w:num>
  <w:num w:numId="12" w16cid:durableId="1356227823">
    <w:abstractNumId w:val="11"/>
  </w:num>
  <w:num w:numId="13" w16cid:durableId="1286306002">
    <w:abstractNumId w:val="17"/>
  </w:num>
  <w:num w:numId="14" w16cid:durableId="2093579006">
    <w:abstractNumId w:val="26"/>
  </w:num>
  <w:num w:numId="15" w16cid:durableId="1374427667">
    <w:abstractNumId w:val="15"/>
  </w:num>
  <w:num w:numId="16" w16cid:durableId="1138690386">
    <w:abstractNumId w:val="33"/>
  </w:num>
  <w:num w:numId="17" w16cid:durableId="373041363">
    <w:abstractNumId w:val="29"/>
  </w:num>
  <w:num w:numId="18" w16cid:durableId="467013382">
    <w:abstractNumId w:val="19"/>
  </w:num>
  <w:num w:numId="19" w16cid:durableId="259409586">
    <w:abstractNumId w:val="20"/>
  </w:num>
  <w:num w:numId="20" w16cid:durableId="1425305311">
    <w:abstractNumId w:val="24"/>
  </w:num>
  <w:num w:numId="21" w16cid:durableId="1627587620">
    <w:abstractNumId w:val="3"/>
  </w:num>
  <w:num w:numId="22" w16cid:durableId="664550705">
    <w:abstractNumId w:val="4"/>
  </w:num>
  <w:num w:numId="23" w16cid:durableId="240912412">
    <w:abstractNumId w:val="18"/>
  </w:num>
  <w:num w:numId="24" w16cid:durableId="2143308629">
    <w:abstractNumId w:val="27"/>
  </w:num>
  <w:num w:numId="25" w16cid:durableId="1735009460">
    <w:abstractNumId w:val="9"/>
  </w:num>
  <w:num w:numId="26" w16cid:durableId="1844318986">
    <w:abstractNumId w:val="28"/>
  </w:num>
  <w:num w:numId="27" w16cid:durableId="551960707">
    <w:abstractNumId w:val="8"/>
  </w:num>
  <w:num w:numId="28" w16cid:durableId="1778208402">
    <w:abstractNumId w:val="2"/>
  </w:num>
  <w:num w:numId="29" w16cid:durableId="1424574180">
    <w:abstractNumId w:val="14"/>
  </w:num>
  <w:num w:numId="30" w16cid:durableId="198975567">
    <w:abstractNumId w:val="22"/>
  </w:num>
  <w:num w:numId="31" w16cid:durableId="1307777883">
    <w:abstractNumId w:val="31"/>
  </w:num>
  <w:num w:numId="32" w16cid:durableId="962006879">
    <w:abstractNumId w:val="12"/>
  </w:num>
  <w:num w:numId="33" w16cid:durableId="1885487759">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ADC"/>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512"/>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7D0"/>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D91"/>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98B"/>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62"/>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2B91"/>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84"/>
    <w:rsid w:val="000E699A"/>
    <w:rsid w:val="000E6FA8"/>
    <w:rsid w:val="000E702D"/>
    <w:rsid w:val="000E719A"/>
    <w:rsid w:val="000E72A8"/>
    <w:rsid w:val="000E7303"/>
    <w:rsid w:val="000E75D1"/>
    <w:rsid w:val="000E7C9D"/>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29"/>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78"/>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6F"/>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2F"/>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D9F"/>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687"/>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77E"/>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9FE"/>
    <w:rsid w:val="00183A22"/>
    <w:rsid w:val="00183EF3"/>
    <w:rsid w:val="001843EF"/>
    <w:rsid w:val="001844BB"/>
    <w:rsid w:val="001844C3"/>
    <w:rsid w:val="001845DE"/>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84C"/>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6FE"/>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1AD"/>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49"/>
    <w:rsid w:val="001C58C0"/>
    <w:rsid w:val="001C5C8A"/>
    <w:rsid w:val="001C6197"/>
    <w:rsid w:val="001C680C"/>
    <w:rsid w:val="001C68EB"/>
    <w:rsid w:val="001C6B35"/>
    <w:rsid w:val="001C6E36"/>
    <w:rsid w:val="001C6ECF"/>
    <w:rsid w:val="001C6FA2"/>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075"/>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43D"/>
    <w:rsid w:val="0023356F"/>
    <w:rsid w:val="00233656"/>
    <w:rsid w:val="00233749"/>
    <w:rsid w:val="002338E8"/>
    <w:rsid w:val="00233B5C"/>
    <w:rsid w:val="00233E26"/>
    <w:rsid w:val="00233E5C"/>
    <w:rsid w:val="00233ED8"/>
    <w:rsid w:val="00233FD6"/>
    <w:rsid w:val="002346D9"/>
    <w:rsid w:val="00234E56"/>
    <w:rsid w:val="00234EB2"/>
    <w:rsid w:val="00234FF4"/>
    <w:rsid w:val="0023552E"/>
    <w:rsid w:val="00235968"/>
    <w:rsid w:val="00235B35"/>
    <w:rsid w:val="00235BFB"/>
    <w:rsid w:val="00235D31"/>
    <w:rsid w:val="00236008"/>
    <w:rsid w:val="0023611D"/>
    <w:rsid w:val="00236124"/>
    <w:rsid w:val="00236259"/>
    <w:rsid w:val="00236570"/>
    <w:rsid w:val="00236722"/>
    <w:rsid w:val="002367F0"/>
    <w:rsid w:val="00237015"/>
    <w:rsid w:val="00237507"/>
    <w:rsid w:val="0023752E"/>
    <w:rsid w:val="0023757C"/>
    <w:rsid w:val="00237677"/>
    <w:rsid w:val="00237701"/>
    <w:rsid w:val="0023778A"/>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BC2"/>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63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06"/>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65B"/>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7E9"/>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C2C"/>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2EF4"/>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6D2"/>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CEA"/>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0F5"/>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2B1"/>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521"/>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30"/>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8FA"/>
    <w:rsid w:val="0037799A"/>
    <w:rsid w:val="00377A24"/>
    <w:rsid w:val="00377A50"/>
    <w:rsid w:val="00377E52"/>
    <w:rsid w:val="003800DD"/>
    <w:rsid w:val="0038026E"/>
    <w:rsid w:val="0038028B"/>
    <w:rsid w:val="003805D6"/>
    <w:rsid w:val="003806E4"/>
    <w:rsid w:val="00380AC1"/>
    <w:rsid w:val="00380E79"/>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3F"/>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1FF5"/>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067"/>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1E3"/>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3FF"/>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3F"/>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06"/>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171"/>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E5A"/>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EA8"/>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9E4"/>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9EA"/>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427"/>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CDF"/>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D13"/>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862"/>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0FC4"/>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821"/>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EA4"/>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625"/>
    <w:rsid w:val="005419B3"/>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1F"/>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28"/>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88C"/>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1B8"/>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303"/>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DEF"/>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E16"/>
    <w:rsid w:val="00631FF6"/>
    <w:rsid w:val="00632021"/>
    <w:rsid w:val="0063274C"/>
    <w:rsid w:val="00632A39"/>
    <w:rsid w:val="00632B1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531"/>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9A"/>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447"/>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876"/>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7B7"/>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2E5D"/>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421"/>
    <w:rsid w:val="006D077B"/>
    <w:rsid w:val="006D0974"/>
    <w:rsid w:val="006D09D2"/>
    <w:rsid w:val="006D0A72"/>
    <w:rsid w:val="006D0C8A"/>
    <w:rsid w:val="006D0D92"/>
    <w:rsid w:val="006D121E"/>
    <w:rsid w:val="006D13F9"/>
    <w:rsid w:val="006D176E"/>
    <w:rsid w:val="006D1BD4"/>
    <w:rsid w:val="006D1D72"/>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3CF"/>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A"/>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5F41"/>
    <w:rsid w:val="006F604B"/>
    <w:rsid w:val="006F6337"/>
    <w:rsid w:val="006F6502"/>
    <w:rsid w:val="006F6847"/>
    <w:rsid w:val="006F6A32"/>
    <w:rsid w:val="006F7262"/>
    <w:rsid w:val="006F73B3"/>
    <w:rsid w:val="006F73B4"/>
    <w:rsid w:val="006F73FC"/>
    <w:rsid w:val="006F7494"/>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C3"/>
    <w:rsid w:val="007129D9"/>
    <w:rsid w:val="00712C57"/>
    <w:rsid w:val="00712F2D"/>
    <w:rsid w:val="00713515"/>
    <w:rsid w:val="00713587"/>
    <w:rsid w:val="0071385C"/>
    <w:rsid w:val="007138DE"/>
    <w:rsid w:val="00713970"/>
    <w:rsid w:val="00714A31"/>
    <w:rsid w:val="00714A43"/>
    <w:rsid w:val="007150B0"/>
    <w:rsid w:val="007150DB"/>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7D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51"/>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570"/>
    <w:rsid w:val="00785A27"/>
    <w:rsid w:val="00785F6D"/>
    <w:rsid w:val="0078660B"/>
    <w:rsid w:val="00786A73"/>
    <w:rsid w:val="00786ACC"/>
    <w:rsid w:val="00786B12"/>
    <w:rsid w:val="00786CE9"/>
    <w:rsid w:val="00786D0E"/>
    <w:rsid w:val="00786D77"/>
    <w:rsid w:val="007871CD"/>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01"/>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6EE"/>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3FA"/>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35"/>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27C"/>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3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192"/>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5FC3"/>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8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719"/>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192"/>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DA"/>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6B0"/>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4FAF"/>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78F"/>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52"/>
    <w:rsid w:val="00934F9A"/>
    <w:rsid w:val="009353B9"/>
    <w:rsid w:val="00935410"/>
    <w:rsid w:val="009355EC"/>
    <w:rsid w:val="009355F5"/>
    <w:rsid w:val="00935B2B"/>
    <w:rsid w:val="00935B74"/>
    <w:rsid w:val="00935F85"/>
    <w:rsid w:val="00936658"/>
    <w:rsid w:val="00936C68"/>
    <w:rsid w:val="00936CCE"/>
    <w:rsid w:val="00936CF4"/>
    <w:rsid w:val="00936D6F"/>
    <w:rsid w:val="00936E80"/>
    <w:rsid w:val="009370A1"/>
    <w:rsid w:val="00937175"/>
    <w:rsid w:val="00937760"/>
    <w:rsid w:val="00937768"/>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B40"/>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EFC"/>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04D"/>
    <w:rsid w:val="009B33C7"/>
    <w:rsid w:val="009B3615"/>
    <w:rsid w:val="009B3B3A"/>
    <w:rsid w:val="009B4268"/>
    <w:rsid w:val="009B433D"/>
    <w:rsid w:val="009B46AF"/>
    <w:rsid w:val="009B4797"/>
    <w:rsid w:val="009B47BE"/>
    <w:rsid w:val="009B4CFD"/>
    <w:rsid w:val="009B4D72"/>
    <w:rsid w:val="009B4DAD"/>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6D"/>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23"/>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5EA"/>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24"/>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30B"/>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2F6B"/>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38"/>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436"/>
    <w:rsid w:val="00A91BCE"/>
    <w:rsid w:val="00A91E60"/>
    <w:rsid w:val="00A9216C"/>
    <w:rsid w:val="00A92480"/>
    <w:rsid w:val="00A928CC"/>
    <w:rsid w:val="00A92B1E"/>
    <w:rsid w:val="00A92DBF"/>
    <w:rsid w:val="00A92EDC"/>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17"/>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0DE7"/>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274"/>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852"/>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47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0"/>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3F06"/>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0A4"/>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883"/>
    <w:rsid w:val="00B91D5A"/>
    <w:rsid w:val="00B91F97"/>
    <w:rsid w:val="00B91FCA"/>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4A"/>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4A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298"/>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467"/>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31"/>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730"/>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777"/>
    <w:rsid w:val="00BF198A"/>
    <w:rsid w:val="00BF19BB"/>
    <w:rsid w:val="00BF1AF8"/>
    <w:rsid w:val="00BF1E27"/>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5C98"/>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6D3"/>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7CC"/>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5C0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7A0"/>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BEA"/>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1AE"/>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506"/>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945"/>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5CC"/>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664"/>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BD2"/>
    <w:rsid w:val="00D40CD6"/>
    <w:rsid w:val="00D40CE6"/>
    <w:rsid w:val="00D40E31"/>
    <w:rsid w:val="00D40F7B"/>
    <w:rsid w:val="00D412B0"/>
    <w:rsid w:val="00D417F7"/>
    <w:rsid w:val="00D41A0D"/>
    <w:rsid w:val="00D41BC7"/>
    <w:rsid w:val="00D41BE4"/>
    <w:rsid w:val="00D41C06"/>
    <w:rsid w:val="00D41C33"/>
    <w:rsid w:val="00D41D0D"/>
    <w:rsid w:val="00D41FF4"/>
    <w:rsid w:val="00D424F9"/>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6D2"/>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A73"/>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9E5"/>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DC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825"/>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06"/>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3E"/>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AB"/>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3F3D"/>
    <w:rsid w:val="00EC4B5E"/>
    <w:rsid w:val="00EC4F5E"/>
    <w:rsid w:val="00EC4F76"/>
    <w:rsid w:val="00EC4F80"/>
    <w:rsid w:val="00EC4FF8"/>
    <w:rsid w:val="00EC52EE"/>
    <w:rsid w:val="00EC56A0"/>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9A"/>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75C"/>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6D4"/>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C64"/>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5F4"/>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46B"/>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2F45"/>
    <w:rsid w:val="00F53083"/>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A97"/>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76D"/>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C3C"/>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0E09"/>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6C2"/>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44"/>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805"/>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071"/>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2C"/>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BED5BBE"/>
    <w:rsid w:val="1FBE7808"/>
    <w:rsid w:val="1FE83759"/>
    <w:rsid w:val="30FC7F84"/>
    <w:rsid w:val="355DC440"/>
    <w:rsid w:val="36804041"/>
    <w:rsid w:val="46C1467F"/>
    <w:rsid w:val="47E6F84B"/>
    <w:rsid w:val="50493EEC"/>
    <w:rsid w:val="6E9A1C05"/>
    <w:rsid w:val="70F3C0D0"/>
    <w:rsid w:val="75A3BCF0"/>
    <w:rsid w:val="7E32F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1397"/>
  <w15:docId w15:val="{0D129BBA-F636-4578-9750-C674A3CE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qForma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CharCharChar0">
    <w:name w:val="Char Char Char0"/>
    <w:basedOn w:val="Normal"/>
    <w:uiPriority w:val="99"/>
    <w:rsid w:val="003340F5"/>
    <w:pPr>
      <w:spacing w:after="160" w:line="240" w:lineRule="exact"/>
      <w:jc w:val="left"/>
    </w:pPr>
    <w:rPr>
      <w:rFonts w:ascii="Tahoma" w:hAnsi="Tahoma"/>
      <w:sz w:val="20"/>
      <w:lang w:eastAsia="en-US"/>
    </w:rPr>
  </w:style>
  <w:style w:type="paragraph" w:customStyle="1" w:styleId="ZnakZnak0">
    <w:name w:val="Znak Znak0"/>
    <w:basedOn w:val="Normal"/>
    <w:rsid w:val="003340F5"/>
    <w:pPr>
      <w:spacing w:after="0" w:line="360" w:lineRule="auto"/>
    </w:pPr>
    <w:rPr>
      <w:rFonts w:ascii="Verdana" w:hAnsi="Verdana"/>
      <w:sz w:val="20"/>
      <w:lang w:eastAsia="pl-PL"/>
    </w:rPr>
  </w:style>
  <w:style w:type="character" w:customStyle="1" w:styleId="normaltextrun">
    <w:name w:val="normaltextrun"/>
    <w:basedOn w:val="DefaultParagraphFont"/>
    <w:rsid w:val="00103B78"/>
  </w:style>
  <w:style w:type="character" w:customStyle="1" w:styleId="superscript">
    <w:name w:val="superscript"/>
    <w:basedOn w:val="DefaultParagraphFont"/>
    <w:rsid w:val="00103B78"/>
  </w:style>
  <w:style w:type="character" w:styleId="UnresolvedMention">
    <w:name w:val="Unresolved Mention"/>
    <w:basedOn w:val="DefaultParagraphFont"/>
    <w:uiPriority w:val="99"/>
    <w:semiHidden/>
    <w:unhideWhenUsed/>
    <w:rsid w:val="00266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5184">
      <w:bodyDiv w:val="1"/>
      <w:marLeft w:val="0"/>
      <w:marRight w:val="0"/>
      <w:marTop w:val="0"/>
      <w:marBottom w:val="0"/>
      <w:divBdr>
        <w:top w:val="none" w:sz="0" w:space="0" w:color="auto"/>
        <w:left w:val="none" w:sz="0" w:space="0" w:color="auto"/>
        <w:bottom w:val="none" w:sz="0" w:space="0" w:color="auto"/>
        <w:right w:val="none" w:sz="0" w:space="0" w:color="auto"/>
      </w:divBdr>
      <w:divsChild>
        <w:div w:id="1258712058">
          <w:marLeft w:val="0"/>
          <w:marRight w:val="0"/>
          <w:marTop w:val="0"/>
          <w:marBottom w:val="0"/>
          <w:divBdr>
            <w:top w:val="none" w:sz="0" w:space="0" w:color="auto"/>
            <w:left w:val="none" w:sz="0" w:space="0" w:color="auto"/>
            <w:bottom w:val="none" w:sz="0" w:space="0" w:color="auto"/>
            <w:right w:val="none" w:sz="0" w:space="0" w:color="auto"/>
          </w:divBdr>
          <w:divsChild>
            <w:div w:id="775558661">
              <w:marLeft w:val="0"/>
              <w:marRight w:val="0"/>
              <w:marTop w:val="0"/>
              <w:marBottom w:val="0"/>
              <w:divBdr>
                <w:top w:val="none" w:sz="0" w:space="0" w:color="auto"/>
                <w:left w:val="none" w:sz="0" w:space="0" w:color="auto"/>
                <w:bottom w:val="none" w:sz="0" w:space="0" w:color="auto"/>
                <w:right w:val="none" w:sz="0" w:space="0" w:color="auto"/>
              </w:divBdr>
              <w:divsChild>
                <w:div w:id="21376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4856">
          <w:marLeft w:val="0"/>
          <w:marRight w:val="0"/>
          <w:marTop w:val="0"/>
          <w:marBottom w:val="0"/>
          <w:divBdr>
            <w:top w:val="none" w:sz="0" w:space="0" w:color="auto"/>
            <w:left w:val="none" w:sz="0" w:space="0" w:color="auto"/>
            <w:bottom w:val="none" w:sz="0" w:space="0" w:color="auto"/>
            <w:right w:val="none" w:sz="0" w:space="0" w:color="auto"/>
          </w:divBdr>
          <w:divsChild>
            <w:div w:id="350451176">
              <w:marLeft w:val="0"/>
              <w:marRight w:val="0"/>
              <w:marTop w:val="0"/>
              <w:marBottom w:val="0"/>
              <w:divBdr>
                <w:top w:val="none" w:sz="0" w:space="0" w:color="auto"/>
                <w:left w:val="none" w:sz="0" w:space="0" w:color="auto"/>
                <w:bottom w:val="none" w:sz="0" w:space="0" w:color="auto"/>
                <w:right w:val="none" w:sz="0" w:space="0" w:color="auto"/>
              </w:divBdr>
              <w:divsChild>
                <w:div w:id="523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documents-defence-democracy_en?prefLang=fr" TargetMode="External"/><Relationship Id="rId7" Type="http://schemas.openxmlformats.org/officeDocument/2006/relationships/hyperlink" Target="https://eur-lex.europa.eu/legal-content/FR/TXT/?toc=OJ%3AL%3A2022%3A277%3ATOC&amp;uri=uriserv%3AOJ.L_.2022.277.01.0001.01.FRA" TargetMode="External"/><Relationship Id="rId2" Type="http://schemas.openxmlformats.org/officeDocument/2006/relationships/hyperlink" Target="https://elections.europa.eu/fr/" TargetMode="External"/><Relationship Id="rId1" Type="http://schemas.openxmlformats.org/officeDocument/2006/relationships/hyperlink" Target="https://commission.europa.eu/document/download/c0441a72-c5c0-40d0-900f-c8af7d9b1a04_fr?filename=Guide%20to%20EU%20citizenship_FR.pdf" TargetMode="External"/><Relationship Id="rId6" Type="http://schemas.openxmlformats.org/officeDocument/2006/relationships/hyperlink" Target="https://commission.europa.eu/publications/guide-good-electoral-practices-member-states-addressing-participation-citizens-disabilities_en?prefLang=fr" TargetMode="External"/><Relationship Id="rId5" Type="http://schemas.openxmlformats.org/officeDocument/2006/relationships/hyperlink" Target="https://commission.europa.eu/publications/reinforcing-democracy-and-integrity-elections-all-documents_en?prefLang=fr" TargetMode="External"/><Relationship Id="rId4" Type="http://schemas.openxmlformats.org/officeDocument/2006/relationships/hyperlink" Target="https://eur-lex.europa.eu/legal-content/FR/TXT/?uri=CELEX%3A32023H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F3F3-08FC-4B50-9684-3EE93939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7</Pages>
  <Words>3653</Words>
  <Characters>20714</Characters>
  <Application>Microsoft Office Word</Application>
  <DocSecurity>0</DocSecurity>
  <PresentationFormat>Microsoft Word 8.0b</PresentationFormat>
  <Lines>295</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DELBAER Gerda (SG)</cp:lastModifiedBy>
  <cp:revision>2</cp:revision>
  <cp:lastPrinted>2017-11-24T02:32:00Z</cp:lastPrinted>
  <dcterms:created xsi:type="dcterms:W3CDTF">2024-05-22T12:58:00Z</dcterms:created>
  <dcterms:modified xsi:type="dcterms:W3CDTF">2024-05-22T12:58:00Z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2024-01-15T15:35:21Z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0a115a68-c859-4b1e-a225-6b1843bf4c83</vt:lpwstr>
  </property>
  <property fmtid="{D5CDD505-2E9C-101B-9397-08002B2CF9AE}" pid="19" name="MSIP_Label_6bd9ddd1-4d20-43f6-abfa-fc3c07406f94_ContentBits">
    <vt:lpwstr>0</vt:lpwstr>
  </property>
</Properties>
</file>