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A7D2" w14:textId="2CFD79B8" w:rsidR="00463314" w:rsidRPr="00D30F4A" w:rsidRDefault="00463314" w:rsidP="00A41540">
      <w:pPr>
        <w:spacing w:after="600" w:line="240" w:lineRule="auto"/>
        <w:jc w:val="center"/>
        <w:rPr>
          <w:rFonts w:ascii="Times New Roman" w:hAnsi="Times New Roman" w:cs="Times New Roman"/>
          <w:sz w:val="24"/>
          <w:szCs w:val="24"/>
        </w:rPr>
      </w:pPr>
      <w:bookmarkStart w:id="0" w:name="_Hlk161146001"/>
      <w:r>
        <w:rPr>
          <w:rFonts w:ascii="Times New Roman" w:hAnsi="Times New Roman"/>
          <w:b/>
          <w:sz w:val="24"/>
        </w:rPr>
        <w:t xml:space="preserve">Suite donnée à la résolution non législative du Parlement européen sur </w:t>
      </w:r>
      <w:bookmarkStart w:id="1" w:name="_Hlk161145922"/>
      <w:r>
        <w:rPr>
          <w:rFonts w:ascii="Times New Roman" w:hAnsi="Times New Roman"/>
          <w:b/>
          <w:sz w:val="24"/>
        </w:rPr>
        <w:t>la mise en œuvre de l’accord économique et commercial global (AECG) entre l'Union européenne et le Canada</w:t>
      </w:r>
      <w:bookmarkEnd w:id="1"/>
    </w:p>
    <w:p w14:paraId="22F2FBA2" w14:textId="78892DC6" w:rsidR="00463314" w:rsidRPr="00A41540" w:rsidRDefault="00463314" w:rsidP="00A41540">
      <w:pPr>
        <w:pStyle w:val="ListParagraph"/>
        <w:numPr>
          <w:ilvl w:val="0"/>
          <w:numId w:val="1"/>
        </w:numPr>
        <w:spacing w:after="240" w:line="240" w:lineRule="auto"/>
        <w:ind w:left="567" w:hanging="567"/>
        <w:contextualSpacing w:val="0"/>
        <w:rPr>
          <w:rFonts w:ascii="Times New Roman" w:eastAsiaTheme="minorEastAsia" w:hAnsi="Times New Roman" w:cs="Times New Roman"/>
          <w:sz w:val="24"/>
          <w:szCs w:val="24"/>
        </w:rPr>
      </w:pPr>
      <w:r>
        <w:rPr>
          <w:rFonts w:ascii="Times New Roman" w:hAnsi="Times New Roman"/>
          <w:b/>
          <w:sz w:val="24"/>
        </w:rPr>
        <w:t xml:space="preserve">Rapporteur: </w:t>
      </w:r>
      <w:r>
        <w:rPr>
          <w:rFonts w:ascii="Times New Roman" w:hAnsi="Times New Roman"/>
          <w:sz w:val="24"/>
        </w:rPr>
        <w:t>Javier MORENO SÁNCHEZ (S&amp;D / ES)</w:t>
      </w:r>
    </w:p>
    <w:p w14:paraId="0E9D62F9" w14:textId="77BF7117" w:rsidR="00463314" w:rsidRPr="00D30F4A" w:rsidRDefault="00463314" w:rsidP="00A41540">
      <w:pPr>
        <w:pStyle w:val="ListParagraph"/>
        <w:numPr>
          <w:ilvl w:val="0"/>
          <w:numId w:val="1"/>
        </w:numPr>
        <w:spacing w:after="240" w:line="240" w:lineRule="auto"/>
        <w:ind w:left="567" w:hanging="567"/>
        <w:contextualSpacing w:val="0"/>
        <w:rPr>
          <w:rFonts w:ascii="Times New Roman" w:eastAsiaTheme="minorEastAsia" w:hAnsi="Times New Roman" w:cs="Times New Roman"/>
          <w:sz w:val="24"/>
          <w:szCs w:val="24"/>
        </w:rPr>
      </w:pPr>
      <w:r>
        <w:rPr>
          <w:rFonts w:ascii="Times New Roman" w:hAnsi="Times New Roman"/>
          <w:b/>
          <w:sz w:val="24"/>
        </w:rPr>
        <w:t>Numéros de référence</w:t>
      </w:r>
      <w:r>
        <w:rPr>
          <w:rFonts w:ascii="Times New Roman" w:hAnsi="Times New Roman"/>
          <w:sz w:val="24"/>
        </w:rPr>
        <w:t>: 2023/2001 (INI) / A9-0400/2023 / P9_TA (2024)0026</w:t>
      </w:r>
    </w:p>
    <w:p w14:paraId="349C6A43" w14:textId="7D25F43F" w:rsidR="00463314" w:rsidRPr="00D30F4A" w:rsidRDefault="00463314" w:rsidP="00A41540">
      <w:pPr>
        <w:pStyle w:val="ListParagraph"/>
        <w:numPr>
          <w:ilvl w:val="0"/>
          <w:numId w:val="1"/>
        </w:numPr>
        <w:spacing w:after="240" w:line="240" w:lineRule="auto"/>
        <w:ind w:left="567" w:hanging="567"/>
        <w:contextualSpacing w:val="0"/>
        <w:rPr>
          <w:rFonts w:ascii="Times New Roman" w:eastAsiaTheme="minorEastAsia" w:hAnsi="Times New Roman" w:cs="Times New Roman"/>
          <w:sz w:val="24"/>
          <w:szCs w:val="24"/>
        </w:rPr>
      </w:pPr>
      <w:r>
        <w:rPr>
          <w:rFonts w:ascii="Times New Roman" w:hAnsi="Times New Roman"/>
          <w:b/>
          <w:sz w:val="24"/>
        </w:rPr>
        <w:t xml:space="preserve">Date d'adoption de la résolution: </w:t>
      </w:r>
      <w:r>
        <w:rPr>
          <w:rFonts w:ascii="Times New Roman" w:hAnsi="Times New Roman"/>
          <w:sz w:val="24"/>
        </w:rPr>
        <w:t>17 janvier 2024</w:t>
      </w:r>
    </w:p>
    <w:p w14:paraId="33BE8D61" w14:textId="02819792" w:rsidR="00463314" w:rsidRPr="00D30F4A" w:rsidRDefault="00463314" w:rsidP="00A41540">
      <w:pPr>
        <w:pStyle w:val="ListParagraph"/>
        <w:numPr>
          <w:ilvl w:val="0"/>
          <w:numId w:val="1"/>
        </w:numPr>
        <w:spacing w:after="240" w:line="240" w:lineRule="auto"/>
        <w:ind w:left="567" w:hanging="567"/>
        <w:contextualSpacing w:val="0"/>
        <w:rPr>
          <w:rFonts w:ascii="Times New Roman" w:eastAsiaTheme="minorEastAsia" w:hAnsi="Times New Roman" w:cs="Times New Roman"/>
          <w:b/>
          <w:bCs/>
          <w:sz w:val="24"/>
          <w:szCs w:val="24"/>
        </w:rPr>
      </w:pPr>
      <w:r>
        <w:rPr>
          <w:rFonts w:ascii="Times New Roman" w:hAnsi="Times New Roman"/>
          <w:b/>
          <w:sz w:val="24"/>
        </w:rPr>
        <w:t xml:space="preserve">Commission parlementaire compétente: </w:t>
      </w:r>
      <w:r>
        <w:rPr>
          <w:rFonts w:ascii="Times New Roman" w:hAnsi="Times New Roman"/>
          <w:sz w:val="24"/>
        </w:rPr>
        <w:t>commission du commerce international (INTA)</w:t>
      </w:r>
    </w:p>
    <w:p w14:paraId="06A9BA19" w14:textId="1B6969AD" w:rsidR="00463314" w:rsidRPr="00D30F4A" w:rsidRDefault="00463314" w:rsidP="00A41540">
      <w:pPr>
        <w:pStyle w:val="ListParagraph"/>
        <w:numPr>
          <w:ilvl w:val="0"/>
          <w:numId w:val="1"/>
        </w:numPr>
        <w:spacing w:after="240" w:line="240" w:lineRule="auto"/>
        <w:ind w:left="567" w:hanging="567"/>
        <w:contextualSpacing w:val="0"/>
        <w:jc w:val="both"/>
        <w:rPr>
          <w:rFonts w:ascii="Times New Roman" w:eastAsiaTheme="minorEastAsia" w:hAnsi="Times New Roman" w:cs="Times New Roman"/>
          <w:b/>
          <w:bCs/>
          <w:sz w:val="24"/>
          <w:szCs w:val="24"/>
        </w:rPr>
      </w:pPr>
      <w:r>
        <w:rPr>
          <w:rFonts w:ascii="Times New Roman" w:hAnsi="Times New Roman"/>
          <w:b/>
          <w:sz w:val="24"/>
        </w:rPr>
        <w:t>Analyse/évaluation succincte de la résolution et des demandes qu’elle contient:</w:t>
      </w:r>
    </w:p>
    <w:p w14:paraId="6B6B03B2" w14:textId="44BE01BE" w:rsidR="00D620C7" w:rsidRPr="00D30F4A" w:rsidRDefault="005135CA" w:rsidP="00A41540">
      <w:pPr>
        <w:spacing w:after="120" w:line="240" w:lineRule="auto"/>
        <w:jc w:val="both"/>
        <w:rPr>
          <w:rFonts w:ascii="Times New Roman" w:eastAsia="Times New Roman" w:hAnsi="Times New Roman" w:cs="Times New Roman"/>
          <w:sz w:val="24"/>
          <w:szCs w:val="24"/>
        </w:rPr>
      </w:pPr>
      <w:bookmarkStart w:id="2" w:name="_Hlk158905578"/>
      <w:r>
        <w:rPr>
          <w:rFonts w:ascii="Times New Roman" w:hAnsi="Times New Roman"/>
          <w:sz w:val="24"/>
        </w:rPr>
        <w:t>Dans sa résolution, le Parlement fait le point sur la mise en œuvre et l’impact de l’accord économique et commercial global (AECG) après six ans d’application provisoire. La résolution du Parlement est très positive dans son évaluation de l’AECG. Le Parlement souligne la contribution de l’AECG au renforcement de relations étroites, des échanges bilatéraux de biens et de services, ainsi que de la résilience de la chaîne d’approvisionnement entre l’Union européenne (UE) et le Canada, notamment dans le contexte géopolitique actuel et compte tenu du rôle important que joue le Canada en tant que partenaire et allié en ce qui concerne l’Ukraine et sa reconstruction future. En outre, le Parlement se félicite du partenariat stratégique UE-Canada sur les matières premières critiques dans le cadre de l’AECG, qui est pleinement conforme à la stratégie européenne en matière de sécurité économique.</w:t>
      </w:r>
    </w:p>
    <w:p w14:paraId="1C43BA12" w14:textId="6DA70A7D" w:rsidR="00D620C7" w:rsidRPr="00D30F4A" w:rsidRDefault="00784E32" w:rsidP="00A41540">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Au-delà de simples gains économiques, le Parlement note que, dans le cadre de l’AECG, de nouveaux emplois et de nouveaux débouchés commerciaux ont été créés de part et d’autre. À cet égard, le Parlement salue également les progrès réalisés en ce qui concerne l’accord de reconnaissance mutuelle (ARM) pour les qualifications professionnelles des architectes. Le Parlement se félicite des mesures prises pour soutenir les petites et moyennes entreprises (PME), telles que le lancement de la plateforme Access2Markets, qui ont permis à davantage de PME de bénéficier de l’AECG. Le Parlement souligne que les efforts doivent se poursuivre pour permettre aux PME de démarrer des échanges commerciaux et des investissements dans le cadre de l’AECG, notamment en facilitant leur internationalisation, et suggère la création, à l’avenir, d’un chapitre de l’AECG consacré aux PME. </w:t>
      </w:r>
    </w:p>
    <w:p w14:paraId="603CCFE1" w14:textId="2403C5EF" w:rsidR="00784E32" w:rsidRPr="00D30F4A" w:rsidRDefault="00D620C7" w:rsidP="00A41540">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En ce qui concerne le commerce et le développement durable (CDD), le Parlement se félicite des dispositions de l’AECG en matière de climat et d’environnement qui sont conformes au pacte vert pour l’Europe, ainsi qu’à l’alliance verte UE-Canada en tant qu’élément clé de la transition verte. En outre, le Parlement souligne l’importance du règlement des différends dans le cadre du chapitre sur le commerce et le développement durable et souligne le potentiel de modernisation de ce chapitre une fois que l’AECG aura été pleinement ratifié. </w:t>
      </w:r>
    </w:p>
    <w:p w14:paraId="1C1F5DF2" w14:textId="7A9235D6" w:rsidR="00D620C7" w:rsidRPr="00D30F4A" w:rsidRDefault="004E08E1" w:rsidP="00A41540">
      <w:pPr>
        <w:spacing w:after="120" w:line="240" w:lineRule="auto"/>
        <w:jc w:val="both"/>
        <w:rPr>
          <w:rFonts w:ascii="Times New Roman" w:eastAsia="Times New Roman" w:hAnsi="Times New Roman" w:cs="Times New Roman"/>
          <w:sz w:val="24"/>
          <w:szCs w:val="24"/>
        </w:rPr>
      </w:pPr>
      <w:r>
        <w:rPr>
          <w:rFonts w:ascii="Times New Roman" w:hAnsi="Times New Roman"/>
          <w:sz w:val="24"/>
        </w:rPr>
        <w:t>En ce qui concerne le commerce et l’égalité entre les hommes et les femmes, le Parlement se félicite de l’adoption d’une recommandation et d’un plan d’action dans le cadre de l’AECG. En outre, le Parlement demande à la Commission de publier des données ventilées par sexe sur l’AECG qui soient plus facilement accessibles.</w:t>
      </w:r>
    </w:p>
    <w:p w14:paraId="2F43B604" w14:textId="201BF101" w:rsidR="0034780D" w:rsidRPr="00D30F4A" w:rsidRDefault="0034780D" w:rsidP="00A41540">
      <w:pPr>
        <w:spacing w:after="120" w:line="240" w:lineRule="auto"/>
        <w:jc w:val="both"/>
        <w:rPr>
          <w:rFonts w:ascii="Times New Roman" w:eastAsia="Times New Roman" w:hAnsi="Times New Roman" w:cs="Times New Roman"/>
          <w:sz w:val="24"/>
          <w:szCs w:val="24"/>
        </w:rPr>
      </w:pPr>
      <w:r>
        <w:rPr>
          <w:rFonts w:ascii="Times New Roman" w:hAnsi="Times New Roman"/>
          <w:sz w:val="24"/>
        </w:rPr>
        <w:lastRenderedPageBreak/>
        <w:t xml:space="preserve">Le Parlement salue les efforts déployés pour associer activement un large éventail de parties prenantes, y compris des représentants des peuples autochtones, à la mise en œuvre et au suivi de l’AECG par l’intermédiaire des groupes consultatifs internes (GCI) et du forum de la société civile. Toutefois, le Parlement estime qu’il est nécessaire de définir d’autres mesures concrètes pour promouvoir la participation des acteurs de l’économie sociale et solidaire, ainsi que des petits agriculteurs et des consommateurs de part et d’autre de l’Atlantique. </w:t>
      </w:r>
    </w:p>
    <w:p w14:paraId="02B65303" w14:textId="5628599D" w:rsidR="00DC742F" w:rsidRPr="00D30F4A" w:rsidRDefault="00315DE5" w:rsidP="00A41540">
      <w:pPr>
        <w:spacing w:after="120" w:line="240" w:lineRule="auto"/>
        <w:jc w:val="both"/>
        <w:rPr>
          <w:rFonts w:ascii="Times New Roman" w:eastAsia="Times New Roman" w:hAnsi="Times New Roman" w:cs="Times New Roman"/>
          <w:sz w:val="24"/>
          <w:szCs w:val="24"/>
        </w:rPr>
      </w:pPr>
      <w:r>
        <w:rPr>
          <w:rFonts w:ascii="Times New Roman" w:hAnsi="Times New Roman"/>
          <w:sz w:val="24"/>
        </w:rPr>
        <w:t>En ce qui concerne les questions sanitaires et phytosanitaires (SPS), le Parlement se félicite de l’introduction de certificats d’exportation harmonisés de l’Union pour l’exportation de viandes fraîches de volaille depuis les États membres autorisés et demande que des progrès soient réalisés en ce qui concerne des certificats similaires pour les viandes transformées et les viandes ovines ou caprines, ainsi que les systèmes de traçabilité des produits de viande. En outre, le Parlement souligne qu’il importe que l’AECG applique le principe de régionalisation en ce qui concerne la production animale.</w:t>
      </w:r>
    </w:p>
    <w:p w14:paraId="7F27719C" w14:textId="26E13AF2" w:rsidR="009431CB" w:rsidRPr="00D30F4A" w:rsidRDefault="00315DE5" w:rsidP="00A41540">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Dans le cadre de sa coopération avec les autorités canadiennes, le Parlement invite en outre la Commission à accorder une attention particulière à la mise en œuvre de certaines dispositions, notamment (1) l’équivalence des normes en matière de bien-être animal et les garanties relatives à ces normes, (2) un système de gestion des contingents tarifaires transparent et flexible, (3) la protection des indications géographiques pour les titulaires de droits de l’Union au Canada, (4) le principe de précaution et (5) l’accès aux marchés publics. </w:t>
      </w:r>
    </w:p>
    <w:p w14:paraId="1889C3EE" w14:textId="6AF98183" w:rsidR="0012115A" w:rsidRDefault="00D620C7" w:rsidP="00A41540">
      <w:pPr>
        <w:spacing w:after="120" w:line="240" w:lineRule="auto"/>
        <w:jc w:val="both"/>
        <w:rPr>
          <w:rFonts w:ascii="Times New Roman" w:eastAsia="Times New Roman" w:hAnsi="Times New Roman" w:cs="Times New Roman"/>
          <w:sz w:val="24"/>
          <w:szCs w:val="24"/>
        </w:rPr>
      </w:pPr>
      <w:r>
        <w:rPr>
          <w:rFonts w:ascii="Times New Roman" w:hAnsi="Times New Roman"/>
          <w:sz w:val="24"/>
        </w:rPr>
        <w:t>Dans l’ensemble, le Parlement estime que l’AECG a eu une incidence positive depuis son application provisoire et invite les dix États membres de l’Union qui ne l’ont pas encore ratifié à le faire le plus rapidement possible.</w:t>
      </w:r>
    </w:p>
    <w:bookmarkEnd w:id="2"/>
    <w:p w14:paraId="0EEA035C" w14:textId="3607C7CC" w:rsidR="00463314" w:rsidRPr="00D30F4A" w:rsidRDefault="00463314" w:rsidP="00A41540">
      <w:pPr>
        <w:pStyle w:val="ListParagraph"/>
        <w:numPr>
          <w:ilvl w:val="0"/>
          <w:numId w:val="1"/>
        </w:numPr>
        <w:spacing w:after="240" w:line="240" w:lineRule="auto"/>
        <w:ind w:left="567" w:hanging="567"/>
        <w:contextualSpacing w:val="0"/>
        <w:jc w:val="both"/>
        <w:rPr>
          <w:rFonts w:ascii="Times New Roman" w:eastAsia="Times New Roman" w:hAnsi="Times New Roman" w:cs="Times New Roman"/>
          <w:sz w:val="24"/>
          <w:szCs w:val="24"/>
        </w:rPr>
      </w:pPr>
      <w:r>
        <w:rPr>
          <w:rFonts w:ascii="Times New Roman" w:hAnsi="Times New Roman"/>
          <w:b/>
          <w:sz w:val="24"/>
        </w:rPr>
        <w:t>Réponse à ces demandes et aperçu des mesures que la Commission a prises ou envisage de prendre:</w:t>
      </w:r>
    </w:p>
    <w:p w14:paraId="40764C2D" w14:textId="65D4B803" w:rsidR="0044679A" w:rsidRPr="00D30F4A" w:rsidRDefault="0093416E" w:rsidP="00A41540">
      <w:pPr>
        <w:spacing w:after="120" w:line="240" w:lineRule="auto"/>
        <w:jc w:val="both"/>
        <w:rPr>
          <w:rFonts w:ascii="Times New Roman" w:eastAsia="Calibri" w:hAnsi="Times New Roman" w:cs="Times New Roman"/>
          <w:sz w:val="24"/>
          <w:szCs w:val="24"/>
        </w:rPr>
      </w:pPr>
      <w:r>
        <w:rPr>
          <w:rFonts w:ascii="Times New Roman" w:hAnsi="Times New Roman"/>
          <w:sz w:val="24"/>
        </w:rPr>
        <w:t xml:space="preserve">La Commission se félicite de la résolution du Parlement </w:t>
      </w:r>
      <w:r>
        <w:rPr>
          <w:rFonts w:ascii="Times New Roman" w:hAnsi="Times New Roman"/>
          <w:b/>
          <w:sz w:val="24"/>
        </w:rPr>
        <w:t>sur la mise en œuvre de l’accord économique et commercial global (AECG) entre l’Union européenne et le Canada</w:t>
      </w:r>
      <w:r>
        <w:rPr>
          <w:rFonts w:ascii="Times New Roman" w:hAnsi="Times New Roman"/>
          <w:sz w:val="24"/>
        </w:rPr>
        <w:t xml:space="preserve"> et, en particulier, du soutien clair à l’AECG. Dans le contexte géopolitique et géoéconomique actuel, l’AECG s’est révélé être un pilier central du partenariat UE-Canada, fondé sur des intérêts communs et un engagement en faveur d’un commerce fondé sur des règles, apportant des avantages allant au-delà de simples gains économiques.</w:t>
      </w:r>
    </w:p>
    <w:p w14:paraId="7059155E" w14:textId="2CA42E99" w:rsidR="000415CC" w:rsidRPr="003074AF" w:rsidRDefault="002F0EA7" w:rsidP="00A41540">
      <w:pPr>
        <w:spacing w:after="120" w:line="240" w:lineRule="auto"/>
        <w:jc w:val="both"/>
        <w:rPr>
          <w:rFonts w:ascii="Times New Roman" w:hAnsi="Times New Roman" w:cs="Times New Roman"/>
          <w:sz w:val="24"/>
          <w:szCs w:val="24"/>
        </w:rPr>
      </w:pPr>
      <w:r>
        <w:rPr>
          <w:rFonts w:ascii="Times New Roman" w:hAnsi="Times New Roman"/>
          <w:sz w:val="24"/>
        </w:rPr>
        <w:t xml:space="preserve">La Commission partage l’avis du Parlement selon lequel l’AECG, depuis son application provisoire, a constitué une plateforme exceptionnelle pour travailler ensemble sur un large éventail de questions liées au commerce et aux investissements, notamment sur le commerce et le développement durable, en soutenant les trajectoires de transition respectives de l’Union et du Canada vers des économies vertes, numériques et justes, fondées sur des intérêts communs et sur le respect mutuel des droits de l’homme et des normes en matière de travail et d’environnement. </w:t>
      </w:r>
    </w:p>
    <w:p w14:paraId="7FB4E167" w14:textId="36EC2E9E" w:rsidR="004A26A2" w:rsidRDefault="00DC742F" w:rsidP="00A41540">
      <w:pPr>
        <w:tabs>
          <w:tab w:val="left" w:pos="0"/>
        </w:tabs>
        <w:spacing w:after="120" w:line="240" w:lineRule="auto"/>
        <w:jc w:val="both"/>
        <w:rPr>
          <w:rFonts w:ascii="Times New Roman" w:hAnsi="Times New Roman" w:cs="Times New Roman"/>
          <w:sz w:val="24"/>
          <w:szCs w:val="24"/>
        </w:rPr>
      </w:pPr>
      <w:r>
        <w:rPr>
          <w:rFonts w:ascii="Times New Roman" w:hAnsi="Times New Roman"/>
          <w:sz w:val="24"/>
        </w:rPr>
        <w:t xml:space="preserve">La Commission partage l’avis du Parlement selon lequel la prévisibilité assurée par l’AECG a favorisé la croissance économique, les échanges de marchandises, la fourniture de services, la participation aux marchés publics, l’attractivité des investissements, des emplois de qualité, la création de davantage d’emplois mieux rémunérés et l’amélioration des conditions de travail et des conditions de vie. La Commission partage l’avis du Parlement selon lequel l’AECG continue de produire des résultats concrets et positifs, dissipant toutes les craintes et critiques initiales. </w:t>
      </w:r>
    </w:p>
    <w:p w14:paraId="6737232B" w14:textId="1FC317EA" w:rsidR="00604771" w:rsidRDefault="00604771" w:rsidP="00A41540">
      <w:pPr>
        <w:tabs>
          <w:tab w:val="left" w:pos="0"/>
        </w:tabs>
        <w:spacing w:after="120" w:line="240" w:lineRule="auto"/>
        <w:jc w:val="both"/>
        <w:rPr>
          <w:rFonts w:ascii="Times New Roman" w:hAnsi="Times New Roman" w:cs="Times New Roman"/>
          <w:sz w:val="24"/>
          <w:szCs w:val="24"/>
        </w:rPr>
      </w:pPr>
      <w:bookmarkStart w:id="3" w:name="_Hlk159311007"/>
      <w:r>
        <w:rPr>
          <w:rFonts w:ascii="Times New Roman" w:hAnsi="Times New Roman"/>
          <w:sz w:val="24"/>
        </w:rPr>
        <w:lastRenderedPageBreak/>
        <w:t xml:space="preserve">La Commission a entamé le processus d’évaluation ex post de l’AECG en vue de présenter ses résultats en 2025. L’évaluation analysera les aspects économiques, sociaux et environnementaux des parties de l’accord appliquées à titre provisoire et fournira des informations importantes sur son fonctionnement ainsi que sur les domaines susceptibles d’être améliorés à l’avenir. </w:t>
      </w:r>
    </w:p>
    <w:bookmarkEnd w:id="3"/>
    <w:p w14:paraId="2EE947C1" w14:textId="13188FA1" w:rsidR="00962075" w:rsidRPr="00E77042" w:rsidRDefault="00604771" w:rsidP="00A41540">
      <w:pPr>
        <w:spacing w:after="120" w:line="240" w:lineRule="auto"/>
        <w:jc w:val="both"/>
        <w:rPr>
          <w:rFonts w:ascii="Times New Roman" w:hAnsi="Times New Roman" w:cs="Times New Roman"/>
          <w:sz w:val="24"/>
          <w:szCs w:val="24"/>
        </w:rPr>
      </w:pPr>
      <w:r>
        <w:rPr>
          <w:rFonts w:ascii="Times New Roman" w:hAnsi="Times New Roman"/>
          <w:sz w:val="24"/>
        </w:rPr>
        <w:t>La Commission souscrit pleinement à l’accent mis par le Parlement sur les actions visant à faire en sorte que les PME puissent pleinement bénéficier de l’accord, ce qui constitue une priorité pour les travaux de mise en œuvre dans le cadre de l’AECG et qui est notamment au cœur de la recommandation relative aux PME adoptée par le Comité mixte de l’AECG en 2018. Le nombre total d’entreprises de l’UE exportant vers le Canada a augmenté, avec plus de 2 500 PME européennes supplémentaires entre 2016 et 2019</w:t>
      </w:r>
      <w:r w:rsidR="0081069F">
        <w:rPr>
          <w:rStyle w:val="FootnoteReference"/>
          <w:sz w:val="28"/>
          <w:szCs w:val="28"/>
        </w:rPr>
        <w:footnoteReference w:id="2"/>
      </w:r>
      <w:r>
        <w:rPr>
          <w:rFonts w:ascii="Times New Roman" w:hAnsi="Times New Roman"/>
          <w:sz w:val="24"/>
        </w:rPr>
        <w:t>. Cette augmentation est deux fois plus élevée que le taux de croissance du reste du monde. En ce qui concerne les actions concrètes, la Commission tient à souligner que l’outil Access2Markets</w:t>
      </w:r>
      <w:r w:rsidR="003C43AB">
        <w:rPr>
          <w:rStyle w:val="FootnoteReference"/>
          <w:rFonts w:ascii="Times New Roman" w:hAnsi="Times New Roman" w:cs="Times New Roman"/>
          <w:sz w:val="24"/>
          <w:szCs w:val="24"/>
          <w:lang w:val="en-IE"/>
        </w:rPr>
        <w:footnoteReference w:id="3"/>
      </w:r>
      <w:r>
        <w:rPr>
          <w:rFonts w:ascii="Times New Roman" w:hAnsi="Times New Roman"/>
          <w:sz w:val="24"/>
        </w:rPr>
        <w:t xml:space="preserve"> et ses parties relatives aux biens, aux règles d’origine, aux services et aux marchés publics sont pleinement opérationnels pour l’AECG. Les PME sont formées en permanence aux différents outils et la Commission continue de sensibiliser les parties prenantes des deux côtés de l’Atlantique à l’AECG. En septembre 2021, la Commission a organisé une table ronde sur l’AECG avec des PME. La Commission tient également à souligner qu’elle accordera une attention particulière, dans l’évaluation ex post, aux PME et aux avantages que l’AECG leur procure. La Commission souligne également que la recommandation de 2018 relative aux PME reflète les chapitres consacrés aux PME des accords conclus avec la Nouvelle-Zélande et le Chili, qui prévoient de garantir un site web accessible au public avec un contenu convivial et un point de contact PME (</w:t>
      </w:r>
      <w:r>
        <w:rPr>
          <w:rFonts w:ascii="Times New Roman" w:hAnsi="Times New Roman"/>
          <w:b/>
          <w:sz w:val="24"/>
        </w:rPr>
        <w:t>paragraphes 10, 22 et 24</w:t>
      </w:r>
      <w:r>
        <w:rPr>
          <w:rFonts w:ascii="Times New Roman" w:hAnsi="Times New Roman"/>
          <w:sz w:val="24"/>
        </w:rPr>
        <w:t>).</w:t>
      </w:r>
    </w:p>
    <w:p w14:paraId="79E701D7" w14:textId="6D8BE732" w:rsidR="002F22C8" w:rsidRDefault="0025197D" w:rsidP="00A41540">
      <w:pPr>
        <w:spacing w:after="120" w:line="240" w:lineRule="auto"/>
        <w:jc w:val="both"/>
        <w:rPr>
          <w:rFonts w:ascii="Times New Roman" w:hAnsi="Times New Roman" w:cs="Times New Roman"/>
          <w:sz w:val="24"/>
          <w:szCs w:val="24"/>
        </w:rPr>
      </w:pPr>
      <w:r>
        <w:rPr>
          <w:rFonts w:ascii="Times New Roman" w:hAnsi="Times New Roman"/>
          <w:sz w:val="24"/>
        </w:rPr>
        <w:t>Lors de la réunion du Comité mixte de l’AECG du 9 février 2024, l’UE et le Canada ont annoncé la conclusion, au niveau technique, de négociations sur des règles supplémentaires visant à faciliter l’accès des PME au système de règlement des différends en matière d’investissement de l’AECG, le système juridictionnel des investissements. Ces règles commenceraient à s’appliquer après l’entrée en vigueur complète de l’AECG, une fois ratifié intégralement.</w:t>
      </w:r>
    </w:p>
    <w:p w14:paraId="1328B64A" w14:textId="2B315AFB" w:rsidR="007016A6" w:rsidRDefault="00784F90" w:rsidP="00A41540">
      <w:pPr>
        <w:spacing w:after="120" w:line="240" w:lineRule="auto"/>
        <w:jc w:val="both"/>
        <w:rPr>
          <w:rFonts w:ascii="Times New Roman" w:hAnsi="Times New Roman" w:cs="Times New Roman"/>
          <w:sz w:val="24"/>
          <w:szCs w:val="24"/>
        </w:rPr>
      </w:pPr>
      <w:r>
        <w:rPr>
          <w:rFonts w:ascii="Times New Roman" w:hAnsi="Times New Roman"/>
          <w:sz w:val="24"/>
        </w:rPr>
        <w:t xml:space="preserve">En ce qui concerne les contributions de l’AECG à la facilitation de la mobilité des professionnels, la Commission tient à rappeler que les accords de libre-échange, et l’AECG en l’occurrence, ne traitent pas de la mobilité de la main-d’œuvre, mais plutôt de la circulation des professionnels. À cet égard, l’UE et le Canada ont conclu des négociations et préparent actuellement l’adoption d’un accord sur la reconnaissance mutuelle des qualifications professionnelles des architectes. Cet accord sera le premier du genre pour l’UE et dans le cadre de l’AECG et démontrera en outre que l’AECG procure des avantages tangibles aux professionnels et aux petites entreprises, car il facilitera le processus de recherche de reconnaissance des qualifications professionnelles dans l’ensemble de l’UE et du Canada. En outre, la Commission coopère activement avec le Canada pour garantir la mise en œuvre intégrale des dispositions de l’AECG relatives à la circulation temporaire des professionnels (mode 4). La coordination est assurée par l’intermédiaire des «points de contact» créés par l’article 10.5 de l’AECG pour mettre en œuvre les obligations de transparence des procédures applicables aux fournisseurs relevant du mode 4. Cette coopération constructive peut être démontrée par les mises à jour régulières du portail de l’UE sur l’immigration, qui est le </w:t>
      </w:r>
      <w:r>
        <w:rPr>
          <w:rFonts w:ascii="Times New Roman" w:hAnsi="Times New Roman"/>
          <w:sz w:val="24"/>
        </w:rPr>
        <w:lastRenderedPageBreak/>
        <w:t>principal moyen d’assurer la transparence aux prestataires de services de pays tiers, y compris ceux du Canada (</w:t>
      </w:r>
      <w:r>
        <w:rPr>
          <w:rFonts w:ascii="Times New Roman" w:hAnsi="Times New Roman"/>
          <w:b/>
          <w:sz w:val="24"/>
        </w:rPr>
        <w:t>paragraphe 7</w:t>
      </w:r>
      <w:r>
        <w:rPr>
          <w:rFonts w:ascii="Times New Roman" w:hAnsi="Times New Roman"/>
          <w:sz w:val="24"/>
        </w:rPr>
        <w:t>).</w:t>
      </w:r>
    </w:p>
    <w:p w14:paraId="2CDFF053" w14:textId="7A7AEFDE" w:rsidR="002F22C8" w:rsidRPr="00D30F4A" w:rsidRDefault="002F22C8" w:rsidP="00A41540">
      <w:pPr>
        <w:spacing w:after="120" w:line="240" w:lineRule="auto"/>
        <w:jc w:val="both"/>
        <w:rPr>
          <w:rFonts w:ascii="Times New Roman" w:hAnsi="Times New Roman" w:cs="Times New Roman"/>
          <w:sz w:val="24"/>
          <w:szCs w:val="24"/>
        </w:rPr>
      </w:pPr>
      <w:r>
        <w:rPr>
          <w:rFonts w:ascii="Times New Roman" w:hAnsi="Times New Roman"/>
          <w:sz w:val="24"/>
        </w:rPr>
        <w:t>La Commission partage l’avis du Parlement sur l’importance de la coopération UE-Canada en ce qui concerne les matières premières critiques. La signature, en juillet 2021, du partenariat stratégique UE-Canada sur les matières premières critiques, en plus du dialogue existant sur les matières premières dans le cadre de l’AECG, contribue à une intégration encore plus étroite des chaînes de valeur des matières premières UE-Canada et à la promotion des investissements respectifs (</w:t>
      </w:r>
      <w:r>
        <w:rPr>
          <w:rFonts w:ascii="Times New Roman" w:hAnsi="Times New Roman"/>
          <w:b/>
          <w:sz w:val="24"/>
        </w:rPr>
        <w:t>paragraphes 8 et 9</w:t>
      </w:r>
      <w:r>
        <w:rPr>
          <w:rFonts w:ascii="Times New Roman" w:hAnsi="Times New Roman"/>
          <w:sz w:val="24"/>
        </w:rPr>
        <w:t>).</w:t>
      </w:r>
    </w:p>
    <w:p w14:paraId="3A44244B" w14:textId="09E1EAC4" w:rsidR="0082708D" w:rsidRDefault="004C2794" w:rsidP="00A41540">
      <w:pPr>
        <w:spacing w:after="120" w:line="240" w:lineRule="auto"/>
        <w:jc w:val="both"/>
        <w:rPr>
          <w:rFonts w:ascii="Times New Roman" w:hAnsi="Times New Roman" w:cs="Times New Roman"/>
          <w:sz w:val="24"/>
          <w:szCs w:val="24"/>
        </w:rPr>
      </w:pPr>
      <w:r>
        <w:rPr>
          <w:rFonts w:ascii="Times New Roman" w:hAnsi="Times New Roman"/>
          <w:sz w:val="24"/>
        </w:rPr>
        <w:t>La Commission souligne la contribution que l’AECG peut apporter au renforcement du commerce et du développement durable, au respect des droits de l’homme et des droits des travailleurs et à la protection du climat (</w:t>
      </w:r>
      <w:r>
        <w:rPr>
          <w:rFonts w:ascii="Times New Roman" w:hAnsi="Times New Roman"/>
          <w:b/>
          <w:sz w:val="24"/>
        </w:rPr>
        <w:t>paragraphe 1</w:t>
      </w:r>
      <w:r>
        <w:rPr>
          <w:rFonts w:ascii="Times New Roman" w:hAnsi="Times New Roman"/>
          <w:sz w:val="24"/>
        </w:rPr>
        <w:t>). En particulier, la mise en œuvre du chapitre sur le commerce et le développement durable de l’AECG répond aux nouveaux défis en matière de durabilité inhérents à la nécessité de faire en sorte que l’AECG continue de produire des résultats, y compris pour les PME. Lors de la dernière réunion du comité «Commerce et développement durable», en avril 2023, l’UE et le Canada ont recensé de nouvelles activités conjointes et de nouveaux domaines de dialogue ont été ouverts à partir des points de vue de la société civile. Les experts se sont engagés à partager les informations et les bonnes pratiques sur les priorités environnementales, à partager leurs expériences et à coopérer pour promouvoir des normes de travail élevées dans les pays tiers, ainsi qu’à unir leurs efforts vis-à-vis des futurs partenaires de l’ALE communs. L’UE et le Canada étudient également les moyens d’intégrer, le cas échéant, des éléments de la communication de l’UE sur le réexamen des chapitres portant sur le commerce et le développement durable</w:t>
      </w:r>
      <w:r w:rsidR="00BB019B">
        <w:rPr>
          <w:rStyle w:val="FootnoteReference"/>
          <w:rFonts w:ascii="Times New Roman" w:hAnsi="Times New Roman" w:cs="Times New Roman"/>
          <w:sz w:val="24"/>
          <w:szCs w:val="24"/>
        </w:rPr>
        <w:footnoteReference w:id="4"/>
      </w:r>
      <w:r>
        <w:rPr>
          <w:rFonts w:ascii="Times New Roman" w:hAnsi="Times New Roman"/>
          <w:sz w:val="24"/>
        </w:rPr>
        <w:t xml:space="preserve"> dans les travaux relevant de ce chapitre (</w:t>
      </w:r>
      <w:r>
        <w:rPr>
          <w:rFonts w:ascii="Times New Roman" w:hAnsi="Times New Roman"/>
          <w:b/>
          <w:sz w:val="24"/>
        </w:rPr>
        <w:t>paragraphe 29</w:t>
      </w:r>
      <w:r>
        <w:rPr>
          <w:rFonts w:ascii="Times New Roman" w:hAnsi="Times New Roman"/>
          <w:sz w:val="24"/>
        </w:rPr>
        <w:t>).</w:t>
      </w:r>
    </w:p>
    <w:p w14:paraId="7BFAC44D" w14:textId="5951124E" w:rsidR="00EF4416" w:rsidRDefault="00045BB5" w:rsidP="00A41540">
      <w:pPr>
        <w:spacing w:after="120" w:line="240" w:lineRule="auto"/>
        <w:jc w:val="both"/>
        <w:rPr>
          <w:rFonts w:ascii="Times New Roman" w:hAnsi="Times New Roman" w:cs="Times New Roman"/>
          <w:sz w:val="24"/>
          <w:szCs w:val="24"/>
        </w:rPr>
      </w:pPr>
      <w:r>
        <w:rPr>
          <w:rFonts w:ascii="Times New Roman" w:hAnsi="Times New Roman"/>
          <w:sz w:val="24"/>
        </w:rPr>
        <w:t>En ce qui concerne le commerce et l’égalité entre les hommes et les femmes, la Commission se félicite de la position ferme du Parlement sur l’égalité entre les hommes et les femmes et l’émancipation économique des femmes (</w:t>
      </w:r>
      <w:r>
        <w:rPr>
          <w:rFonts w:ascii="Times New Roman" w:hAnsi="Times New Roman"/>
          <w:b/>
          <w:sz w:val="24"/>
        </w:rPr>
        <w:t>paragraphe 25</w:t>
      </w:r>
      <w:r>
        <w:rPr>
          <w:rFonts w:ascii="Times New Roman" w:hAnsi="Times New Roman"/>
          <w:sz w:val="24"/>
        </w:rPr>
        <w:t xml:space="preserve">). La recommandation sur le commerce et l’égalité entre les hommes et les femmes adoptée par le Comité mixte de l’AECG reconnaît l’importance d’intégrer une dimension d’égalité entre les hommes et les femmes dans les questions économiques et commerciales dans le cadre de l’AECG afin de garantir que la croissance économique profite à tous. Le plan de travail adopté au titre de la recommandation prévoit d’appliquer une dimension d’égalité entre les hommes et les femmes à tous les travaux du comité de l’AECG et prévoit de nombreuses activités ciblées visant à soutenir la participation des femmes au commerce entre l’UE et le Canada. </w:t>
      </w:r>
      <w:bookmarkStart w:id="4" w:name="_Hlk158972794"/>
      <w:r>
        <w:rPr>
          <w:rFonts w:ascii="Times New Roman" w:hAnsi="Times New Roman"/>
          <w:sz w:val="24"/>
        </w:rPr>
        <w:t>Cette approche a déjà débouché sur une table ronde pour les femmes actives dans le commerce entre l’UE et le Canada, ainsi que sur un atelier sur les normes tenant compte de l’égalité entre les hommes et les femmes et les événements à venir.</w:t>
      </w:r>
    </w:p>
    <w:bookmarkEnd w:id="4"/>
    <w:p w14:paraId="084A89D8" w14:textId="5BCAD709" w:rsidR="00EF4416" w:rsidRPr="00EF4416" w:rsidRDefault="00795A6E" w:rsidP="00A41540">
      <w:pPr>
        <w:spacing w:after="120" w:line="240" w:lineRule="auto"/>
        <w:jc w:val="both"/>
        <w:rPr>
          <w:rFonts w:ascii="Times New Roman" w:hAnsi="Times New Roman" w:cs="Times New Roman"/>
          <w:sz w:val="24"/>
          <w:szCs w:val="24"/>
        </w:rPr>
      </w:pPr>
      <w:r>
        <w:rPr>
          <w:rFonts w:ascii="Times New Roman" w:hAnsi="Times New Roman"/>
          <w:sz w:val="24"/>
        </w:rPr>
        <w:t>La Commission convient qu’il importe de disposer de données ventilées par sexe. Eurostat travaille déjà sur les moyens d’intégrer cette question dans ses efforts de collecte de données. L’évaluation ex post de la Commission examinera qualitativement et, dans la mesure du possible, quantitativement les effets de la mise en œuvre de l’AECG sur l’égalité entre les hommes et les femmes.</w:t>
      </w:r>
    </w:p>
    <w:p w14:paraId="49A9820B" w14:textId="7D1D802A" w:rsidR="00EA5EC1" w:rsidRPr="00D30F4A" w:rsidRDefault="008D5A85" w:rsidP="00A41540">
      <w:pPr>
        <w:spacing w:after="120" w:line="240" w:lineRule="auto"/>
        <w:jc w:val="both"/>
        <w:rPr>
          <w:rFonts w:ascii="Times New Roman" w:hAnsi="Times New Roman" w:cs="Times New Roman"/>
          <w:sz w:val="24"/>
          <w:szCs w:val="24"/>
        </w:rPr>
      </w:pPr>
      <w:r>
        <w:rPr>
          <w:rFonts w:ascii="Times New Roman" w:hAnsi="Times New Roman"/>
          <w:sz w:val="24"/>
        </w:rPr>
        <w:t xml:space="preserve">En ce qui concerne le principe de précaution, la Commission tient à souligner que le droit de l’Union protège le droit des gouvernements de l’Union d’agir pour protéger la santé humaine, animale ou végétale, ou l’environnement, face à un risque perçu, même lorsque l’analyse </w:t>
      </w:r>
      <w:r>
        <w:rPr>
          <w:rFonts w:ascii="Times New Roman" w:hAnsi="Times New Roman"/>
          <w:sz w:val="24"/>
        </w:rPr>
        <w:lastRenderedPageBreak/>
        <w:t>scientifique n’est pas concluante. Le droit de l’Union consacre ce principe. L’AECG fait spécifiquement et clairement référence au droit de réglementer et aux principes qui sous-tendent le régime réglementaire de chaque partie (</w:t>
      </w:r>
      <w:r>
        <w:rPr>
          <w:rFonts w:ascii="Times New Roman" w:hAnsi="Times New Roman"/>
          <w:b/>
          <w:sz w:val="24"/>
        </w:rPr>
        <w:t>paragraphe 26</w:t>
      </w:r>
      <w:r>
        <w:rPr>
          <w:rFonts w:ascii="Times New Roman" w:hAnsi="Times New Roman"/>
          <w:sz w:val="24"/>
        </w:rPr>
        <w:t>).</w:t>
      </w:r>
    </w:p>
    <w:p w14:paraId="3C4BFF6C" w14:textId="16382184" w:rsidR="00815215" w:rsidRPr="003074AF" w:rsidRDefault="006224AB" w:rsidP="00A41540">
      <w:pPr>
        <w:spacing w:after="120" w:line="240" w:lineRule="auto"/>
        <w:jc w:val="both"/>
        <w:rPr>
          <w:rFonts w:ascii="Times New Roman" w:hAnsi="Times New Roman" w:cs="Times New Roman"/>
          <w:sz w:val="24"/>
          <w:szCs w:val="24"/>
        </w:rPr>
      </w:pPr>
      <w:r>
        <w:rPr>
          <w:rFonts w:ascii="Times New Roman" w:hAnsi="Times New Roman"/>
          <w:sz w:val="24"/>
        </w:rPr>
        <w:t>En ce qui concerne les questions sanitaires et phytosanitaires (SPS), la Commission assure au Parlement que les normes sanitaires, phytosanitaires et vétérinaires de l’Union restent inchangées pour la mise en œuvre de l’AECG comme pour tous les autres accords commerciaux de l’Union, tout en garantissant la poursuite des contrôles adéquats de ces normes (</w:t>
      </w:r>
      <w:r>
        <w:rPr>
          <w:rFonts w:ascii="Times New Roman" w:hAnsi="Times New Roman"/>
          <w:b/>
          <w:sz w:val="24"/>
        </w:rPr>
        <w:t>paragraphe 4</w:t>
      </w:r>
      <w:r>
        <w:rPr>
          <w:rFonts w:ascii="Times New Roman" w:hAnsi="Times New Roman"/>
          <w:sz w:val="24"/>
        </w:rPr>
        <w:t>).</w:t>
      </w:r>
    </w:p>
    <w:p w14:paraId="377FB1E5" w14:textId="11F12892" w:rsidR="006224AB" w:rsidRDefault="006224AB" w:rsidP="00A41540">
      <w:pPr>
        <w:spacing w:after="120" w:line="240" w:lineRule="auto"/>
        <w:jc w:val="both"/>
        <w:rPr>
          <w:rFonts w:ascii="Times New Roman" w:hAnsi="Times New Roman" w:cs="Times New Roman"/>
          <w:sz w:val="24"/>
          <w:szCs w:val="24"/>
        </w:rPr>
      </w:pPr>
      <w:r>
        <w:rPr>
          <w:rFonts w:ascii="Times New Roman" w:hAnsi="Times New Roman"/>
          <w:sz w:val="24"/>
        </w:rPr>
        <w:t>Comme l’a rappelé le Parlement, la Commission continue de travailler avec le Canada pour harmoniser les certificats sanitaires pour les exportations de différents produits de l’UE. À son tour, le Canada s’est engagé à achever le processus d’harmonisation des exportations de produits transformés à base de viande de l’UE d’ici juin 2024 (</w:t>
      </w:r>
      <w:r>
        <w:rPr>
          <w:rFonts w:ascii="Times New Roman" w:hAnsi="Times New Roman"/>
          <w:b/>
          <w:sz w:val="24"/>
        </w:rPr>
        <w:t>paragraphe 13</w:t>
      </w:r>
      <w:r>
        <w:rPr>
          <w:rFonts w:ascii="Times New Roman" w:hAnsi="Times New Roman"/>
          <w:sz w:val="24"/>
        </w:rPr>
        <w:t>). La Commission a discuté avec le Canada de la nécessité que des certificats harmonisés pour les exportations de viandes ovine et caprine et de boyaux de l’UE soient rapidement lancés. Dans le même temps, la Commission continue d’insister auprès du Canada pour accélérer les travaux concernant les demandes d’accès au marché en cours des États membres de l’UE, pour les exportations de produits tant animaux que végétaux de l’UE (</w:t>
      </w:r>
      <w:r>
        <w:rPr>
          <w:rFonts w:ascii="Times New Roman" w:hAnsi="Times New Roman"/>
          <w:b/>
          <w:sz w:val="24"/>
        </w:rPr>
        <w:t>paragraphe 14</w:t>
      </w:r>
      <w:r>
        <w:rPr>
          <w:rFonts w:ascii="Times New Roman" w:hAnsi="Times New Roman"/>
          <w:sz w:val="24"/>
        </w:rPr>
        <w:t>).</w:t>
      </w:r>
    </w:p>
    <w:p w14:paraId="70C1F610" w14:textId="12747B06" w:rsidR="00D347E2" w:rsidRPr="003074AF" w:rsidRDefault="00D347E2" w:rsidP="00A41540">
      <w:pPr>
        <w:spacing w:after="120" w:line="240" w:lineRule="auto"/>
        <w:jc w:val="both"/>
        <w:rPr>
          <w:rFonts w:ascii="Times New Roman" w:hAnsi="Times New Roman" w:cs="Times New Roman"/>
          <w:sz w:val="24"/>
          <w:szCs w:val="24"/>
        </w:rPr>
      </w:pPr>
      <w:r>
        <w:rPr>
          <w:rFonts w:ascii="Times New Roman" w:hAnsi="Times New Roman"/>
          <w:sz w:val="24"/>
        </w:rPr>
        <w:t>En ce qui concerne le principe de régionalisation, la Commission est sensible à la question et continue de la suivre de près avec le Canada. En ce qui concerne la reconnaissance de la régionalisation, la Commission est parvenue à faire accepter son point de vue en ce qui concerne le longicorne asiatique et le capricorne asiatique des agrumes, le Canada reconnaissant désormais que 21 pays de l’UE sont indemnes de ces maladies. La Commission continue de discuter de cette question avec le Canada, ainsi que de tout autre problème spécifique lié aux demandes d’accès au marché des fruits et légumes et de la reconnaissance des zones exemptes d’organismes nuisibles. Ces travaux ont permis d’obtenir de nouvelles possibilités d’accès au marché pour les fruits de l’UE ces dernières années (</w:t>
      </w:r>
      <w:r>
        <w:rPr>
          <w:rFonts w:ascii="Times New Roman" w:hAnsi="Times New Roman"/>
          <w:b/>
          <w:sz w:val="24"/>
        </w:rPr>
        <w:t>paragraphe 14</w:t>
      </w:r>
      <w:r>
        <w:rPr>
          <w:rFonts w:ascii="Times New Roman" w:hAnsi="Times New Roman"/>
          <w:sz w:val="24"/>
        </w:rPr>
        <w:t>).</w:t>
      </w:r>
    </w:p>
    <w:p w14:paraId="39B7AF36" w14:textId="7068F640" w:rsidR="006D6E4A" w:rsidRPr="003074AF" w:rsidRDefault="004834B6" w:rsidP="00A41540">
      <w:pPr>
        <w:pStyle w:val="ListParagraph"/>
        <w:spacing w:after="120" w:line="240" w:lineRule="auto"/>
        <w:ind w:left="0"/>
        <w:contextualSpacing w:val="0"/>
        <w:jc w:val="both"/>
        <w:rPr>
          <w:rFonts w:ascii="Times New Roman" w:hAnsi="Times New Roman" w:cs="Times New Roman"/>
          <w:sz w:val="24"/>
          <w:szCs w:val="24"/>
        </w:rPr>
      </w:pPr>
      <w:r>
        <w:rPr>
          <w:rFonts w:ascii="Times New Roman" w:hAnsi="Times New Roman"/>
          <w:sz w:val="24"/>
        </w:rPr>
        <w:t>En ce qui concerne les normes en matière de bien-être animal, la Commission partage l’avis du Parlement sur la nécessité de faciliter une coopération continue avec les autorités canadiennes (</w:t>
      </w:r>
      <w:r>
        <w:rPr>
          <w:rFonts w:ascii="Times New Roman" w:hAnsi="Times New Roman"/>
          <w:b/>
          <w:sz w:val="24"/>
        </w:rPr>
        <w:t>paragraphe 15</w:t>
      </w:r>
      <w:r>
        <w:rPr>
          <w:rFonts w:ascii="Times New Roman" w:hAnsi="Times New Roman"/>
          <w:sz w:val="24"/>
        </w:rPr>
        <w:t xml:space="preserve">). L’UE a toujours été à l’avant-garde du développement d’un modèle législatif solide et fondé sur des données scientifiques en matière de bien-être animal. Ce modèle a également été diffusé à l’échelle internationale, notamment dans le cadre de la coopération avec le Canada dans le cadre de l’AECG. </w:t>
      </w:r>
    </w:p>
    <w:p w14:paraId="5CD08603" w14:textId="032305E3" w:rsidR="006D6E4A" w:rsidRPr="003074AF" w:rsidRDefault="006D6E4A" w:rsidP="00A41540">
      <w:pPr>
        <w:pStyle w:val="ListParagraph"/>
        <w:spacing w:after="120" w:line="240" w:lineRule="auto"/>
        <w:ind w:left="0"/>
        <w:contextualSpacing w:val="0"/>
        <w:jc w:val="both"/>
        <w:rPr>
          <w:rFonts w:ascii="Times New Roman" w:hAnsi="Times New Roman" w:cs="Times New Roman"/>
          <w:sz w:val="24"/>
          <w:szCs w:val="24"/>
        </w:rPr>
      </w:pPr>
      <w:r>
        <w:rPr>
          <w:rFonts w:ascii="Times New Roman" w:hAnsi="Times New Roman"/>
          <w:sz w:val="24"/>
        </w:rPr>
        <w:t xml:space="preserve">À l’heure actuelle, l’UE exige des mesures équivalentes à celles des dispositions de l’UE en matière de bien-être lors de l’abattage pour l’importation de produits animaux dans l’Union. Certaines dispositions équivalentes sont également requises en ce qui concerne le bien-être pendant le transport lorsque des animaux vivants sont importés dans l’Union. La Commission continuera de promouvoir activement le bien-être animal au niveau international sur le plan bilatéral et multilatéral et de mener des initiatives visant à coopérer et à sensibiliser davantage les pays tiers. </w:t>
      </w:r>
    </w:p>
    <w:p w14:paraId="616E1B5A" w14:textId="19A04F8D" w:rsidR="00C4523D" w:rsidRPr="003074AF" w:rsidRDefault="008D5A85" w:rsidP="00A41540">
      <w:pPr>
        <w:spacing w:after="120" w:line="240" w:lineRule="auto"/>
        <w:jc w:val="both"/>
        <w:rPr>
          <w:rFonts w:ascii="Times New Roman" w:hAnsi="Times New Roman" w:cs="Times New Roman"/>
          <w:b/>
          <w:bCs/>
          <w:sz w:val="24"/>
          <w:szCs w:val="24"/>
        </w:rPr>
      </w:pPr>
      <w:r>
        <w:rPr>
          <w:rFonts w:ascii="Times New Roman" w:hAnsi="Times New Roman"/>
          <w:sz w:val="24"/>
        </w:rPr>
        <w:t>La Commission soutient l’avis du Parlement sur l’importance du respect de la production agricole durable, de la réciprocité et du maintien de normes élevées, en particulier en ce qui concerne les normes sanitaires, phytosanitaires et vétérinaires, ainsi que des contrôles adéquats et de la surveillance du respect mutuel de ces normes dans la mise en œuvre des accords commerciaux de l’Union, y compris l’AECG (</w:t>
      </w:r>
      <w:r>
        <w:rPr>
          <w:rFonts w:ascii="Times New Roman" w:hAnsi="Times New Roman"/>
          <w:b/>
          <w:sz w:val="24"/>
        </w:rPr>
        <w:t>paragraphe 4</w:t>
      </w:r>
      <w:r>
        <w:rPr>
          <w:rFonts w:ascii="Times New Roman" w:hAnsi="Times New Roman"/>
          <w:sz w:val="24"/>
        </w:rPr>
        <w:t xml:space="preserve">). À la suite du sommet UE-Canada de 2021, les deux parties ont lancé un dialogue sur la durabilité, la gestion environnementale et l’action pour le climat </w:t>
      </w:r>
      <w:r>
        <w:rPr>
          <w:rFonts w:ascii="Times New Roman" w:hAnsi="Times New Roman"/>
          <w:sz w:val="24"/>
        </w:rPr>
        <w:lastRenderedPageBreak/>
        <w:t>dans l’agriculture. Conclu en décembre 2023, le dialogue a comporté des événements conjoints visant à faciliter l’échange d’idées et de bonnes pratiques sur plusieurs sujets, tels que la santé des sols, la réduction des émissions de gaz à effet de serre dans le bétail, l’agriculture biologique, l’amélioration de l’utilisation des engrais et la protection durable des cultures.</w:t>
      </w:r>
    </w:p>
    <w:p w14:paraId="48FB71F4" w14:textId="00F6B98A" w:rsidR="00C4523D" w:rsidRPr="003074AF" w:rsidRDefault="00C4523D" w:rsidP="00A41540">
      <w:pPr>
        <w:spacing w:after="120" w:line="240" w:lineRule="auto"/>
        <w:jc w:val="both"/>
        <w:rPr>
          <w:rFonts w:ascii="Times New Roman" w:hAnsi="Times New Roman" w:cs="Times New Roman"/>
          <w:sz w:val="24"/>
          <w:szCs w:val="24"/>
        </w:rPr>
      </w:pPr>
      <w:r>
        <w:rPr>
          <w:rFonts w:ascii="Times New Roman" w:hAnsi="Times New Roman"/>
          <w:sz w:val="24"/>
        </w:rPr>
        <w:t xml:space="preserve">La Commission échange en permanence avec le Canada sur l’application administrative effective des IG, y compris en ce qui concerne l’établissement d’une liste d’utilisateurs de noms bénéficiant d’une clause d’antériorité. La Commission a notamment réitéré sa préoccupation quant au résultat des plaintes concernant l’étiquetage relatives à l’IG qui ont été soumises à l’Agence canadienne d’inspection des aliments (ACIA). Compte tenu du mandat limité de l’ACIA pour la mise en œuvre administrative des IG, le Canada a mis au point une page web pour informer les parties prenantes des obligations en matière d’IG de l’AECG et de leur application sur le marché canadien et a mené des actions de sensibilisation dans les provinces. La Commission étudiera plus en détail la manière dont le système juridique canadien de protection des dénominations d’IG est effectivement utilisé par les titulaires d’IG de l’UE. </w:t>
      </w:r>
    </w:p>
    <w:p w14:paraId="714F6A4A" w14:textId="4BBA87EC" w:rsidR="00C4523D" w:rsidRPr="003074AF" w:rsidRDefault="003205F3" w:rsidP="00A41540">
      <w:pPr>
        <w:spacing w:after="120" w:line="240" w:lineRule="auto"/>
        <w:jc w:val="both"/>
        <w:rPr>
          <w:rFonts w:ascii="Times New Roman" w:hAnsi="Times New Roman" w:cs="Times New Roman"/>
          <w:sz w:val="24"/>
          <w:szCs w:val="24"/>
        </w:rPr>
      </w:pPr>
      <w:r>
        <w:rPr>
          <w:rFonts w:ascii="Times New Roman" w:hAnsi="Times New Roman"/>
          <w:sz w:val="24"/>
        </w:rPr>
        <w:t>Des progrès notables ont été accomplis récemment au niveau provincial en vue de résoudre les problèmes liés à la protection de l’appellation d’origine protégée (AOP) «Champagne»: élimination de la question de la méthode champenoise au Québec, ainsi qu’à une proposition positive visant à supprimer la référence à l’AOP «Champagne» dans les normes fédérales de composition pour le cidre.</w:t>
      </w:r>
    </w:p>
    <w:p w14:paraId="33CB5ED8" w14:textId="71C652CE" w:rsidR="00C4523D" w:rsidRPr="003074AF" w:rsidRDefault="00C4523D" w:rsidP="00A41540">
      <w:pPr>
        <w:spacing w:after="120" w:line="240" w:lineRule="auto"/>
        <w:jc w:val="both"/>
        <w:rPr>
          <w:rFonts w:ascii="Times New Roman" w:hAnsi="Times New Roman" w:cs="Times New Roman"/>
          <w:sz w:val="24"/>
          <w:szCs w:val="24"/>
        </w:rPr>
      </w:pPr>
      <w:r>
        <w:rPr>
          <w:rFonts w:ascii="Times New Roman" w:hAnsi="Times New Roman"/>
          <w:sz w:val="24"/>
        </w:rPr>
        <w:t>La Commission collabore avec le Canada pour finaliser la décision d’inclure d’autres pratiques œnologiques ainsi que 22 dénominations de vins de l’UE et une dénomination de boisson spiritueuse de l’UE dans l’annexe de l’accord de 2003 sur les vins et spiritueux (</w:t>
      </w:r>
      <w:r>
        <w:rPr>
          <w:rFonts w:ascii="Times New Roman" w:hAnsi="Times New Roman"/>
          <w:b/>
          <w:sz w:val="24"/>
        </w:rPr>
        <w:t>paragraphe 19</w:t>
      </w:r>
      <w:r>
        <w:rPr>
          <w:rFonts w:ascii="Times New Roman" w:hAnsi="Times New Roman"/>
          <w:sz w:val="24"/>
        </w:rPr>
        <w:t>).</w:t>
      </w:r>
    </w:p>
    <w:p w14:paraId="29AB7604" w14:textId="730AF187" w:rsidR="00C4523D" w:rsidRPr="003074AF" w:rsidRDefault="6A3B4377" w:rsidP="00A41540">
      <w:pPr>
        <w:spacing w:after="120" w:line="240" w:lineRule="auto"/>
        <w:jc w:val="both"/>
        <w:rPr>
          <w:rFonts w:ascii="Times New Roman" w:hAnsi="Times New Roman" w:cs="Times New Roman"/>
          <w:sz w:val="24"/>
          <w:szCs w:val="24"/>
        </w:rPr>
      </w:pPr>
      <w:r>
        <w:rPr>
          <w:rFonts w:ascii="Times New Roman" w:hAnsi="Times New Roman"/>
          <w:sz w:val="24"/>
        </w:rPr>
        <w:t>La Commission soutient la demande du Parlement visant à ce que le rapport sur le fonctionnement du contingent tarifaire pour le fromage soit finalisé dans les meilleurs délais, en faisant observer qu’elle avait demandé pour la première fois une révision à mi-parcours en 2019 et que l’examen complet des contingents tarifaires promis a été reporté à plusieurs reprises, sans qu’une date de fin définitive soit envisagée.</w:t>
      </w:r>
    </w:p>
    <w:p w14:paraId="46EDF97F" w14:textId="2882483D" w:rsidR="00C4523D" w:rsidRPr="003074AF" w:rsidRDefault="00C4523D" w:rsidP="00A41540">
      <w:pPr>
        <w:spacing w:after="120" w:line="240" w:lineRule="auto"/>
        <w:jc w:val="both"/>
        <w:rPr>
          <w:rFonts w:ascii="Times New Roman" w:hAnsi="Times New Roman" w:cs="Times New Roman"/>
          <w:sz w:val="24"/>
          <w:szCs w:val="24"/>
        </w:rPr>
      </w:pPr>
      <w:r>
        <w:rPr>
          <w:rFonts w:ascii="Times New Roman" w:hAnsi="Times New Roman"/>
          <w:sz w:val="24"/>
        </w:rPr>
        <w:t>En ce qui concerne le Royaume-Uni, la Commission a noté que, dans le cadre de l’accord de continuité commerciale entre le Royaume-Uni et le Canada, certains accords spécifiques sur l’utilisation des contingents tarifaires ont expiré le 1</w:t>
      </w:r>
      <w:r>
        <w:rPr>
          <w:rFonts w:ascii="Times New Roman" w:hAnsi="Times New Roman"/>
          <w:sz w:val="24"/>
          <w:vertAlign w:val="superscript"/>
        </w:rPr>
        <w:t>er</w:t>
      </w:r>
      <w:r>
        <w:rPr>
          <w:rFonts w:ascii="Times New Roman" w:hAnsi="Times New Roman"/>
          <w:sz w:val="24"/>
        </w:rPr>
        <w:t xml:space="preserve"> janvier 2024 et elle continuera à suivre la situation afin d’éviter tout effet négatif potentiel pour les opérateurs de l’UE (</w:t>
      </w:r>
      <w:r>
        <w:rPr>
          <w:rFonts w:ascii="Times New Roman" w:hAnsi="Times New Roman"/>
          <w:b/>
          <w:sz w:val="24"/>
        </w:rPr>
        <w:t>paragraphe 32</w:t>
      </w:r>
      <w:r>
        <w:rPr>
          <w:rFonts w:ascii="Times New Roman" w:hAnsi="Times New Roman"/>
          <w:sz w:val="24"/>
        </w:rPr>
        <w:t>).</w:t>
      </w:r>
    </w:p>
    <w:p w14:paraId="4DA7AD51" w14:textId="5DE525E1" w:rsidR="005C32C0" w:rsidRDefault="005C32C0" w:rsidP="00A41540">
      <w:pPr>
        <w:spacing w:after="120" w:line="240" w:lineRule="auto"/>
        <w:jc w:val="both"/>
        <w:rPr>
          <w:rFonts w:ascii="Times New Roman" w:hAnsi="Times New Roman" w:cs="Times New Roman"/>
          <w:sz w:val="24"/>
          <w:szCs w:val="24"/>
        </w:rPr>
      </w:pPr>
      <w:r>
        <w:rPr>
          <w:rFonts w:ascii="Times New Roman" w:hAnsi="Times New Roman"/>
          <w:sz w:val="24"/>
        </w:rPr>
        <w:t>La Commission prend bonne note des références du Parlement européen à des questions qui devraient être prises en compte si l’AECG devait être amendé ou modifié à l’avenir (y compris des références au chapitre sur le commerce et le développement durable, à la question des régions ultrapériphériques, à un chapitre consacré aux PME), mais souligne qu’il demeure prioritaire de veiller à ce que l’AECG puisse entrer en vigueur dans son intégralité après la finalisation de toutes les procédures nationales de ratification.</w:t>
      </w:r>
    </w:p>
    <w:p w14:paraId="5162489F" w14:textId="2DDD0194" w:rsidR="00D30F4A" w:rsidRDefault="006224AB" w:rsidP="00A41540">
      <w:pPr>
        <w:spacing w:after="120" w:line="240" w:lineRule="auto"/>
        <w:jc w:val="both"/>
        <w:rPr>
          <w:rFonts w:ascii="Times New Roman" w:hAnsi="Times New Roman" w:cs="Times New Roman"/>
          <w:sz w:val="24"/>
          <w:szCs w:val="24"/>
        </w:rPr>
      </w:pPr>
      <w:r>
        <w:rPr>
          <w:rFonts w:ascii="Times New Roman" w:hAnsi="Times New Roman"/>
          <w:sz w:val="24"/>
        </w:rPr>
        <w:t>Enfin, la Commission partage l’avis du Parlement sur l’importance du processus de ratification en cours. Les procédures de ratification dans les États membres de l’UE restent complexes. La Commission européenne continue de soutenir les États membres dans leurs efforts, le cas échéant et en tant que de besoin, et tient à souligner l’importance de mettre en avant les avantages concrets que présente l’AECG depuis son application provisoire pour alimenter tout débat sur l’AECG.</w:t>
      </w:r>
      <w:bookmarkEnd w:id="0"/>
    </w:p>
    <w:sectPr w:rsidR="00D30F4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A34F0" w14:textId="77777777" w:rsidR="005D7145" w:rsidRDefault="005D7145" w:rsidP="00463314">
      <w:pPr>
        <w:spacing w:after="0" w:line="240" w:lineRule="auto"/>
      </w:pPr>
      <w:r>
        <w:separator/>
      </w:r>
    </w:p>
  </w:endnote>
  <w:endnote w:type="continuationSeparator" w:id="0">
    <w:p w14:paraId="271E92B0" w14:textId="77777777" w:rsidR="005D7145" w:rsidRDefault="005D7145" w:rsidP="00463314">
      <w:pPr>
        <w:spacing w:after="0" w:line="240" w:lineRule="auto"/>
      </w:pPr>
      <w:r>
        <w:continuationSeparator/>
      </w:r>
    </w:p>
  </w:endnote>
  <w:endnote w:type="continuationNotice" w:id="1">
    <w:p w14:paraId="002FA30B" w14:textId="77777777" w:rsidR="005D7145" w:rsidRDefault="005D7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7C4C" w14:textId="77777777" w:rsidR="00463314" w:rsidRDefault="00463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20857"/>
      <w:docPartObj>
        <w:docPartGallery w:val="Page Numbers (Bottom of Page)"/>
        <w:docPartUnique/>
      </w:docPartObj>
    </w:sdtPr>
    <w:sdtEndPr>
      <w:rPr>
        <w:noProof/>
      </w:rPr>
    </w:sdtEndPr>
    <w:sdtContent>
      <w:p w14:paraId="77DD6D08" w14:textId="77777777" w:rsidR="00463314" w:rsidRDefault="00463314">
        <w:pPr>
          <w:pStyle w:val="Footer"/>
          <w:jc w:val="right"/>
        </w:pPr>
        <w:r>
          <w:fldChar w:fldCharType="begin"/>
        </w:r>
        <w:r>
          <w:instrText xml:space="preserve"> PAGE   \* MERGEFORMAT </w:instrText>
        </w:r>
        <w:r>
          <w:fldChar w:fldCharType="separate"/>
        </w:r>
        <w:r>
          <w:t>2</w:t>
        </w:r>
        <w:r>
          <w:fldChar w:fldCharType="end"/>
        </w:r>
      </w:p>
    </w:sdtContent>
  </w:sdt>
  <w:p w14:paraId="04ACBEB3" w14:textId="77777777" w:rsidR="00463314" w:rsidRDefault="00463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5E41" w14:textId="77777777" w:rsidR="00463314" w:rsidRDefault="00463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3CD5" w14:textId="77777777" w:rsidR="005D7145" w:rsidRDefault="005D7145" w:rsidP="00463314">
      <w:pPr>
        <w:spacing w:after="0" w:line="240" w:lineRule="auto"/>
      </w:pPr>
      <w:r>
        <w:separator/>
      </w:r>
    </w:p>
  </w:footnote>
  <w:footnote w:type="continuationSeparator" w:id="0">
    <w:p w14:paraId="4BD57D66" w14:textId="77777777" w:rsidR="005D7145" w:rsidRDefault="005D7145" w:rsidP="00463314">
      <w:pPr>
        <w:spacing w:after="0" w:line="240" w:lineRule="auto"/>
      </w:pPr>
      <w:r>
        <w:continuationSeparator/>
      </w:r>
    </w:p>
  </w:footnote>
  <w:footnote w:type="continuationNotice" w:id="1">
    <w:p w14:paraId="0BCBE855" w14:textId="77777777" w:rsidR="005D7145" w:rsidRDefault="005D7145">
      <w:pPr>
        <w:spacing w:after="0" w:line="240" w:lineRule="auto"/>
      </w:pPr>
    </w:p>
  </w:footnote>
  <w:footnote w:id="2">
    <w:p w14:paraId="16F14DF5" w14:textId="037E1F07" w:rsidR="0081069F" w:rsidRPr="003833A2" w:rsidRDefault="0081069F" w:rsidP="00A41540">
      <w:pPr>
        <w:pStyle w:val="FootnoteText"/>
        <w:ind w:left="357" w:hanging="357"/>
        <w:rPr>
          <w:rFonts w:ascii="Times New Roman" w:hAnsi="Times New Roman" w:cs="Times New Roman"/>
        </w:rPr>
      </w:pPr>
      <w:r>
        <w:rPr>
          <w:rStyle w:val="FootnoteReference"/>
        </w:rPr>
        <w:footnoteRef/>
      </w:r>
      <w:r>
        <w:t xml:space="preserve"> </w:t>
      </w:r>
      <w:r>
        <w:tab/>
      </w:r>
      <w:r>
        <w:rPr>
          <w:rFonts w:ascii="Times New Roman" w:hAnsi="Times New Roman"/>
        </w:rPr>
        <w:t xml:space="preserve"> L’année 2019 est la dernière année pour laquelle des données complètes sur les PME dans l’UE sont disponibles.</w:t>
      </w:r>
    </w:p>
  </w:footnote>
  <w:footnote w:id="3">
    <w:p w14:paraId="5F9E8010" w14:textId="18791142" w:rsidR="003C43AB" w:rsidRPr="006E23B3" w:rsidRDefault="003C43AB" w:rsidP="00A41540">
      <w:pPr>
        <w:pStyle w:val="FootnoteText"/>
        <w:ind w:left="357" w:hanging="357"/>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1" w:history="1">
        <w:r>
          <w:rPr>
            <w:rStyle w:val="Hyperlink"/>
            <w:rFonts w:ascii="Times New Roman" w:hAnsi="Times New Roman"/>
          </w:rPr>
          <w:t>https://trade.ec.europa.eu/access-to-markets/fr/home</w:t>
        </w:r>
      </w:hyperlink>
    </w:p>
  </w:footnote>
  <w:footnote w:id="4">
    <w:p w14:paraId="78A38555" w14:textId="03DBAB8F" w:rsidR="00BB019B" w:rsidRPr="00A41540" w:rsidRDefault="00BB019B" w:rsidP="00A41540">
      <w:pPr>
        <w:pStyle w:val="FootnoteText"/>
        <w:ind w:left="357" w:hanging="357"/>
        <w:rPr>
          <w:rFonts w:ascii="Times New Roman" w:hAnsi="Times New Roman" w:cs="Times New Roman"/>
        </w:rPr>
      </w:pPr>
      <w:r>
        <w:rPr>
          <w:rStyle w:val="FootnoteReference"/>
        </w:rPr>
        <w:footnoteRef/>
      </w:r>
      <w:r>
        <w:tab/>
        <w:t xml:space="preserve"> </w:t>
      </w:r>
      <w:r>
        <w:rPr>
          <w:rFonts w:ascii="Times New Roman" w:hAnsi="Times New Roman"/>
        </w:rPr>
        <w:t>COM(2022) 409 final du 22.6.2022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75D9" w14:textId="77777777" w:rsidR="00463314" w:rsidRDefault="00463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0E69" w14:textId="77777777" w:rsidR="00463314" w:rsidRDefault="00463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706E" w14:textId="77777777" w:rsidR="00463314" w:rsidRDefault="00463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A1BCB"/>
    <w:multiLevelType w:val="hybridMultilevel"/>
    <w:tmpl w:val="BA2E1486"/>
    <w:lvl w:ilvl="0" w:tplc="D402E43C">
      <w:start w:val="1"/>
      <w:numFmt w:val="decimal"/>
      <w:lvlText w:val="%1."/>
      <w:lvlJc w:val="left"/>
      <w:pPr>
        <w:ind w:left="720" w:hanging="360"/>
      </w:pPr>
      <w:rPr>
        <w:b/>
      </w:rPr>
    </w:lvl>
    <w:lvl w:ilvl="1" w:tplc="68ACEEBA">
      <w:start w:val="1"/>
      <w:numFmt w:val="lowerLetter"/>
      <w:lvlText w:val="%2."/>
      <w:lvlJc w:val="left"/>
      <w:pPr>
        <w:ind w:left="1440" w:hanging="360"/>
      </w:pPr>
    </w:lvl>
    <w:lvl w:ilvl="2" w:tplc="E324722E">
      <w:start w:val="1"/>
      <w:numFmt w:val="lowerRoman"/>
      <w:lvlText w:val="%3."/>
      <w:lvlJc w:val="right"/>
      <w:pPr>
        <w:ind w:left="2160" w:hanging="180"/>
      </w:pPr>
    </w:lvl>
    <w:lvl w:ilvl="3" w:tplc="CE74C876">
      <w:start w:val="1"/>
      <w:numFmt w:val="decimal"/>
      <w:lvlText w:val="%4."/>
      <w:lvlJc w:val="left"/>
      <w:pPr>
        <w:ind w:left="2880" w:hanging="360"/>
      </w:pPr>
    </w:lvl>
    <w:lvl w:ilvl="4" w:tplc="E176052E">
      <w:start w:val="1"/>
      <w:numFmt w:val="lowerLetter"/>
      <w:lvlText w:val="%5."/>
      <w:lvlJc w:val="left"/>
      <w:pPr>
        <w:ind w:left="3600" w:hanging="360"/>
      </w:pPr>
    </w:lvl>
    <w:lvl w:ilvl="5" w:tplc="FE583E5E">
      <w:start w:val="1"/>
      <w:numFmt w:val="lowerRoman"/>
      <w:lvlText w:val="%6."/>
      <w:lvlJc w:val="right"/>
      <w:pPr>
        <w:ind w:left="4320" w:hanging="180"/>
      </w:pPr>
    </w:lvl>
    <w:lvl w:ilvl="6" w:tplc="E642390A">
      <w:start w:val="1"/>
      <w:numFmt w:val="decimal"/>
      <w:lvlText w:val="%7."/>
      <w:lvlJc w:val="left"/>
      <w:pPr>
        <w:ind w:left="5040" w:hanging="360"/>
      </w:pPr>
    </w:lvl>
    <w:lvl w:ilvl="7" w:tplc="83E2FDF8">
      <w:start w:val="1"/>
      <w:numFmt w:val="lowerLetter"/>
      <w:lvlText w:val="%8."/>
      <w:lvlJc w:val="left"/>
      <w:pPr>
        <w:ind w:left="5760" w:hanging="360"/>
      </w:pPr>
    </w:lvl>
    <w:lvl w:ilvl="8" w:tplc="D122870C">
      <w:start w:val="1"/>
      <w:numFmt w:val="lowerRoman"/>
      <w:lvlText w:val="%9."/>
      <w:lvlJc w:val="right"/>
      <w:pPr>
        <w:ind w:left="6480" w:hanging="180"/>
      </w:pPr>
    </w:lvl>
  </w:abstractNum>
  <w:abstractNum w:abstractNumId="1" w15:restartNumberingAfterBreak="0">
    <w:nsid w:val="776419AB"/>
    <w:multiLevelType w:val="hybridMultilevel"/>
    <w:tmpl w:val="BA2E148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79223909">
    <w:abstractNumId w:val="0"/>
  </w:num>
  <w:num w:numId="2" w16cid:durableId="1707295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463314"/>
    <w:rsid w:val="000046C7"/>
    <w:rsid w:val="000072C4"/>
    <w:rsid w:val="00010CAC"/>
    <w:rsid w:val="00016BD3"/>
    <w:rsid w:val="000306D7"/>
    <w:rsid w:val="000373C7"/>
    <w:rsid w:val="000415CC"/>
    <w:rsid w:val="00044428"/>
    <w:rsid w:val="00044832"/>
    <w:rsid w:val="00045BB5"/>
    <w:rsid w:val="00056D1B"/>
    <w:rsid w:val="00061A6E"/>
    <w:rsid w:val="000677A4"/>
    <w:rsid w:val="00086BE8"/>
    <w:rsid w:val="000A46D5"/>
    <w:rsid w:val="000D6EBF"/>
    <w:rsid w:val="000E231B"/>
    <w:rsid w:val="000E5A30"/>
    <w:rsid w:val="00106BEF"/>
    <w:rsid w:val="00113978"/>
    <w:rsid w:val="0012115A"/>
    <w:rsid w:val="0013132C"/>
    <w:rsid w:val="00157AE6"/>
    <w:rsid w:val="00160EFA"/>
    <w:rsid w:val="00174098"/>
    <w:rsid w:val="00174A7D"/>
    <w:rsid w:val="00174DD1"/>
    <w:rsid w:val="00191C0B"/>
    <w:rsid w:val="001975C7"/>
    <w:rsid w:val="001A15E6"/>
    <w:rsid w:val="001A5F86"/>
    <w:rsid w:val="001A6E76"/>
    <w:rsid w:val="001D0EA3"/>
    <w:rsid w:val="001E12B2"/>
    <w:rsid w:val="001F1E47"/>
    <w:rsid w:val="002028EA"/>
    <w:rsid w:val="00203151"/>
    <w:rsid w:val="002176E7"/>
    <w:rsid w:val="00240848"/>
    <w:rsid w:val="00251199"/>
    <w:rsid w:val="0025197D"/>
    <w:rsid w:val="002542AA"/>
    <w:rsid w:val="00254B6B"/>
    <w:rsid w:val="00254E65"/>
    <w:rsid w:val="00260B8D"/>
    <w:rsid w:val="002664BC"/>
    <w:rsid w:val="002756D6"/>
    <w:rsid w:val="00276B12"/>
    <w:rsid w:val="00291BFC"/>
    <w:rsid w:val="002A30A9"/>
    <w:rsid w:val="002A6428"/>
    <w:rsid w:val="002C4DEB"/>
    <w:rsid w:val="002D2ACE"/>
    <w:rsid w:val="002E1EEB"/>
    <w:rsid w:val="002F0EA7"/>
    <w:rsid w:val="002F12CA"/>
    <w:rsid w:val="002F22C8"/>
    <w:rsid w:val="002F3CFF"/>
    <w:rsid w:val="00304E0F"/>
    <w:rsid w:val="003074AF"/>
    <w:rsid w:val="0031287E"/>
    <w:rsid w:val="00315DE5"/>
    <w:rsid w:val="003205F3"/>
    <w:rsid w:val="00325BD5"/>
    <w:rsid w:val="003363D2"/>
    <w:rsid w:val="0034780D"/>
    <w:rsid w:val="00353E74"/>
    <w:rsid w:val="00354FF2"/>
    <w:rsid w:val="00361C22"/>
    <w:rsid w:val="003632C9"/>
    <w:rsid w:val="0036589B"/>
    <w:rsid w:val="003724D6"/>
    <w:rsid w:val="00381B5E"/>
    <w:rsid w:val="00383368"/>
    <w:rsid w:val="003833A2"/>
    <w:rsid w:val="00384ABB"/>
    <w:rsid w:val="003A6A88"/>
    <w:rsid w:val="003C3211"/>
    <w:rsid w:val="003C43AB"/>
    <w:rsid w:val="003E7963"/>
    <w:rsid w:val="003F552C"/>
    <w:rsid w:val="00400599"/>
    <w:rsid w:val="0041682C"/>
    <w:rsid w:val="00420FB8"/>
    <w:rsid w:val="0044679A"/>
    <w:rsid w:val="00450AA3"/>
    <w:rsid w:val="00454A4B"/>
    <w:rsid w:val="0046115B"/>
    <w:rsid w:val="00461CCA"/>
    <w:rsid w:val="00463314"/>
    <w:rsid w:val="00464B64"/>
    <w:rsid w:val="004739BD"/>
    <w:rsid w:val="004834B6"/>
    <w:rsid w:val="0049473D"/>
    <w:rsid w:val="00494C9E"/>
    <w:rsid w:val="00497772"/>
    <w:rsid w:val="004A26A2"/>
    <w:rsid w:val="004A3EA8"/>
    <w:rsid w:val="004A47B4"/>
    <w:rsid w:val="004B1425"/>
    <w:rsid w:val="004C2794"/>
    <w:rsid w:val="004E08E1"/>
    <w:rsid w:val="004E61E4"/>
    <w:rsid w:val="004F756E"/>
    <w:rsid w:val="004F77AA"/>
    <w:rsid w:val="004F7DE8"/>
    <w:rsid w:val="00504BDC"/>
    <w:rsid w:val="0051012D"/>
    <w:rsid w:val="005135CA"/>
    <w:rsid w:val="00524396"/>
    <w:rsid w:val="005244FA"/>
    <w:rsid w:val="005464F3"/>
    <w:rsid w:val="00551E2B"/>
    <w:rsid w:val="00581B06"/>
    <w:rsid w:val="00595C3B"/>
    <w:rsid w:val="005A5D21"/>
    <w:rsid w:val="005C1E87"/>
    <w:rsid w:val="005C32C0"/>
    <w:rsid w:val="005C47C2"/>
    <w:rsid w:val="005C5097"/>
    <w:rsid w:val="005D15CC"/>
    <w:rsid w:val="005D34D6"/>
    <w:rsid w:val="005D3E72"/>
    <w:rsid w:val="005D7145"/>
    <w:rsid w:val="005D732F"/>
    <w:rsid w:val="005F1A3B"/>
    <w:rsid w:val="00601D24"/>
    <w:rsid w:val="00604771"/>
    <w:rsid w:val="00610E66"/>
    <w:rsid w:val="0061417A"/>
    <w:rsid w:val="006200BC"/>
    <w:rsid w:val="006224AB"/>
    <w:rsid w:val="00635609"/>
    <w:rsid w:val="0064202F"/>
    <w:rsid w:val="00644BFA"/>
    <w:rsid w:val="006827B5"/>
    <w:rsid w:val="006876BF"/>
    <w:rsid w:val="006A340D"/>
    <w:rsid w:val="006A4FE3"/>
    <w:rsid w:val="006A68F2"/>
    <w:rsid w:val="006B1581"/>
    <w:rsid w:val="006B6EEB"/>
    <w:rsid w:val="006C28CF"/>
    <w:rsid w:val="006C68C2"/>
    <w:rsid w:val="006D6E4A"/>
    <w:rsid w:val="006E23B3"/>
    <w:rsid w:val="006F2519"/>
    <w:rsid w:val="007016A6"/>
    <w:rsid w:val="00702DBB"/>
    <w:rsid w:val="00730F87"/>
    <w:rsid w:val="00731E04"/>
    <w:rsid w:val="00733C8A"/>
    <w:rsid w:val="00747EB1"/>
    <w:rsid w:val="007626C3"/>
    <w:rsid w:val="007641A6"/>
    <w:rsid w:val="00770760"/>
    <w:rsid w:val="007766BC"/>
    <w:rsid w:val="00776B14"/>
    <w:rsid w:val="00784E32"/>
    <w:rsid w:val="00784F90"/>
    <w:rsid w:val="00791E9B"/>
    <w:rsid w:val="00795A6E"/>
    <w:rsid w:val="00796981"/>
    <w:rsid w:val="00797F2A"/>
    <w:rsid w:val="007A471D"/>
    <w:rsid w:val="007B0962"/>
    <w:rsid w:val="007F4383"/>
    <w:rsid w:val="007F4E53"/>
    <w:rsid w:val="007F7F9C"/>
    <w:rsid w:val="008033B0"/>
    <w:rsid w:val="008033CF"/>
    <w:rsid w:val="00806CD4"/>
    <w:rsid w:val="00807842"/>
    <w:rsid w:val="0081069F"/>
    <w:rsid w:val="00815215"/>
    <w:rsid w:val="0082708D"/>
    <w:rsid w:val="00834E34"/>
    <w:rsid w:val="008361F9"/>
    <w:rsid w:val="00857BB7"/>
    <w:rsid w:val="00872C84"/>
    <w:rsid w:val="00875F6E"/>
    <w:rsid w:val="008831CD"/>
    <w:rsid w:val="00885903"/>
    <w:rsid w:val="00895C7B"/>
    <w:rsid w:val="008A42E0"/>
    <w:rsid w:val="008A458B"/>
    <w:rsid w:val="008C297E"/>
    <w:rsid w:val="008D5A85"/>
    <w:rsid w:val="008F5D78"/>
    <w:rsid w:val="00904204"/>
    <w:rsid w:val="00907623"/>
    <w:rsid w:val="00917232"/>
    <w:rsid w:val="00931EB0"/>
    <w:rsid w:val="0093416E"/>
    <w:rsid w:val="00941006"/>
    <w:rsid w:val="009431CB"/>
    <w:rsid w:val="00946464"/>
    <w:rsid w:val="009523DD"/>
    <w:rsid w:val="0095310E"/>
    <w:rsid w:val="00962075"/>
    <w:rsid w:val="00962BC9"/>
    <w:rsid w:val="00972DD8"/>
    <w:rsid w:val="00983B5A"/>
    <w:rsid w:val="00994592"/>
    <w:rsid w:val="0099539F"/>
    <w:rsid w:val="009A3A2D"/>
    <w:rsid w:val="009C2685"/>
    <w:rsid w:val="009D268B"/>
    <w:rsid w:val="009D2A68"/>
    <w:rsid w:val="009E0D17"/>
    <w:rsid w:val="009E39EE"/>
    <w:rsid w:val="009F4249"/>
    <w:rsid w:val="009F4B7C"/>
    <w:rsid w:val="00A04E6E"/>
    <w:rsid w:val="00A12B9F"/>
    <w:rsid w:val="00A3197C"/>
    <w:rsid w:val="00A41540"/>
    <w:rsid w:val="00A47DE4"/>
    <w:rsid w:val="00A91148"/>
    <w:rsid w:val="00A91F40"/>
    <w:rsid w:val="00AA0960"/>
    <w:rsid w:val="00AA2891"/>
    <w:rsid w:val="00AA53E4"/>
    <w:rsid w:val="00AB45C1"/>
    <w:rsid w:val="00AB6320"/>
    <w:rsid w:val="00AC262C"/>
    <w:rsid w:val="00AE420B"/>
    <w:rsid w:val="00AE58A8"/>
    <w:rsid w:val="00B21008"/>
    <w:rsid w:val="00B27E02"/>
    <w:rsid w:val="00B44DA7"/>
    <w:rsid w:val="00B44F3B"/>
    <w:rsid w:val="00B46CE7"/>
    <w:rsid w:val="00B51FB4"/>
    <w:rsid w:val="00B54E0E"/>
    <w:rsid w:val="00B6593B"/>
    <w:rsid w:val="00B75E9E"/>
    <w:rsid w:val="00B85EDC"/>
    <w:rsid w:val="00BA5081"/>
    <w:rsid w:val="00BB019B"/>
    <w:rsid w:val="00BB76DE"/>
    <w:rsid w:val="00BC3B38"/>
    <w:rsid w:val="00BC53BB"/>
    <w:rsid w:val="00BF4043"/>
    <w:rsid w:val="00C04085"/>
    <w:rsid w:val="00C0571D"/>
    <w:rsid w:val="00C05CA9"/>
    <w:rsid w:val="00C078C8"/>
    <w:rsid w:val="00C24839"/>
    <w:rsid w:val="00C338A4"/>
    <w:rsid w:val="00C35FD6"/>
    <w:rsid w:val="00C4154C"/>
    <w:rsid w:val="00C43B64"/>
    <w:rsid w:val="00C4523D"/>
    <w:rsid w:val="00C45FE0"/>
    <w:rsid w:val="00C87916"/>
    <w:rsid w:val="00C952EF"/>
    <w:rsid w:val="00CA3AC5"/>
    <w:rsid w:val="00CD06F7"/>
    <w:rsid w:val="00CE65F7"/>
    <w:rsid w:val="00CF5AEE"/>
    <w:rsid w:val="00D051CF"/>
    <w:rsid w:val="00D20BD4"/>
    <w:rsid w:val="00D2641D"/>
    <w:rsid w:val="00D2749E"/>
    <w:rsid w:val="00D274AA"/>
    <w:rsid w:val="00D30F4A"/>
    <w:rsid w:val="00D336B3"/>
    <w:rsid w:val="00D347E2"/>
    <w:rsid w:val="00D4288B"/>
    <w:rsid w:val="00D44CB6"/>
    <w:rsid w:val="00D50905"/>
    <w:rsid w:val="00D521BD"/>
    <w:rsid w:val="00D55AAA"/>
    <w:rsid w:val="00D620C7"/>
    <w:rsid w:val="00D70AEC"/>
    <w:rsid w:val="00D753E0"/>
    <w:rsid w:val="00D7548E"/>
    <w:rsid w:val="00D8437F"/>
    <w:rsid w:val="00D86272"/>
    <w:rsid w:val="00D919D3"/>
    <w:rsid w:val="00DB4014"/>
    <w:rsid w:val="00DC5EF6"/>
    <w:rsid w:val="00DC6FBF"/>
    <w:rsid w:val="00DC742F"/>
    <w:rsid w:val="00E53003"/>
    <w:rsid w:val="00E61388"/>
    <w:rsid w:val="00E65CD6"/>
    <w:rsid w:val="00E75A69"/>
    <w:rsid w:val="00E77042"/>
    <w:rsid w:val="00E773D0"/>
    <w:rsid w:val="00E8141D"/>
    <w:rsid w:val="00EA2369"/>
    <w:rsid w:val="00EA5EC1"/>
    <w:rsid w:val="00ED5C77"/>
    <w:rsid w:val="00EE1796"/>
    <w:rsid w:val="00EF2345"/>
    <w:rsid w:val="00EF4416"/>
    <w:rsid w:val="00EF6018"/>
    <w:rsid w:val="00F16623"/>
    <w:rsid w:val="00F178BD"/>
    <w:rsid w:val="00F544DE"/>
    <w:rsid w:val="00F666C3"/>
    <w:rsid w:val="00F6698F"/>
    <w:rsid w:val="00F74C3E"/>
    <w:rsid w:val="00F90C26"/>
    <w:rsid w:val="00FA500E"/>
    <w:rsid w:val="00FC223C"/>
    <w:rsid w:val="00FD185C"/>
    <w:rsid w:val="00FD35A2"/>
    <w:rsid w:val="00FD6447"/>
    <w:rsid w:val="00FE388E"/>
    <w:rsid w:val="00FE3EFC"/>
    <w:rsid w:val="00FF2D6D"/>
    <w:rsid w:val="00FF3904"/>
    <w:rsid w:val="04E332EB"/>
    <w:rsid w:val="10AC7C24"/>
    <w:rsid w:val="26631990"/>
    <w:rsid w:val="2D148323"/>
    <w:rsid w:val="39DD6A9E"/>
    <w:rsid w:val="3AD94CED"/>
    <w:rsid w:val="3C751D4E"/>
    <w:rsid w:val="3D52F484"/>
    <w:rsid w:val="494B80FA"/>
    <w:rsid w:val="5474ED40"/>
    <w:rsid w:val="54851826"/>
    <w:rsid w:val="54E51159"/>
    <w:rsid w:val="5C3339AF"/>
    <w:rsid w:val="614A72D1"/>
    <w:rsid w:val="6A3B4377"/>
    <w:rsid w:val="7017D0D2"/>
    <w:rsid w:val="770EA254"/>
    <w:rsid w:val="77DFE0A2"/>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B323E"/>
  <w15:chartTrackingRefBased/>
  <w15:docId w15:val="{21DCB538-8955-4006-876C-798A462C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FB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314"/>
    <w:pPr>
      <w:ind w:left="720"/>
      <w:contextualSpacing/>
    </w:pPr>
  </w:style>
  <w:style w:type="paragraph" w:styleId="Footer">
    <w:name w:val="footer"/>
    <w:basedOn w:val="Normal"/>
    <w:link w:val="FooterChar"/>
    <w:uiPriority w:val="99"/>
    <w:unhideWhenUsed/>
    <w:rsid w:val="00463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314"/>
    <w:rPr>
      <w:kern w:val="0"/>
      <w14:ligatures w14:val="none"/>
    </w:rPr>
  </w:style>
  <w:style w:type="paragraph" w:styleId="Header">
    <w:name w:val="header"/>
    <w:basedOn w:val="Normal"/>
    <w:link w:val="HeaderChar"/>
    <w:uiPriority w:val="99"/>
    <w:unhideWhenUsed/>
    <w:rsid w:val="00463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314"/>
    <w:rPr>
      <w:kern w:val="0"/>
      <w14:ligatures w14:val="none"/>
    </w:rPr>
  </w:style>
  <w:style w:type="character" w:styleId="Hyperlink">
    <w:name w:val="Hyperlink"/>
    <w:basedOn w:val="DefaultParagraphFont"/>
    <w:uiPriority w:val="99"/>
    <w:unhideWhenUsed/>
    <w:rsid w:val="00463314"/>
    <w:rPr>
      <w:color w:val="0000FF"/>
      <w:u w:val="single"/>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FSR footnote,lábléc,Footnote Text Char1"/>
    <w:basedOn w:val="Normal"/>
    <w:link w:val="FootnoteTextChar"/>
    <w:unhideWhenUsed/>
    <w:qFormat/>
    <w:rsid w:val="00463314"/>
    <w:pPr>
      <w:spacing w:after="0" w:line="240" w:lineRule="auto"/>
    </w:pPr>
    <w:rPr>
      <w:sz w:val="20"/>
      <w:szCs w:val="20"/>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qFormat/>
    <w:rsid w:val="00463314"/>
    <w:rPr>
      <w:kern w:val="0"/>
      <w:sz w:val="20"/>
      <w:szCs w:val="20"/>
      <w14:ligatures w14:val="none"/>
    </w:rPr>
  </w:style>
  <w:style w:type="character" w:styleId="FootnoteReference">
    <w:name w:val="footnote reference"/>
    <w:aliases w:val="BVI fnr,Error-Fußnotenzeichen5,Error-Fußnotenzeichen6,Error-Fußnotenzeichen3,de nota al pie,Ref,BVI fnr1,Error-Fußnotenzeichen51,Error-Fußnotenzeichen61,Error-Fußnotenzeichen31,de nota al pie1,Ref1,Footnote Reference1,註腳內容,11 pt,SUPER"/>
    <w:basedOn w:val="DefaultParagraphFont"/>
    <w:link w:val="ftrefCharCharCharCharCharCharCharCharChar"/>
    <w:uiPriority w:val="99"/>
    <w:unhideWhenUsed/>
    <w:rsid w:val="00463314"/>
    <w:rPr>
      <w:vertAlign w:val="superscript"/>
    </w:rPr>
  </w:style>
  <w:style w:type="paragraph" w:styleId="Revision">
    <w:name w:val="Revision"/>
    <w:hidden/>
    <w:uiPriority w:val="99"/>
    <w:semiHidden/>
    <w:rsid w:val="00FF3904"/>
    <w:pPr>
      <w:spacing w:after="0" w:line="240" w:lineRule="auto"/>
    </w:pPr>
    <w:rPr>
      <w:kern w:val="0"/>
      <w14:ligatures w14:val="none"/>
    </w:rPr>
  </w:style>
  <w:style w:type="character" w:styleId="CommentReference">
    <w:name w:val="annotation reference"/>
    <w:basedOn w:val="DefaultParagraphFont"/>
    <w:uiPriority w:val="99"/>
    <w:semiHidden/>
    <w:unhideWhenUsed/>
    <w:rsid w:val="0099539F"/>
    <w:rPr>
      <w:sz w:val="16"/>
      <w:szCs w:val="16"/>
    </w:rPr>
  </w:style>
  <w:style w:type="paragraph" w:styleId="CommentText">
    <w:name w:val="annotation text"/>
    <w:basedOn w:val="Normal"/>
    <w:link w:val="CommentTextChar"/>
    <w:uiPriority w:val="99"/>
    <w:unhideWhenUsed/>
    <w:rsid w:val="0099539F"/>
    <w:pPr>
      <w:spacing w:line="240" w:lineRule="auto"/>
    </w:pPr>
    <w:rPr>
      <w:sz w:val="20"/>
      <w:szCs w:val="20"/>
    </w:rPr>
  </w:style>
  <w:style w:type="character" w:customStyle="1" w:styleId="CommentTextChar">
    <w:name w:val="Comment Text Char"/>
    <w:basedOn w:val="DefaultParagraphFont"/>
    <w:link w:val="CommentText"/>
    <w:uiPriority w:val="99"/>
    <w:rsid w:val="0099539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9539F"/>
    <w:rPr>
      <w:b/>
      <w:bCs/>
    </w:rPr>
  </w:style>
  <w:style w:type="character" w:customStyle="1" w:styleId="CommentSubjectChar">
    <w:name w:val="Comment Subject Char"/>
    <w:basedOn w:val="CommentTextChar"/>
    <w:link w:val="CommentSubject"/>
    <w:uiPriority w:val="99"/>
    <w:semiHidden/>
    <w:rsid w:val="0099539F"/>
    <w:rPr>
      <w:b/>
      <w:bCs/>
      <w:kern w:val="0"/>
      <w:sz w:val="20"/>
      <w:szCs w:val="20"/>
      <w14:ligatures w14:val="none"/>
    </w:rPr>
  </w:style>
  <w:style w:type="character" w:customStyle="1" w:styleId="ui-provider">
    <w:name w:val="ui-provider"/>
    <w:basedOn w:val="DefaultParagraphFont"/>
    <w:rsid w:val="00304E0F"/>
  </w:style>
  <w:style w:type="character" w:styleId="UnresolvedMention">
    <w:name w:val="Unresolved Mention"/>
    <w:basedOn w:val="DefaultParagraphFont"/>
    <w:uiPriority w:val="99"/>
    <w:semiHidden/>
    <w:unhideWhenUsed/>
    <w:rsid w:val="00795A6E"/>
    <w:rPr>
      <w:color w:val="605E5C"/>
      <w:shd w:val="clear" w:color="auto" w:fill="E1DFDD"/>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link w:val="FootnoteReference"/>
    <w:uiPriority w:val="99"/>
    <w:rsid w:val="0081069F"/>
    <w:pPr>
      <w:spacing w:line="240" w:lineRule="exact"/>
    </w:pPr>
    <w:rPr>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6995">
      <w:bodyDiv w:val="1"/>
      <w:marLeft w:val="0"/>
      <w:marRight w:val="0"/>
      <w:marTop w:val="0"/>
      <w:marBottom w:val="0"/>
      <w:divBdr>
        <w:top w:val="none" w:sz="0" w:space="0" w:color="auto"/>
        <w:left w:val="none" w:sz="0" w:space="0" w:color="auto"/>
        <w:bottom w:val="none" w:sz="0" w:space="0" w:color="auto"/>
        <w:right w:val="none" w:sz="0" w:space="0" w:color="auto"/>
      </w:divBdr>
    </w:div>
    <w:div w:id="305743145">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84509948">
      <w:bodyDiv w:val="1"/>
      <w:marLeft w:val="0"/>
      <w:marRight w:val="0"/>
      <w:marTop w:val="0"/>
      <w:marBottom w:val="0"/>
      <w:divBdr>
        <w:top w:val="none" w:sz="0" w:space="0" w:color="auto"/>
        <w:left w:val="none" w:sz="0" w:space="0" w:color="auto"/>
        <w:bottom w:val="none" w:sz="0" w:space="0" w:color="auto"/>
        <w:right w:val="none" w:sz="0" w:space="0" w:color="auto"/>
      </w:divBdr>
    </w:div>
    <w:div w:id="905190805">
      <w:bodyDiv w:val="1"/>
      <w:marLeft w:val="0"/>
      <w:marRight w:val="0"/>
      <w:marTop w:val="0"/>
      <w:marBottom w:val="0"/>
      <w:divBdr>
        <w:top w:val="none" w:sz="0" w:space="0" w:color="auto"/>
        <w:left w:val="none" w:sz="0" w:space="0" w:color="auto"/>
        <w:bottom w:val="none" w:sz="0" w:space="0" w:color="auto"/>
        <w:right w:val="none" w:sz="0" w:space="0" w:color="auto"/>
      </w:divBdr>
    </w:div>
    <w:div w:id="923421419">
      <w:bodyDiv w:val="1"/>
      <w:marLeft w:val="0"/>
      <w:marRight w:val="0"/>
      <w:marTop w:val="0"/>
      <w:marBottom w:val="0"/>
      <w:divBdr>
        <w:top w:val="none" w:sz="0" w:space="0" w:color="auto"/>
        <w:left w:val="none" w:sz="0" w:space="0" w:color="auto"/>
        <w:bottom w:val="none" w:sz="0" w:space="0" w:color="auto"/>
        <w:right w:val="none" w:sz="0" w:space="0" w:color="auto"/>
      </w:divBdr>
    </w:div>
    <w:div w:id="1018896333">
      <w:bodyDiv w:val="1"/>
      <w:marLeft w:val="0"/>
      <w:marRight w:val="0"/>
      <w:marTop w:val="0"/>
      <w:marBottom w:val="0"/>
      <w:divBdr>
        <w:top w:val="none" w:sz="0" w:space="0" w:color="auto"/>
        <w:left w:val="none" w:sz="0" w:space="0" w:color="auto"/>
        <w:bottom w:val="none" w:sz="0" w:space="0" w:color="auto"/>
        <w:right w:val="none" w:sz="0" w:space="0" w:color="auto"/>
      </w:divBdr>
    </w:div>
    <w:div w:id="1096706720">
      <w:bodyDiv w:val="1"/>
      <w:marLeft w:val="0"/>
      <w:marRight w:val="0"/>
      <w:marTop w:val="0"/>
      <w:marBottom w:val="0"/>
      <w:divBdr>
        <w:top w:val="none" w:sz="0" w:space="0" w:color="auto"/>
        <w:left w:val="none" w:sz="0" w:space="0" w:color="auto"/>
        <w:bottom w:val="none" w:sz="0" w:space="0" w:color="auto"/>
        <w:right w:val="none" w:sz="0" w:space="0" w:color="auto"/>
      </w:divBdr>
    </w:div>
    <w:div w:id="1124036540">
      <w:bodyDiv w:val="1"/>
      <w:marLeft w:val="0"/>
      <w:marRight w:val="0"/>
      <w:marTop w:val="0"/>
      <w:marBottom w:val="0"/>
      <w:divBdr>
        <w:top w:val="none" w:sz="0" w:space="0" w:color="auto"/>
        <w:left w:val="none" w:sz="0" w:space="0" w:color="auto"/>
        <w:bottom w:val="none" w:sz="0" w:space="0" w:color="auto"/>
        <w:right w:val="none" w:sz="0" w:space="0" w:color="auto"/>
      </w:divBdr>
    </w:div>
    <w:div w:id="1147669390">
      <w:bodyDiv w:val="1"/>
      <w:marLeft w:val="0"/>
      <w:marRight w:val="0"/>
      <w:marTop w:val="0"/>
      <w:marBottom w:val="0"/>
      <w:divBdr>
        <w:top w:val="none" w:sz="0" w:space="0" w:color="auto"/>
        <w:left w:val="none" w:sz="0" w:space="0" w:color="auto"/>
        <w:bottom w:val="none" w:sz="0" w:space="0" w:color="auto"/>
        <w:right w:val="none" w:sz="0" w:space="0" w:color="auto"/>
      </w:divBdr>
    </w:div>
    <w:div w:id="1234659882">
      <w:bodyDiv w:val="1"/>
      <w:marLeft w:val="0"/>
      <w:marRight w:val="0"/>
      <w:marTop w:val="0"/>
      <w:marBottom w:val="0"/>
      <w:divBdr>
        <w:top w:val="none" w:sz="0" w:space="0" w:color="auto"/>
        <w:left w:val="none" w:sz="0" w:space="0" w:color="auto"/>
        <w:bottom w:val="none" w:sz="0" w:space="0" w:color="auto"/>
        <w:right w:val="none" w:sz="0" w:space="0" w:color="auto"/>
      </w:divBdr>
    </w:div>
    <w:div w:id="1306276187">
      <w:bodyDiv w:val="1"/>
      <w:marLeft w:val="0"/>
      <w:marRight w:val="0"/>
      <w:marTop w:val="0"/>
      <w:marBottom w:val="0"/>
      <w:divBdr>
        <w:top w:val="none" w:sz="0" w:space="0" w:color="auto"/>
        <w:left w:val="none" w:sz="0" w:space="0" w:color="auto"/>
        <w:bottom w:val="none" w:sz="0" w:space="0" w:color="auto"/>
        <w:right w:val="none" w:sz="0" w:space="0" w:color="auto"/>
      </w:divBdr>
    </w:div>
    <w:div w:id="1325401041">
      <w:bodyDiv w:val="1"/>
      <w:marLeft w:val="0"/>
      <w:marRight w:val="0"/>
      <w:marTop w:val="0"/>
      <w:marBottom w:val="0"/>
      <w:divBdr>
        <w:top w:val="none" w:sz="0" w:space="0" w:color="auto"/>
        <w:left w:val="none" w:sz="0" w:space="0" w:color="auto"/>
        <w:bottom w:val="none" w:sz="0" w:space="0" w:color="auto"/>
        <w:right w:val="none" w:sz="0" w:space="0" w:color="auto"/>
      </w:divBdr>
    </w:div>
    <w:div w:id="1623489306">
      <w:bodyDiv w:val="1"/>
      <w:marLeft w:val="0"/>
      <w:marRight w:val="0"/>
      <w:marTop w:val="0"/>
      <w:marBottom w:val="0"/>
      <w:divBdr>
        <w:top w:val="none" w:sz="0" w:space="0" w:color="auto"/>
        <w:left w:val="none" w:sz="0" w:space="0" w:color="auto"/>
        <w:bottom w:val="none" w:sz="0" w:space="0" w:color="auto"/>
        <w:right w:val="none" w:sz="0" w:space="0" w:color="auto"/>
      </w:divBdr>
    </w:div>
    <w:div w:id="1726105462">
      <w:bodyDiv w:val="1"/>
      <w:marLeft w:val="0"/>
      <w:marRight w:val="0"/>
      <w:marTop w:val="0"/>
      <w:marBottom w:val="0"/>
      <w:divBdr>
        <w:top w:val="none" w:sz="0" w:space="0" w:color="auto"/>
        <w:left w:val="none" w:sz="0" w:space="0" w:color="auto"/>
        <w:bottom w:val="none" w:sz="0" w:space="0" w:color="auto"/>
        <w:right w:val="none" w:sz="0" w:space="0" w:color="auto"/>
      </w:divBdr>
    </w:div>
    <w:div w:id="1949003559">
      <w:bodyDiv w:val="1"/>
      <w:marLeft w:val="0"/>
      <w:marRight w:val="0"/>
      <w:marTop w:val="0"/>
      <w:marBottom w:val="0"/>
      <w:divBdr>
        <w:top w:val="none" w:sz="0" w:space="0" w:color="auto"/>
        <w:left w:val="none" w:sz="0" w:space="0" w:color="auto"/>
        <w:bottom w:val="none" w:sz="0" w:space="0" w:color="auto"/>
        <w:right w:val="none" w:sz="0" w:space="0" w:color="auto"/>
      </w:divBdr>
    </w:div>
    <w:div w:id="1963613520">
      <w:bodyDiv w:val="1"/>
      <w:marLeft w:val="0"/>
      <w:marRight w:val="0"/>
      <w:marTop w:val="0"/>
      <w:marBottom w:val="0"/>
      <w:divBdr>
        <w:top w:val="none" w:sz="0" w:space="0" w:color="auto"/>
        <w:left w:val="none" w:sz="0" w:space="0" w:color="auto"/>
        <w:bottom w:val="none" w:sz="0" w:space="0" w:color="auto"/>
        <w:right w:val="none" w:sz="0" w:space="0" w:color="auto"/>
      </w:divBdr>
    </w:div>
    <w:div w:id="19908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rade.ec.europa.eu/access-to-markets/fr/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5" ma:contentTypeDescription="Create a new document." ma:contentTypeScope="" ma:versionID="b93d677606fef931a550dade1ab12531">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b7038c70bc82b79f404c714f4f20151e"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628c07f-240a-48ab-8076-aa5fc22a31d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78A59-864E-4967-B584-BF338A7893FD}">
  <ds:schemaRefs>
    <ds:schemaRef ds:uri="http://schemas.openxmlformats.org/officeDocument/2006/bibliography"/>
  </ds:schemaRefs>
</ds:datastoreItem>
</file>

<file path=customXml/itemProps2.xml><?xml version="1.0" encoding="utf-8"?>
<ds:datastoreItem xmlns:ds="http://schemas.openxmlformats.org/officeDocument/2006/customXml" ds:itemID="{019B7F6C-7626-49F6-8F66-BD643482FC00}">
  <ds:schemaRefs>
    <ds:schemaRef ds:uri="http://schemas.microsoft.com/sharepoint/v3/contenttype/forms"/>
  </ds:schemaRefs>
</ds:datastoreItem>
</file>

<file path=customXml/itemProps3.xml><?xml version="1.0" encoding="utf-8"?>
<ds:datastoreItem xmlns:ds="http://schemas.openxmlformats.org/officeDocument/2006/customXml" ds:itemID="{53D87820-6C0D-412A-9519-C1369890FC93}">
  <ds:schemaRefs>
    <ds:schemaRef ds:uri="http://schemas.microsoft.com/office/2006/metadata/properties"/>
    <ds:schemaRef ds:uri="http://schemas.microsoft.com/office/infopath/2007/PartnerControls"/>
    <ds:schemaRef ds:uri="ba7bd860-1739-4001-af8a-147771a6eb05"/>
    <ds:schemaRef ds:uri="a5835c61-ca2e-49ee-8dca-a76e9f0344a3"/>
  </ds:schemaRefs>
</ds:datastoreItem>
</file>

<file path=customXml/itemProps4.xml><?xml version="1.0" encoding="utf-8"?>
<ds:datastoreItem xmlns:ds="http://schemas.openxmlformats.org/officeDocument/2006/customXml" ds:itemID="{8CE03483-12D7-4A56-914B-56A570CBE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3388</Words>
  <Characters>18537</Characters>
  <Application>Microsoft Office Word</Application>
  <DocSecurity>0</DocSecurity>
  <Lines>247</Lines>
  <Paragraphs>47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BREITBURD Sarah (TRADE)</dc:creator>
  <cp:keywords/>
  <dc:description/>
  <cp:lastModifiedBy>DELBAER Gerda (SG)</cp:lastModifiedBy>
  <cp:revision>2</cp:revision>
  <cp:lastPrinted>2024-02-20T11:32:00Z</cp:lastPrinted>
  <dcterms:created xsi:type="dcterms:W3CDTF">2024-06-07T09:15:00Z</dcterms:created>
  <dcterms:modified xsi:type="dcterms:W3CDTF">2024-06-07T09:15:00Z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2024-02-12T09:14:54Z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13df90cc-54f3-4953-9eb4-f528e0200b98</vt:lpwstr>
  </property>
  <property fmtid="{D5CDD505-2E9C-101B-9397-08002B2CF9AE}" pid="8" name="MSIP_Label_6bd9ddd1-4d20-43f6-abfa-fc3c07406f94_ContentBits">
    <vt:lpwstr>0</vt:lpwstr>
  </property>
  <property fmtid="{D5CDD505-2E9C-101B-9397-08002B2CF9AE}" pid="9" name="ContentTypeId">
    <vt:lpwstr>0x0101008B18F24F2D4E8140A461B5DCD99F9D2E</vt:lpwstr>
  </property>
  <property fmtid="{D5CDD505-2E9C-101B-9397-08002B2CF9AE}" pid="10" name="MediaServiceImageTags">
    <vt:lpwstr/>
  </property>
</Properties>
</file>