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3A8F5" w14:textId="2B239B07" w:rsidR="00AD7A7C" w:rsidRPr="00D46C59" w:rsidRDefault="00AD7A7C" w:rsidP="00AD7A7C">
      <w:pPr>
        <w:spacing w:after="600"/>
        <w:jc w:val="center"/>
        <w:rPr>
          <w:rFonts w:ascii="Times New Roman" w:hAnsi="Times New Roman"/>
          <w:b/>
          <w:bCs/>
        </w:rPr>
      </w:pPr>
      <w:bookmarkStart w:id="0" w:name="HU"/>
      <w:r>
        <w:rPr>
          <w:rFonts w:ascii="Times New Roman" w:hAnsi="Times New Roman"/>
          <w:b/>
        </w:rPr>
        <w:t>Suite donnée à la résolution législative du Parlement européen sur la situation en Hongrie et le gel des fonds de l’Union européenne</w:t>
      </w:r>
    </w:p>
    <w:bookmarkEnd w:id="0"/>
    <w:p w14:paraId="0E3585F7" w14:textId="77777777" w:rsidR="00AD7A7C" w:rsidRPr="005A00C3" w:rsidRDefault="00AD7A7C" w:rsidP="00AD7A7C">
      <w:pPr>
        <w:numPr>
          <w:ilvl w:val="0"/>
          <w:numId w:val="40"/>
        </w:numPr>
        <w:ind w:left="567" w:hanging="567"/>
        <w:rPr>
          <w:rFonts w:ascii="Times New Roman" w:hAnsi="Times New Roman"/>
          <w:b/>
          <w:szCs w:val="24"/>
        </w:rPr>
      </w:pPr>
      <w:r>
        <w:rPr>
          <w:rFonts w:ascii="Times New Roman" w:hAnsi="Times New Roman"/>
          <w:b/>
        </w:rPr>
        <w:t>Résolution présentée conformément à l’article 132, paragraphe 2, du règlement intérieur du Parlement européen</w:t>
      </w:r>
    </w:p>
    <w:p w14:paraId="366108BB" w14:textId="77777777" w:rsidR="00AD7A7C" w:rsidRPr="00CC7CD7" w:rsidRDefault="00AD7A7C" w:rsidP="00AD7A7C">
      <w:pPr>
        <w:numPr>
          <w:ilvl w:val="0"/>
          <w:numId w:val="40"/>
        </w:numPr>
        <w:ind w:left="567" w:hanging="567"/>
        <w:rPr>
          <w:rFonts w:ascii="Times New Roman" w:hAnsi="Times New Roman"/>
          <w:i/>
          <w:szCs w:val="24"/>
        </w:rPr>
      </w:pPr>
      <w:r>
        <w:rPr>
          <w:rFonts w:ascii="Times New Roman" w:hAnsi="Times New Roman"/>
          <w:b/>
        </w:rPr>
        <w:t xml:space="preserve">Numéros de référence: </w:t>
      </w:r>
      <w:r>
        <w:rPr>
          <w:rFonts w:ascii="Times New Roman" w:hAnsi="Times New Roman"/>
        </w:rPr>
        <w:t>2024</w:t>
      </w:r>
      <w:hyperlink r:id="rId11">
        <w:r>
          <w:rPr>
            <w:rFonts w:ascii="Times New Roman" w:hAnsi="Times New Roman"/>
          </w:rPr>
          <w:t>/2512 (RSP)</w:t>
        </w:r>
      </w:hyperlink>
      <w:r>
        <w:rPr>
          <w:rFonts w:ascii="Times New Roman" w:hAnsi="Times New Roman"/>
        </w:rPr>
        <w:t xml:space="preserve"> / B9-0086/2024/ P9_TA(2024)0053</w:t>
      </w:r>
    </w:p>
    <w:p w14:paraId="4398CA05" w14:textId="77777777" w:rsidR="00AD7A7C" w:rsidRPr="004C4B21" w:rsidRDefault="00AD7A7C" w:rsidP="00AD7A7C">
      <w:pPr>
        <w:numPr>
          <w:ilvl w:val="0"/>
          <w:numId w:val="40"/>
        </w:numPr>
        <w:ind w:left="567" w:hanging="567"/>
        <w:rPr>
          <w:rFonts w:ascii="Times New Roman" w:hAnsi="Times New Roman"/>
          <w:bCs/>
          <w:szCs w:val="24"/>
        </w:rPr>
      </w:pPr>
      <w:r>
        <w:rPr>
          <w:rFonts w:ascii="Times New Roman" w:hAnsi="Times New Roman"/>
          <w:b/>
        </w:rPr>
        <w:t xml:space="preserve">Date d’adoption de la résolution: </w:t>
      </w:r>
      <w:r>
        <w:rPr>
          <w:rFonts w:ascii="Times New Roman" w:hAnsi="Times New Roman"/>
        </w:rPr>
        <w:t>18 janvier 2024</w:t>
      </w:r>
    </w:p>
    <w:p w14:paraId="578B04B8" w14:textId="77777777" w:rsidR="00AD7A7C" w:rsidRPr="00EA5499" w:rsidRDefault="00AD7A7C" w:rsidP="00AD7A7C">
      <w:pPr>
        <w:widowControl w:val="0"/>
        <w:numPr>
          <w:ilvl w:val="0"/>
          <w:numId w:val="40"/>
        </w:numPr>
        <w:ind w:left="567" w:hanging="567"/>
        <w:rPr>
          <w:rFonts w:ascii="Times New Roman" w:hAnsi="Times New Roman"/>
          <w:szCs w:val="24"/>
        </w:rPr>
      </w:pPr>
      <w:r>
        <w:rPr>
          <w:rFonts w:ascii="Times New Roman" w:hAnsi="Times New Roman"/>
          <w:b/>
        </w:rPr>
        <w:t>Commission parlementaire compétente</w:t>
      </w:r>
      <w:r>
        <w:rPr>
          <w:b/>
        </w:rPr>
        <w:t>:</w:t>
      </w:r>
      <w:r>
        <w:rPr>
          <w:rFonts w:ascii="Times New Roman" w:hAnsi="Times New Roman"/>
          <w:b/>
        </w:rPr>
        <w:t xml:space="preserve"> </w:t>
      </w:r>
      <w:r>
        <w:rPr>
          <w:rFonts w:ascii="Times New Roman" w:hAnsi="Times New Roman"/>
        </w:rPr>
        <w:t>Sans objet</w:t>
      </w:r>
    </w:p>
    <w:p w14:paraId="0B40FE0F" w14:textId="77777777" w:rsidR="00AD7A7C" w:rsidRPr="00EA5499" w:rsidRDefault="00AD7A7C" w:rsidP="00AD7A7C">
      <w:pPr>
        <w:widowControl w:val="0"/>
        <w:numPr>
          <w:ilvl w:val="0"/>
          <w:numId w:val="40"/>
        </w:numPr>
        <w:ind w:left="567" w:hanging="567"/>
        <w:rPr>
          <w:rFonts w:ascii="Times New Roman" w:hAnsi="Times New Roman"/>
          <w:szCs w:val="24"/>
        </w:rPr>
      </w:pPr>
      <w:r>
        <w:rPr>
          <w:rFonts w:ascii="Times New Roman" w:hAnsi="Times New Roman"/>
          <w:b/>
        </w:rPr>
        <w:t>Analyse/évaluation succincte de la résolution et des demandes qu’elle contient:</w:t>
      </w:r>
    </w:p>
    <w:p w14:paraId="575F388D" w14:textId="77777777" w:rsidR="00AD7A7C" w:rsidRDefault="00AD7A7C" w:rsidP="00AD7A7C">
      <w:pPr>
        <w:widowControl w:val="0"/>
        <w:spacing w:after="120"/>
        <w:rPr>
          <w:rFonts w:ascii="Times New Roman" w:hAnsi="Times New Roman"/>
          <w:szCs w:val="24"/>
        </w:rPr>
      </w:pPr>
      <w:r>
        <w:rPr>
          <w:rFonts w:ascii="Times New Roman" w:hAnsi="Times New Roman"/>
        </w:rPr>
        <w:t>Le Parlement européen a adopté, par 345 voix pour, 104 voix contre et 29 abstentions, une résolution sur la situation en Hongrie et le gel des fonds de l’Union.</w:t>
      </w:r>
    </w:p>
    <w:p w14:paraId="7B094E6A" w14:textId="77777777" w:rsidR="00AD7A7C" w:rsidRDefault="00AD7A7C" w:rsidP="00AD7A7C">
      <w:pPr>
        <w:widowControl w:val="0"/>
        <w:spacing w:after="120"/>
        <w:rPr>
          <w:rFonts w:ascii="Times New Roman" w:hAnsi="Times New Roman"/>
        </w:rPr>
      </w:pPr>
      <w:r>
        <w:rPr>
          <w:rFonts w:ascii="Times New Roman" w:hAnsi="Times New Roman"/>
        </w:rPr>
        <w:t>Le Parlement européen a condamné les tentatives systématiques, continues et délibérées du gouvernement hongrois de saper les valeurs fondatrices de l’Union. Le Parlement s’est déclaré vivement préoccupé par la poursuite de l’affaiblissement de la démocratie, de l’état de droit et des droits fondamentaux en Hongrie, notamment au moyen de l’ensemble de lois relatif à la «protection de la souveraineté nationale» adopté récemment, qui a été comparé à la célèbre loi russe sur les «agents étrangers».</w:t>
      </w:r>
    </w:p>
    <w:p w14:paraId="2F122681" w14:textId="77777777" w:rsidR="00AD7A7C" w:rsidRPr="0062518B" w:rsidRDefault="00AD7A7C" w:rsidP="00AD7A7C">
      <w:pPr>
        <w:widowControl w:val="0"/>
        <w:spacing w:after="120"/>
        <w:rPr>
          <w:rFonts w:ascii="Times New Roman" w:hAnsi="Times New Roman"/>
          <w:szCs w:val="24"/>
        </w:rPr>
      </w:pPr>
      <w:r>
        <w:rPr>
          <w:rFonts w:ascii="Times New Roman" w:hAnsi="Times New Roman"/>
        </w:rPr>
        <w:t>Regrettant que le Conseil n’ait pas appliqué la procédure au titre l’article 7, paragraphe 1 (à la suite de l’activation du mécanisme par le Parlement en 2018), le Parlement a invité le Conseil européen à déterminer si la Hongrie a commis des «violations graves et persistantes des valeurs de l’Union» dans le cadre de la procédure plus directe prévue à l’article 7, paragraphe 2. Il a également condamné les actions du Premier ministre Viktor Orbán, qui, en décembre dernier, a bloqué la décision essentielle sur la révision du budget à long terme de l’Union, y compris l’ensemble de mesures en faveur de l’Ukraine, «au mépris total et en violation complète des intérêts stratégiques de l’Union» et en violation du principe de coopération loyale. L’Union ne doit pas céder au chantage, a souligné par le Parlement.</w:t>
      </w:r>
    </w:p>
    <w:p w14:paraId="665BEF37" w14:textId="4B1542D2" w:rsidR="00AD7A7C" w:rsidRPr="0062518B" w:rsidRDefault="00AD7A7C" w:rsidP="00AD7A7C">
      <w:pPr>
        <w:widowControl w:val="0"/>
        <w:spacing w:after="120"/>
        <w:rPr>
          <w:rFonts w:ascii="Times New Roman" w:hAnsi="Times New Roman"/>
          <w:szCs w:val="24"/>
        </w:rPr>
      </w:pPr>
      <w:r>
        <w:rPr>
          <w:rFonts w:ascii="Times New Roman" w:hAnsi="Times New Roman"/>
        </w:rPr>
        <w:t>Le Parlement déplore la décision de débloquer jusqu’à 10,2 milliards d’</w:t>
      </w:r>
      <w:r w:rsidR="006475D6">
        <w:rPr>
          <w:rFonts w:ascii="Times New Roman" w:hAnsi="Times New Roman"/>
        </w:rPr>
        <w:t>EUR</w:t>
      </w:r>
      <w:r>
        <w:rPr>
          <w:rFonts w:ascii="Times New Roman" w:hAnsi="Times New Roman"/>
        </w:rPr>
        <w:t xml:space="preserve"> de fonds précédemment gelés, décision adoptée par la Commission alors que la Hongrie n’a pas mené à bien les réformes demandées en matière d’indépendance de la justice et que la Commission a récemment prolongé l’application des mesures du règlement sur la conditionnalité.</w:t>
      </w:r>
    </w:p>
    <w:p w14:paraId="6FF4EE57" w14:textId="77777777" w:rsidR="00AD7A7C" w:rsidRPr="0062518B" w:rsidRDefault="00AD7A7C" w:rsidP="00AD7A7C">
      <w:pPr>
        <w:widowControl w:val="0"/>
        <w:spacing w:after="120"/>
        <w:rPr>
          <w:rFonts w:ascii="Times New Roman" w:hAnsi="Times New Roman"/>
          <w:szCs w:val="24"/>
        </w:rPr>
      </w:pPr>
      <w:r>
        <w:rPr>
          <w:rFonts w:ascii="Times New Roman" w:hAnsi="Times New Roman"/>
        </w:rPr>
        <w:t>En outre, le Parlement a condamné les pratiques discriminatoires systémiques signalées, dont font l’objet le monde universitaire, les journalistes, les partis politiques et la société civile lors de l’attribution de fonds. Il a déploré le recours à des procédures de passation de marchés publics manipulées, les offres publiques d’acquisition par le gouvernement et les entités proches du Premier ministre, ainsi que l’utilisation de fonds de l’Union pour enrichir les alliés politiques du gouvernement.</w:t>
      </w:r>
    </w:p>
    <w:p w14:paraId="226865E2" w14:textId="77777777" w:rsidR="00AD7A7C" w:rsidRPr="0062518B" w:rsidRDefault="00AD7A7C" w:rsidP="00AD7A7C">
      <w:pPr>
        <w:widowControl w:val="0"/>
        <w:spacing w:after="120"/>
        <w:rPr>
          <w:rFonts w:ascii="Times New Roman" w:hAnsi="Times New Roman"/>
          <w:szCs w:val="24"/>
        </w:rPr>
      </w:pPr>
      <w:r>
        <w:rPr>
          <w:rFonts w:ascii="Times New Roman" w:hAnsi="Times New Roman"/>
        </w:rPr>
        <w:t>Les mesures requises pour libérer le financement de l’Union en vertu des différentes règles doivent être considérées comme un seul ensemble, et aucun paiement ne devrait être effectué si des lacunes persistent dans n’importe quel domaine. Le Parlement examinera s’il y a lieu d’engager une action en justice pour annuler la décision de débloquer partiellement des fonds, et note qu’il peut recourir à toute une série de mesures juridiques et politiques si la Commission ne respecte pas ses obligations en tant que gardienne des traités et son devoir de protéger les intérêts financiers de l’Union.</w:t>
      </w:r>
    </w:p>
    <w:p w14:paraId="1A1966B2" w14:textId="77777777" w:rsidR="00AD7A7C" w:rsidRPr="00747D86" w:rsidRDefault="00AD7A7C" w:rsidP="00AD7A7C">
      <w:pPr>
        <w:widowControl w:val="0"/>
        <w:spacing w:after="120"/>
        <w:rPr>
          <w:rFonts w:ascii="Times New Roman" w:hAnsi="Times New Roman"/>
          <w:szCs w:val="24"/>
        </w:rPr>
      </w:pPr>
      <w:r>
        <w:rPr>
          <w:rFonts w:ascii="Times New Roman" w:hAnsi="Times New Roman"/>
        </w:rPr>
        <w:lastRenderedPageBreak/>
        <w:t>Compte tenu de ces éléments, le Parlement s’interroge sur la capacité du gouvernement hongrois de remplir ses fonctions au second semestre de 2024, en avertissant que, en cas de vacance du poste de président du Conseil européen, ces fonctions reviendraient au Premier ministre hongrois tant que son pays assure la présidence semestrielle du Conseil. Le Parlement demande au Conseil de trouver des solutions appropriées pour atténuer ces risques et appelle à des réformes du processus décisionnel du Conseil afin de mettre fin au recours abusif au droit de veto et au chantage.</w:t>
      </w:r>
    </w:p>
    <w:p w14:paraId="5B857B1A" w14:textId="77777777" w:rsidR="00AD7A7C" w:rsidRPr="00CC00C1" w:rsidRDefault="00AD7A7C" w:rsidP="00AD7A7C">
      <w:pPr>
        <w:widowControl w:val="0"/>
        <w:numPr>
          <w:ilvl w:val="0"/>
          <w:numId w:val="40"/>
        </w:numPr>
        <w:ind w:left="567" w:hanging="567"/>
        <w:rPr>
          <w:rFonts w:ascii="Times New Roman" w:hAnsi="Times New Roman"/>
          <w:b/>
          <w:i/>
          <w:szCs w:val="24"/>
        </w:rPr>
      </w:pPr>
      <w:r>
        <w:rPr>
          <w:rFonts w:ascii="Times New Roman" w:hAnsi="Times New Roman"/>
          <w:b/>
        </w:rPr>
        <w:t>Réponse à ces demandes et aperçu des mesures que la Commission a prises ou envisage de prendre:</w:t>
      </w:r>
    </w:p>
    <w:p w14:paraId="2AD07661" w14:textId="77777777" w:rsidR="00AD7A7C" w:rsidRDefault="00AD7A7C" w:rsidP="00AD7A7C">
      <w:pPr>
        <w:widowControl w:val="0"/>
        <w:spacing w:after="120"/>
        <w:rPr>
          <w:rFonts w:ascii="Times New Roman" w:hAnsi="Times New Roman"/>
        </w:rPr>
      </w:pPr>
      <w:r>
        <w:rPr>
          <w:rFonts w:ascii="Times New Roman" w:hAnsi="Times New Roman"/>
        </w:rPr>
        <w:t>L’état de droit est l’une des valeurs fondatrices de l’Union européenne, comme le prévoit l’article 2 du traité sur l’Union européenne. La Commission, conjointement avec toutes les autres institutions de l’UE, est chargée, en vertu des traités, de garantir le respect de cet état de droit.</w:t>
      </w:r>
    </w:p>
    <w:p w14:paraId="1A5A2A3A" w14:textId="77777777" w:rsidR="00AD7A7C" w:rsidRDefault="00AD7A7C" w:rsidP="00AD7A7C">
      <w:pPr>
        <w:pStyle w:val="Briefinglist1"/>
        <w:widowControl w:val="0"/>
        <w:spacing w:after="120"/>
        <w:jc w:val="both"/>
      </w:pPr>
      <w:r>
        <w:t>Le 15 décembre 2022, sur la base de la proposition de la Commission, le Conseil a adopté une décision d’exécution concernant des mesures budgétaires visant à protéger le budget de l’Union contre les violations de l’état de droit en Hongrie en vertu du règlement sur la conditionnalité</w:t>
      </w:r>
      <w:r>
        <w:rPr>
          <w:rStyle w:val="FootnoteReference"/>
        </w:rPr>
        <w:footnoteReference w:id="2"/>
      </w:r>
      <w:r>
        <w:t>. Depuis l’adoption des mesures l’année dernière, la Commission a échangé avec la Hongrie afin d’étudier les possibilités de mesures correctives adéquates. Toutefois, la Hongrie n’a adopté et notifié formellement à la Commission aucune nouvelle mesure corrective à ce jour</w:t>
      </w:r>
      <w:r>
        <w:rPr>
          <w:rStyle w:val="FootnoteReference"/>
        </w:rPr>
        <w:footnoteReference w:id="3"/>
      </w:r>
      <w:r>
        <w:t>. En vertu de l’article 7 du règlement sur la conditionnalité, la Hongrie peut demander que les mesures soient levées ou adaptées par le Conseil, à la suite d’une évaluation de la Commission, en démontrant qu’il a été remédié (respectivement) en tout ou en partie à la situation ayant conduit à l’adoption des mesures.</w:t>
      </w:r>
    </w:p>
    <w:p w14:paraId="1012B563" w14:textId="77777777" w:rsidR="00AD7A7C" w:rsidRDefault="00AD7A7C" w:rsidP="00AD7A7C">
      <w:pPr>
        <w:pStyle w:val="Briefinglist1"/>
        <w:widowControl w:val="0"/>
        <w:spacing w:after="120"/>
        <w:jc w:val="both"/>
      </w:pPr>
      <w:r>
        <w:t>Le 13 décembre 2023, en l’absence de notification écrite de la Hongrie demandant la levée (ou l’adaptation) des mesures, la Commission a réévalué, par décision motivée, la situation en Hongrie. Lors de cette réévaluation, elle a constaté que la Hongrie n’avait pas adopté de nouvelles mesures correctives qui permettraient d’apporter une réponse adéquate aux problèmes en suspens dans le cadre de cette procédure.</w:t>
      </w:r>
    </w:p>
    <w:p w14:paraId="38C540ED" w14:textId="77777777" w:rsidR="00AD7A7C" w:rsidRDefault="00AD7A7C" w:rsidP="00AD7A7C">
      <w:pPr>
        <w:pStyle w:val="Briefinglist1"/>
        <w:widowControl w:val="0"/>
        <w:spacing w:after="120"/>
        <w:jc w:val="both"/>
      </w:pPr>
      <w:r>
        <w:t>Sur cette base, elle a conclu, dans le cadre de sa réévaluation, que le niveau de risque restait le même pour le budget de l’Union et que les mesures adoptées ne devraient pas être adaptées ni levées. En particulier, 55 % des engagements financiers (représentant 6,4 milliards d’EUR) au titre de trois programmes relevant du règlement portant dispositions communes (RPDC) sont suspendus, à savoir ceux mis en œuvre en grande partie au moyen de procédures de passation de marchés publics, et aucun engagement juridique ne peut être conclu avec une fiducie d’intérêt public ou une entité détenue par une telle fiducie d’intérêt public lorsque la Commission exécute le budget de l’Union en gestion directe ou indirecte.</w:t>
      </w:r>
    </w:p>
    <w:p w14:paraId="02589327" w14:textId="77777777" w:rsidR="00AD7A7C" w:rsidRDefault="00AD7A7C" w:rsidP="00AD7A7C">
      <w:pPr>
        <w:pStyle w:val="Briefinglist1"/>
        <w:widowControl w:val="0"/>
        <w:spacing w:after="120"/>
        <w:jc w:val="both"/>
      </w:pPr>
      <w:r>
        <w:t>La Commission continuera de fournir au Parlement européen des informations pertinentes, conformément aux obligations qui lui incombent en vertu du règlement sur la conditionnalité et du principe de coopération loyale. Le commissaire Hahn a présenté le dernier état d’avancement des travaux sur la Hongrie le 17 janvier 2024, en séance plénière du Parlement européen.</w:t>
      </w:r>
    </w:p>
    <w:p w14:paraId="1B11E47C" w14:textId="77777777" w:rsidR="00AD7A7C" w:rsidRDefault="00AD7A7C" w:rsidP="00AD7A7C">
      <w:pPr>
        <w:pStyle w:val="Briefinglist1"/>
        <w:widowControl w:val="0"/>
        <w:spacing w:after="120"/>
        <w:jc w:val="both"/>
        <w:rPr>
          <w:rFonts w:eastAsia="Arial"/>
        </w:rPr>
      </w:pPr>
      <w:r>
        <w:lastRenderedPageBreak/>
        <w:t>En vertu du règlement sur la conditionnalité, l’État membre concerné reste, en principe, tenu de mettre en œuvre les programmes concernés et d’effectuer les paiements aux destinataires finaux et aux bénéficiaires de fonds de l’Union. La Commission a fourni des informations et des orientations à cette fin dans les lignes directrices sur l’application du règlement adoptées en mars 2022</w:t>
      </w:r>
      <w:r>
        <w:rPr>
          <w:rStyle w:val="FootnoteReference"/>
        </w:rPr>
        <w:footnoteReference w:id="4"/>
      </w:r>
      <w:r>
        <w:t>.</w:t>
      </w:r>
    </w:p>
    <w:p w14:paraId="18772E10" w14:textId="77777777" w:rsidR="00AD7A7C" w:rsidRPr="00CE1AF5" w:rsidRDefault="00AD7A7C" w:rsidP="00AD7A7C">
      <w:pPr>
        <w:widowControl w:val="0"/>
        <w:spacing w:after="120"/>
        <w:rPr>
          <w:rFonts w:ascii="Times New Roman" w:hAnsi="Times New Roman"/>
        </w:rPr>
      </w:pPr>
      <w:r>
        <w:rPr>
          <w:rFonts w:ascii="Times New Roman" w:hAnsi="Times New Roman"/>
        </w:rPr>
        <w:t>Le respect de la condition favorisante horizontale relative à la charte des droits fondamentaux est lié à l’application et à la mise en œuvre effectives de la charte, afin de garantir la conformité des programmes et de leur mise en œuvre avec les dispositions pertinentes de la charte. Les critères permettant de remplir cette condition favorisante, conformément à l’article 15 du RPDC, sont énoncés à l’annexe III du RPDC. Par conséquent, l’appréciation du respect de cette condition favorisante ne peut se faire que sur la base de ces critères. En particulier, les États membres sont tenus de veiller à ce que des mécanismes efficaces soient en place pour garantir le respect de la charte des droits fondamentaux de l’Union européenne dans le cadre des programmes et de leur mise en œuvre; en revanche, ces critères ne se réfèrent pas à des mécanismes de contrôle adéquats dans d’autres domaines, c’est-à-dire des domaines qui ne concernent pas à la fois la mise en œuvre des fonds relevant du RPDC et leur conformité avec la charte. La Commission a apprécié de manière approfondie cette condition favorisante horizontale pour ce qui est de l’indépendance de la justice au regard de ces critères et, plus particulièrement, en lien avec les mesures définies dans les décisions approuvant les programmes relevant du RPDC. En effet, dans ces décisions, il a été précisé concrètement quelles mesures la Hongrie devait prendre afin que les dispositions mises en place pour garantir la conformité des programmes et de leur mise en œuvre avec la charte soient considérées comme efficaces. La Commission a conclu que la Hongrie avait pris les mesures nécessaires, telles que spécifiées dans les décisions approuvant les programmes, pour satisfaire aux critères énoncés à l’annexe III du RPDC en ce qui concerne l’indépendance de la justice. Par conséquent, la Commission n’avait d’autre choix que de conclure que la condition était remplie en ce qui concerne ce point précis, conformément au règlement portant dispositions communes. La condition favorisante horizontale n’est toujours pas remplie en ce qui concerne d’autres aspects, comme la liberté académique.</w:t>
      </w:r>
    </w:p>
    <w:p w14:paraId="2F2ECB18" w14:textId="77777777" w:rsidR="00AD7A7C" w:rsidRDefault="00AD7A7C" w:rsidP="00AD7A7C">
      <w:pPr>
        <w:widowControl w:val="0"/>
        <w:spacing w:after="120"/>
        <w:rPr>
          <w:rFonts w:ascii="Times New Roman" w:hAnsi="Times New Roman"/>
        </w:rPr>
      </w:pPr>
      <w:r>
        <w:rPr>
          <w:rFonts w:ascii="Times New Roman" w:hAnsi="Times New Roman"/>
        </w:rPr>
        <w:t>La condition favorisante horizontale et la procédure de conditionnalité sont chacune régies par un cadre juridique distinct fondé sur un ensemble distinct de règles spécifiques convenues par les colégislateurs. La Commission ne peut les combiner ni modifier les conditions de financement ou de suspension du financement telles qu’elles sont actuellement établies par ces actes juridiques applicables. Les décisions de la Commission doivent respecter les règles prévues par les actes législatifs dont relèvent ces décisions.</w:t>
      </w:r>
    </w:p>
    <w:p w14:paraId="313222CC" w14:textId="15126320" w:rsidR="00AD7A7C" w:rsidRPr="00CE1AF5" w:rsidRDefault="00AD7A7C" w:rsidP="00AD7A7C">
      <w:pPr>
        <w:widowControl w:val="0"/>
        <w:spacing w:after="120"/>
        <w:rPr>
          <w:rFonts w:ascii="Times New Roman" w:hAnsi="Times New Roman"/>
        </w:rPr>
      </w:pPr>
      <w:r>
        <w:rPr>
          <w:rFonts w:ascii="Times New Roman" w:hAnsi="Times New Roman"/>
        </w:rPr>
        <w:t>Par conséquent, à la suite de la décision relative à la condition favorisante horizontale, et sur la base de l’article 15 du RPDC, le remboursement à la Hongrie des dépenses au titre des fonds relevant du RPDC pouvait et devait reprendre en ce qui concerne les volets pour lesquels les lacunes dans l’indépendance de la justice étaient le seul motif de non-respect. Le remboursement sera effectué conformément aux règles et pour autant que les conditions favorisantes resteront remplies pendant toute la durée des programmes. Toutefois, 9,7 milliards d’</w:t>
      </w:r>
      <w:r w:rsidR="006475D6">
        <w:rPr>
          <w:rFonts w:ascii="Times New Roman" w:hAnsi="Times New Roman"/>
        </w:rPr>
        <w:t>EUR</w:t>
      </w:r>
      <w:r>
        <w:rPr>
          <w:rStyle w:val="FootnoteReference"/>
          <w:rFonts w:ascii="Times New Roman" w:hAnsi="Times New Roman"/>
        </w:rPr>
        <w:footnoteReference w:id="5"/>
      </w:r>
      <w:r>
        <w:rPr>
          <w:rFonts w:ascii="Times New Roman" w:hAnsi="Times New Roman"/>
        </w:rPr>
        <w:t xml:space="preserve"> sont toujours bloqués en raison des problèmes qui subsistent au regard de la condition favorisante horizontale relative à la charte des droits </w:t>
      </w:r>
      <w:r>
        <w:rPr>
          <w:rFonts w:ascii="Times New Roman" w:hAnsi="Times New Roman"/>
        </w:rPr>
        <w:lastRenderedPageBreak/>
        <w:t>fondamentaux, de la procédure de conditionnalité et des conditions favorisantes thématiques.</w:t>
      </w:r>
    </w:p>
    <w:p w14:paraId="6B6DC619" w14:textId="77777777" w:rsidR="00AD7A7C" w:rsidRPr="00CE1AF5" w:rsidRDefault="00AD7A7C" w:rsidP="00AD7A7C">
      <w:pPr>
        <w:widowControl w:val="0"/>
        <w:spacing w:after="120"/>
        <w:rPr>
          <w:rFonts w:ascii="Times New Roman" w:hAnsi="Times New Roman"/>
          <w:szCs w:val="24"/>
        </w:rPr>
      </w:pPr>
      <w:r>
        <w:rPr>
          <w:rFonts w:ascii="Times New Roman" w:hAnsi="Times New Roman"/>
        </w:rPr>
        <w:t>Pour garantir la bonne gestion financière et la protection du budget de l’UE, la Commission applique une approche globale faisant appel à tous les outils dont elle dispose en vertu du règlement portant dispositions communes:</w:t>
      </w:r>
    </w:p>
    <w:p w14:paraId="6D558CB0" w14:textId="77777777" w:rsidR="00AD7A7C" w:rsidRPr="00CE1AF5" w:rsidRDefault="00AD7A7C" w:rsidP="00AD7A7C">
      <w:pPr>
        <w:spacing w:after="120"/>
        <w:ind w:left="720"/>
        <w:rPr>
          <w:rFonts w:ascii="Times New Roman" w:eastAsia="Calibri" w:hAnsi="Times New Roman"/>
        </w:rPr>
      </w:pPr>
      <w:r>
        <w:rPr>
          <w:rFonts w:ascii="Times New Roman" w:hAnsi="Times New Roman"/>
        </w:rPr>
        <w:t xml:space="preserve">i) elle </w:t>
      </w:r>
      <w:r>
        <w:rPr>
          <w:rFonts w:ascii="Times New Roman" w:hAnsi="Times New Roman"/>
          <w:b/>
        </w:rPr>
        <w:t>participe activement aux comités de suivi</w:t>
      </w:r>
      <w:r>
        <w:rPr>
          <w:rFonts w:ascii="Times New Roman" w:hAnsi="Times New Roman"/>
        </w:rPr>
        <w:t xml:space="preserve"> afin de veiller à ce que les critères de sélection approuvés ne soient pas discriminatoires et respectent la charte. Par exemple, elle recommande vivement aux autorités de gestion de ne pas sélectionner les opérations qui risquent d’être </w:t>
      </w:r>
      <w:r>
        <w:rPr>
          <w:rFonts w:ascii="Times New Roman" w:hAnsi="Times New Roman"/>
          <w:b/>
        </w:rPr>
        <w:t>contraires</w:t>
      </w:r>
      <w:r>
        <w:rPr>
          <w:rFonts w:ascii="Times New Roman" w:hAnsi="Times New Roman"/>
        </w:rPr>
        <w:t xml:space="preserve"> à la charte;</w:t>
      </w:r>
    </w:p>
    <w:p w14:paraId="06033374" w14:textId="77777777" w:rsidR="00AD7A7C" w:rsidRPr="00CE1AF5" w:rsidRDefault="00AD7A7C" w:rsidP="00AD7A7C">
      <w:pPr>
        <w:spacing w:after="120"/>
        <w:ind w:left="720"/>
        <w:rPr>
          <w:rFonts w:ascii="Times New Roman" w:eastAsia="Calibri" w:hAnsi="Times New Roman"/>
        </w:rPr>
      </w:pPr>
      <w:r>
        <w:rPr>
          <w:rFonts w:ascii="Times New Roman" w:hAnsi="Times New Roman"/>
        </w:rPr>
        <w:t xml:space="preserve">ii) elle </w:t>
      </w:r>
      <w:r>
        <w:rPr>
          <w:rFonts w:ascii="Times New Roman" w:hAnsi="Times New Roman"/>
          <w:b/>
        </w:rPr>
        <w:t>s’entretient régulièrement et activement avec les ONG</w:t>
      </w:r>
      <w:r>
        <w:rPr>
          <w:rFonts w:ascii="Times New Roman" w:hAnsi="Times New Roman"/>
        </w:rPr>
        <w:t xml:space="preserve"> et les </w:t>
      </w:r>
      <w:r>
        <w:rPr>
          <w:rFonts w:ascii="Times New Roman" w:hAnsi="Times New Roman"/>
          <w:b/>
        </w:rPr>
        <w:t>autres parties prenantes concernées</w:t>
      </w:r>
      <w:r>
        <w:rPr>
          <w:rFonts w:ascii="Times New Roman" w:hAnsi="Times New Roman"/>
        </w:rPr>
        <w:t xml:space="preserve"> afin d’identifier le plus tôt possible les problèmes potentiels. C’est ce qu’elle fait, par exemple, avec les syndicats d’enseignants;</w:t>
      </w:r>
    </w:p>
    <w:p w14:paraId="43D991D4" w14:textId="77777777" w:rsidR="00AD7A7C" w:rsidRDefault="00AD7A7C" w:rsidP="00AD7A7C">
      <w:pPr>
        <w:spacing w:after="120"/>
        <w:ind w:left="720"/>
        <w:rPr>
          <w:rFonts w:ascii="Times New Roman" w:eastAsia="Calibri" w:hAnsi="Times New Roman"/>
        </w:rPr>
      </w:pPr>
      <w:r>
        <w:rPr>
          <w:rFonts w:ascii="Times New Roman" w:hAnsi="Times New Roman"/>
        </w:rPr>
        <w:t xml:space="preserve">iii) elle suit de près le respect des engagements pris par les autorités hongroises et des conditions favorisantes, et ce, tout au long de la période de programmation. La Commission n’hésitera pas à recourir à la procédure prévue à l’article 15, paragraphe 6, du RPDC si elle estime qu’une condition favorisante pourrait ne pas être remplie; </w:t>
      </w:r>
    </w:p>
    <w:p w14:paraId="0CBC3DB2" w14:textId="77777777" w:rsidR="00AD7A7C" w:rsidRPr="00CE1AF5" w:rsidRDefault="00AD7A7C" w:rsidP="00AD7A7C">
      <w:pPr>
        <w:spacing w:after="120"/>
        <w:ind w:left="720"/>
        <w:rPr>
          <w:rFonts w:ascii="Times New Roman" w:eastAsia="Calibri" w:hAnsi="Times New Roman"/>
        </w:rPr>
      </w:pPr>
      <w:r>
        <w:rPr>
          <w:rFonts w:ascii="Times New Roman" w:hAnsi="Times New Roman"/>
        </w:rPr>
        <w:t xml:space="preserve">iv) elle </w:t>
      </w:r>
      <w:r>
        <w:rPr>
          <w:rFonts w:ascii="Times New Roman" w:hAnsi="Times New Roman"/>
          <w:b/>
        </w:rPr>
        <w:t>réalise des audits dans les domaines à risque</w:t>
      </w:r>
      <w:r>
        <w:rPr>
          <w:rFonts w:ascii="Times New Roman" w:hAnsi="Times New Roman"/>
        </w:rPr>
        <w:t xml:space="preserve">. Le dernier audit horizontal des marchés publics (2022) de la direction générale de l’emploi, des affaires sociales et de l’inclusion (DG EMPL) et de la direction générale de la politique régionale et urbaine (DG REGIO) a mis en évidence certains problèmes liés au suivi d’irrégularités potentielles par les autorités de gestion qui gèrent les fonds relevant du RPDC en Hongrie. La Commission a immédiatement envoyé une lettre d’avertissement et les autorités de gestion ont réagi rapidement en supprimant les opérations concernées de toute demande de paiement. Les autorités hongroises ont également mis en œuvre les mesures correctives demandées, y compris les corrections financières, de sorte que le problème est considéré comme résolu. </w:t>
      </w:r>
      <w:r>
        <w:rPr>
          <w:rFonts w:ascii="Times New Roman" w:hAnsi="Times New Roman"/>
          <w:b/>
        </w:rPr>
        <w:t>Il est prévu, en 2024, de réaliser 6 audits portant sur les programmes relevant des Fonds de la politique de cohésion</w:t>
      </w:r>
      <w:r>
        <w:rPr>
          <w:rFonts w:ascii="Times New Roman" w:hAnsi="Times New Roman"/>
        </w:rPr>
        <w:t>. Ces audits se concentreront sur les risques qui, d’après notre évaluation des risques, sont les plus courants, et ils seront adaptés de manière souple pour correspondre aux risques associés aux demandes de paiement présentées par la Hongrie tout au long de l’année.</w:t>
      </w:r>
    </w:p>
    <w:p w14:paraId="2C979AAD" w14:textId="77777777" w:rsidR="00AD7A7C" w:rsidRPr="00CE1AF5" w:rsidRDefault="00AD7A7C" w:rsidP="00AD7A7C">
      <w:pPr>
        <w:spacing w:after="120"/>
        <w:ind w:left="720"/>
        <w:rPr>
          <w:rFonts w:ascii="Times New Roman" w:eastAsia="Calibri" w:hAnsi="Times New Roman"/>
          <w:szCs w:val="24"/>
        </w:rPr>
      </w:pPr>
      <w:r>
        <w:rPr>
          <w:rFonts w:ascii="Times New Roman" w:hAnsi="Times New Roman"/>
        </w:rPr>
        <w:t>Dans le cadre de ces audits, la méthodologie d’audit de la Commission sera adaptée afin de mettre en évidence les problèmes potentiels concernant les conditions favorisantes, y compris les conditions horizontales. Les services d’audit de la Commission collaboreront également avec l’autorité d’audit hongroise pour veiller à ce que leur méthodologie soit également adaptée et conforme. La Commission peut également demander à l’autorité d’audit de procéder à un audit préventif du système en place avant la présentation des paiements à la Commission.</w:t>
      </w:r>
    </w:p>
    <w:p w14:paraId="4F159D7D" w14:textId="77777777" w:rsidR="00AD7A7C" w:rsidRPr="004A60EE" w:rsidRDefault="00AD7A7C" w:rsidP="00AD7A7C">
      <w:pPr>
        <w:pStyle w:val="Briefinglist1"/>
        <w:widowControl w:val="0"/>
        <w:spacing w:after="120"/>
        <w:jc w:val="both"/>
        <w:rPr>
          <w:rFonts w:eastAsia="Arial"/>
        </w:rPr>
      </w:pPr>
      <w:r>
        <w:t>En cas de problèmes liés à la mise en œuvre, la Commission n’a jamais hésité, ni n’hésitera à l’avenir, à prendre les mesures nécessaires. Par exemple, au cours de la période de programmation 2014-2020, 13 demandes de mesures correctives, dont des procédures d’interruption des délais de paiement, ont concerné au fil du temps tous les programmes hongrois. La Commission a suspendu les remboursements pour un programme (programme opérationnel de développement des ressources humaines du Fonds social européen) et a procédé à des corrections financières estimées à 1,5 milliard d’EUR, principalement en raison de lacunes dans les marchés publics (</w:t>
      </w:r>
      <w:r>
        <w:rPr>
          <w:b/>
        </w:rPr>
        <w:t>paragraphes 4 et 5</w:t>
      </w:r>
      <w:r>
        <w:t>).</w:t>
      </w:r>
    </w:p>
    <w:p w14:paraId="0B47988F" w14:textId="77777777" w:rsidR="00AD7A7C" w:rsidRPr="00CE1AF5" w:rsidRDefault="00AD7A7C" w:rsidP="00AD7A7C">
      <w:pPr>
        <w:pStyle w:val="B0List"/>
        <w:widowControl w:val="0"/>
        <w:ind w:left="0" w:firstLine="0"/>
        <w:rPr>
          <w:rFonts w:eastAsia="Times New Roman"/>
        </w:rPr>
      </w:pPr>
      <w:r>
        <w:lastRenderedPageBreak/>
        <w:t>Le 15 décembre 2022, le Conseil a approuvé l’évaluation positive, par la Commission, du plan pour la reprise et la résilience (PRR) de la Hongrie; le 8 décembre 2023, le Conseil a adopté le PRR hongrois révisé, qui comporte un nouveau chapitre REPowerEU. Dans son PRR, afin de résoudre les problèmes mettant en péril le budget de l’UE et de renforcer l’indépendance de la justice, la Hongrie s’est engagée à réaliser 27 «super jalons». Cet engagement s’applique également au chapitre REPowerEU. Le règlement FRR, tel qu’il a été adopté par les colégislateurs, prévoit la possibilité pour les États membres de demander un préfinancement spécifiquement pour la mise en œuvre d’un chapitre REPowerEU. La Hongrie a ainsi reçu, le 28 décembre 2023, un montant de 779,5 millions d’EUR correspondant au montant du préfinancement du volet «prêt» au titre du chapitre REPowerEU, et, le 15 janvier 2024, un montant de 140,1 millions d’EUR correspondant au préfinancement des subventions au titre de REPowerEU. Le paiement des montants de préfinancement n’est pas subordonné à la réalisation, par l’État membre, de jalons ou de «super jalons». Tous les préfinancements versés à un État membre seront soit apurés par déduction des paiements futurs, soit recouvrés intégralement si aucun paiement au titre de la FRR n’intervient jusqu’à la fin de l’année 2026.</w:t>
      </w:r>
    </w:p>
    <w:p w14:paraId="54B458C0" w14:textId="77777777" w:rsidR="00AD7A7C" w:rsidRPr="00E04BA0" w:rsidRDefault="00AD7A7C" w:rsidP="00AD7A7C">
      <w:pPr>
        <w:pStyle w:val="B0List"/>
        <w:widowControl w:val="0"/>
        <w:ind w:left="0" w:firstLine="0"/>
      </w:pPr>
      <w:r>
        <w:t>La Commission, conformément aux règles applicables, évaluera, à la suite de la présentation de la première demande de paiement au titre de la FRR, si les jalons et cibles inscrits dans le plan hongrois pour la reprise et la résilience, y compris les 27 «super jalons», ont été réalisés de manière satisfaisante. Tant que les super jalons n’auront pas été pleinement respectés, aucune demande de paiement de la Hongrie au titre de la FRR ne pourra être satisfaite (</w:t>
      </w:r>
      <w:r>
        <w:rPr>
          <w:b/>
        </w:rPr>
        <w:t>paragraphe 6</w:t>
      </w:r>
      <w:r>
        <w:t>).</w:t>
      </w:r>
    </w:p>
    <w:p w14:paraId="25BD9D6F" w14:textId="77777777" w:rsidR="00AD7A7C" w:rsidRPr="009F2B2F" w:rsidRDefault="00AD7A7C" w:rsidP="00AD7A7C">
      <w:pPr>
        <w:pStyle w:val="Briefinglist1"/>
        <w:widowControl w:val="0"/>
        <w:spacing w:after="120"/>
        <w:jc w:val="both"/>
        <w:rPr>
          <w:rFonts w:eastAsia="Arial"/>
        </w:rPr>
      </w:pPr>
      <w:r>
        <w:t>En ce qui concerne la Hongrie, les décisions pertinentes du Conseil et de la Commission, adoptées dans le cadre de la procédure de conditionnalité, concernant la condition favorisante horizontale relative à la charte des droits fondamentaux et concernant le PRR relèvent de trois instruments juridiques, à savoir respectivement le règlement sur la conditionnalité, le règlement portant dispositions communes et le règlement FRR. À chaque instrument juridique correspond un cadre juridique distinct fondé sur un ensemble distinct de règles spécifiques convenues par les colégislateurs. La Commission ne peut pas les combiner, ni modifier les conditions de financement ou les conditions de suspension des financements telles que prévues par les actes juridiques applicables. La Commission est chargée de mettre en œuvre ces règles de manière rigoureuse (</w:t>
      </w:r>
      <w:r>
        <w:rPr>
          <w:b/>
        </w:rPr>
        <w:t>paragraphe 9</w:t>
      </w:r>
      <w:r>
        <w:t>).</w:t>
      </w:r>
    </w:p>
    <w:p w14:paraId="764D8370" w14:textId="77777777" w:rsidR="00AD7A7C" w:rsidRDefault="00AD7A7C" w:rsidP="00AD7A7C">
      <w:pPr>
        <w:pStyle w:val="Briefinglist1"/>
        <w:widowControl w:val="0"/>
        <w:spacing w:after="120"/>
        <w:jc w:val="both"/>
      </w:pPr>
      <w:r>
        <w:t>La Commission dispose d’une panoplie d’instruments pour protéger le budget de l’Union, chacun avec des règles de fond et de procédure différentes. Le règlement sur la conditionnalité vise à protéger le budget de l’Union et les intérêts financiers de l’Union contre les violations des principes de l’état de droit, lorsque de telles violations portent atteinte au budget ou présentent un risque sérieux d’y porter atteinte de manière suffisamment directe, et qu’aucun autre instrument du droit de l’Union ne permet de protéger le budget plus efficacement. La Commission n’hésitera pas à engager une procédure en vertu du règlement sur la conditionnalité dès lors que les conditions pour le faire sont remplies. La Commission protège également les valeurs fondatrices de l’Union au moyen de procédures d’infraction</w:t>
      </w:r>
      <w:r>
        <w:rPr>
          <w:rStyle w:val="FootnoteReference"/>
        </w:rPr>
        <w:footnoteReference w:id="6"/>
      </w:r>
      <w:r>
        <w:t>. La Commission n’hésitera pas à recourir à la ou aux procédures les plus adéquates pour réagir contre les risques pertinents ou en cas de violation des valeurs fondatrices de l’Union.</w:t>
      </w:r>
    </w:p>
    <w:p w14:paraId="16B850E8" w14:textId="77777777" w:rsidR="00AD7A7C" w:rsidRDefault="00AD7A7C" w:rsidP="00AD7A7C">
      <w:pPr>
        <w:pStyle w:val="Briefinglist1"/>
        <w:widowControl w:val="0"/>
        <w:spacing w:after="120"/>
        <w:jc w:val="both"/>
      </w:pPr>
      <w:r>
        <w:t xml:space="preserve">En outre, la Commission a également engagé un certain nombre de procédures </w:t>
      </w:r>
      <w:r>
        <w:lastRenderedPageBreak/>
        <w:t>d’infraction contre la Hongrie. Ces procédures portent sur les droits des organisations de la société civile, la liberté académique, la liberté des médias, les droits des migrants et des demandeurs d’asile, les droits des personnes LGBTIQ, ainsi que le fonctionnement du marché unique. La Commission n’hésitera pas à prendre de nouvelles mesures pour engager des procédures d’infraction, si nécessaire, afin de faire respecter l’état de droit et l’indépendance de la justice et de garantir le bon fonctionnement du marché unique. Le fait qu’en décembre 2023, la Commission ait décidé de débloquer une partie des fonds destinés à la Hongrie n’a aucun lien avec les procédures d’infraction en cours. En ce qui concerne la «loi sur la défense de la souveraineté», le 8 février 2024, la Commission a décidé d’engager une procédure d’infraction contre la Hongrie (</w:t>
      </w:r>
      <w:r>
        <w:rPr>
          <w:b/>
        </w:rPr>
        <w:t>paragraphe 10</w:t>
      </w:r>
      <w:r>
        <w:t>).</w:t>
      </w:r>
    </w:p>
    <w:p w14:paraId="3E85373A" w14:textId="38049971" w:rsidR="000E229F" w:rsidRPr="00AD7A7C" w:rsidRDefault="00AD7A7C" w:rsidP="00AD7A7C">
      <w:pPr>
        <w:rPr>
          <w:rFonts w:ascii="Times New Roman" w:eastAsia="Arial" w:hAnsi="Times New Roman"/>
        </w:rPr>
      </w:pPr>
      <w:r>
        <w:rPr>
          <w:rFonts w:ascii="Times New Roman" w:hAnsi="Times New Roman"/>
        </w:rPr>
        <w:t>La Commission prend très au sérieux son rôle de gardienne des traités et reste déterminée à appliquer toutes les règles pertinentes pour protéger les valeurs fondatrices de l’Union et les intérêts financiers de l’Union. La Commission considère que le Parlement européen est un partenaire important pour la mise en œuvre du règlement sur la conditionnalité. Conformément aux obligations qui lui incombent en vertu de ce règlement et au principe de coopération loyale entre les institutions européennes, elle continuera de veiller à ce que le Parlement soit dûment informé (</w:t>
      </w:r>
      <w:r>
        <w:rPr>
          <w:rFonts w:ascii="Times New Roman" w:hAnsi="Times New Roman"/>
          <w:b/>
        </w:rPr>
        <w:t>paragraphe 11</w:t>
      </w:r>
      <w:r>
        <w:rPr>
          <w:rFonts w:ascii="Times New Roman" w:hAnsi="Times New Roman"/>
        </w:rPr>
        <w:t>).</w:t>
      </w:r>
    </w:p>
    <w:sectPr w:rsidR="000E229F" w:rsidRPr="00AD7A7C" w:rsidSect="000A07D2">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6" w:h="16838" w:code="9"/>
      <w:pgMar w:top="1021"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C89A4" w14:textId="77777777" w:rsidR="0052595D" w:rsidRDefault="0052595D">
      <w:r>
        <w:separator/>
      </w:r>
    </w:p>
  </w:endnote>
  <w:endnote w:type="continuationSeparator" w:id="0">
    <w:p w14:paraId="001FA320" w14:textId="77777777" w:rsidR="0052595D" w:rsidRDefault="0052595D">
      <w:r>
        <w:continuationSeparator/>
      </w:r>
    </w:p>
  </w:endnote>
  <w:endnote w:type="continuationNotice" w:id="1">
    <w:p w14:paraId="195741ED" w14:textId="77777777" w:rsidR="0052595D" w:rsidRDefault="005259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BC05"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2D4CBC06"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BC07"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246D">
      <w:rPr>
        <w:rStyle w:val="PageNumber"/>
      </w:rPr>
      <w:t>2</w:t>
    </w:r>
    <w:r>
      <w:rPr>
        <w:rStyle w:val="PageNumber"/>
      </w:rPr>
      <w:fldChar w:fldCharType="end"/>
    </w:r>
  </w:p>
  <w:p w14:paraId="2D4CBC08"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BC09" w14:textId="35460AF1" w:rsidR="005E6EC2" w:rsidRPr="007D4819" w:rsidRDefault="005E6EC2" w:rsidP="007D4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5EEBE" w14:textId="77777777" w:rsidR="0052595D" w:rsidRDefault="0052595D">
      <w:r>
        <w:separator/>
      </w:r>
    </w:p>
  </w:footnote>
  <w:footnote w:type="continuationSeparator" w:id="0">
    <w:p w14:paraId="6B15DD46" w14:textId="77777777" w:rsidR="0052595D" w:rsidRDefault="0052595D">
      <w:r>
        <w:continuationSeparator/>
      </w:r>
    </w:p>
  </w:footnote>
  <w:footnote w:type="continuationNotice" w:id="1">
    <w:p w14:paraId="0810E350" w14:textId="77777777" w:rsidR="0052595D" w:rsidRDefault="0052595D">
      <w:pPr>
        <w:spacing w:after="0"/>
      </w:pPr>
    </w:p>
  </w:footnote>
  <w:footnote w:id="2">
    <w:p w14:paraId="237F50A1" w14:textId="77777777" w:rsidR="00AD7A7C" w:rsidRPr="007D4819" w:rsidRDefault="00AD7A7C" w:rsidP="00AD7A7C">
      <w:pPr>
        <w:pStyle w:val="FootnoteText"/>
        <w:spacing w:after="0"/>
        <w:rPr>
          <w:rFonts w:ascii="Times New Roman" w:hAnsi="Times New Roman"/>
        </w:rPr>
      </w:pPr>
      <w:r>
        <w:rPr>
          <w:rStyle w:val="FootnoteReference"/>
          <w:rFonts w:ascii="Times New Roman" w:hAnsi="Times New Roman"/>
          <w:sz w:val="22"/>
          <w:szCs w:val="22"/>
        </w:rPr>
        <w:footnoteRef/>
      </w:r>
      <w:r>
        <w:rPr>
          <w:rFonts w:ascii="Times New Roman" w:hAnsi="Times New Roman"/>
          <w:sz w:val="22"/>
        </w:rPr>
        <w:t xml:space="preserve"> </w:t>
      </w:r>
      <w:r>
        <w:rPr>
          <w:rFonts w:ascii="Times New Roman" w:hAnsi="Times New Roman"/>
          <w:sz w:val="22"/>
        </w:rPr>
        <w:tab/>
      </w:r>
      <w:r>
        <w:rPr>
          <w:rFonts w:ascii="Times New Roman" w:hAnsi="Times New Roman"/>
        </w:rPr>
        <w:t>Règlement (UE, Euratom) 2020/2092 du Parlement européen et du Conseil du 16 décembre 2020 relatif à un régime général de conditionnalité pour la protection du budget de l’Union (JO L 433I du 22.12.2020, p. 1).</w:t>
      </w:r>
    </w:p>
  </w:footnote>
  <w:footnote w:id="3">
    <w:p w14:paraId="6644FC63" w14:textId="77777777" w:rsidR="00AD7A7C" w:rsidRPr="007D4819" w:rsidRDefault="00AD7A7C" w:rsidP="00AD7A7C">
      <w:pPr>
        <w:pStyle w:val="FootnoteText"/>
        <w:spacing w:after="0"/>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En date du 13 mars 2024.</w:t>
      </w:r>
    </w:p>
  </w:footnote>
  <w:footnote w:id="4">
    <w:p w14:paraId="7F93623D" w14:textId="77777777" w:rsidR="00AD7A7C" w:rsidRPr="007D4819" w:rsidRDefault="00AD7A7C" w:rsidP="00AD7A7C">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Communication de la Commission — Lignes directrices sur l’application du règlement (UE, Euratom) 2020/2092 relatif à un régime général de conditionnalité pour la protection du budget de l’Union (JO C 123 du 18.3.2022, p. 12).</w:t>
      </w:r>
    </w:p>
  </w:footnote>
  <w:footnote w:id="5">
    <w:p w14:paraId="542CBD2A" w14:textId="77777777" w:rsidR="00AD7A7C" w:rsidRDefault="00AD7A7C" w:rsidP="00AD7A7C">
      <w:pPr>
        <w:pStyle w:val="FootnoteText"/>
        <w:spacing w:after="0"/>
      </w:pPr>
      <w:r>
        <w:rPr>
          <w:rStyle w:val="FootnoteReference"/>
        </w:rPr>
        <w:footnoteRef/>
      </w:r>
      <w:r>
        <w:rPr>
          <w:rFonts w:ascii="Times New Roman" w:hAnsi="Times New Roman"/>
        </w:rPr>
        <w:t xml:space="preserve"> </w:t>
      </w:r>
      <w:r>
        <w:rPr>
          <w:rFonts w:ascii="Times New Roman" w:hAnsi="Times New Roman"/>
        </w:rPr>
        <w:tab/>
        <w:t>En date du 13 mars 2024.</w:t>
      </w:r>
    </w:p>
  </w:footnote>
  <w:footnote w:id="6">
    <w:p w14:paraId="5361C99A" w14:textId="77777777" w:rsidR="00AD7A7C" w:rsidRPr="00005BD7" w:rsidRDefault="00AD7A7C" w:rsidP="00AD7A7C">
      <w:pPr>
        <w:pStyle w:val="FootnoteText"/>
        <w:spacing w:after="0"/>
        <w:rPr>
          <w:rFonts w:ascii="Times New Roman" w:hAnsi="Times New Roman"/>
        </w:rPr>
      </w:pPr>
      <w:r>
        <w:rPr>
          <w:rFonts w:ascii="Times New Roman" w:hAnsi="Times New Roman"/>
          <w:vertAlign w:val="superscript"/>
        </w:rPr>
        <w:footnoteRef/>
      </w:r>
      <w:r>
        <w:rPr>
          <w:rFonts w:ascii="Times New Roman" w:hAnsi="Times New Roman"/>
        </w:rPr>
        <w:t xml:space="preserve"> </w:t>
      </w:r>
      <w:r>
        <w:rPr>
          <w:rFonts w:ascii="Times New Roman" w:hAnsi="Times New Roman"/>
        </w:rPr>
        <w:tab/>
        <w:t>Par exemple, le 15 février 2023, la Commission a décidé de saisir la Cour de justice d’un recours contre la Pologne pour violation du droit de l’Union par le Tribunal constitutionnel et sa jurisprudence.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7737" w14:textId="77777777" w:rsidR="007D4819" w:rsidRDefault="007D4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0ED82" w14:textId="77777777" w:rsidR="007D4819" w:rsidRDefault="007D48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7F79" w14:textId="77777777" w:rsidR="007D4819" w:rsidRDefault="007D4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02416"/>
    <w:multiLevelType w:val="hybridMultilevel"/>
    <w:tmpl w:val="FFFFFFFF"/>
    <w:lvl w:ilvl="0" w:tplc="86FC1340">
      <w:start w:val="1"/>
      <w:numFmt w:val="bullet"/>
      <w:lvlText w:val="·"/>
      <w:lvlJc w:val="left"/>
      <w:pPr>
        <w:ind w:left="720" w:hanging="360"/>
      </w:pPr>
      <w:rPr>
        <w:rFonts w:ascii="Symbol" w:hAnsi="Symbol" w:hint="default"/>
      </w:rPr>
    </w:lvl>
    <w:lvl w:ilvl="1" w:tplc="02583AE8">
      <w:start w:val="1"/>
      <w:numFmt w:val="bullet"/>
      <w:lvlText w:val="o"/>
      <w:lvlJc w:val="left"/>
      <w:pPr>
        <w:ind w:left="1440" w:hanging="360"/>
      </w:pPr>
      <w:rPr>
        <w:rFonts w:ascii="Courier New" w:hAnsi="Courier New" w:hint="default"/>
      </w:rPr>
    </w:lvl>
    <w:lvl w:ilvl="2" w:tplc="6470AFD8">
      <w:start w:val="1"/>
      <w:numFmt w:val="bullet"/>
      <w:lvlText w:val=""/>
      <w:lvlJc w:val="left"/>
      <w:pPr>
        <w:ind w:left="2160" w:hanging="360"/>
      </w:pPr>
      <w:rPr>
        <w:rFonts w:ascii="Wingdings" w:hAnsi="Wingdings" w:hint="default"/>
      </w:rPr>
    </w:lvl>
    <w:lvl w:ilvl="3" w:tplc="90C20070">
      <w:start w:val="1"/>
      <w:numFmt w:val="bullet"/>
      <w:lvlText w:val=""/>
      <w:lvlJc w:val="left"/>
      <w:pPr>
        <w:ind w:left="2880" w:hanging="360"/>
      </w:pPr>
      <w:rPr>
        <w:rFonts w:ascii="Symbol" w:hAnsi="Symbol" w:hint="default"/>
      </w:rPr>
    </w:lvl>
    <w:lvl w:ilvl="4" w:tplc="3B4088C2">
      <w:start w:val="1"/>
      <w:numFmt w:val="bullet"/>
      <w:lvlText w:val="o"/>
      <w:lvlJc w:val="left"/>
      <w:pPr>
        <w:ind w:left="3600" w:hanging="360"/>
      </w:pPr>
      <w:rPr>
        <w:rFonts w:ascii="Courier New" w:hAnsi="Courier New" w:hint="default"/>
      </w:rPr>
    </w:lvl>
    <w:lvl w:ilvl="5" w:tplc="E3B06608">
      <w:start w:val="1"/>
      <w:numFmt w:val="bullet"/>
      <w:lvlText w:val=""/>
      <w:lvlJc w:val="left"/>
      <w:pPr>
        <w:ind w:left="4320" w:hanging="360"/>
      </w:pPr>
      <w:rPr>
        <w:rFonts w:ascii="Wingdings" w:hAnsi="Wingdings" w:hint="default"/>
      </w:rPr>
    </w:lvl>
    <w:lvl w:ilvl="6" w:tplc="CF30092C">
      <w:start w:val="1"/>
      <w:numFmt w:val="bullet"/>
      <w:lvlText w:val=""/>
      <w:lvlJc w:val="left"/>
      <w:pPr>
        <w:ind w:left="5040" w:hanging="360"/>
      </w:pPr>
      <w:rPr>
        <w:rFonts w:ascii="Symbol" w:hAnsi="Symbol" w:hint="default"/>
      </w:rPr>
    </w:lvl>
    <w:lvl w:ilvl="7" w:tplc="2B408916">
      <w:start w:val="1"/>
      <w:numFmt w:val="bullet"/>
      <w:lvlText w:val="o"/>
      <w:lvlJc w:val="left"/>
      <w:pPr>
        <w:ind w:left="5760" w:hanging="360"/>
      </w:pPr>
      <w:rPr>
        <w:rFonts w:ascii="Courier New" w:hAnsi="Courier New" w:hint="default"/>
      </w:rPr>
    </w:lvl>
    <w:lvl w:ilvl="8" w:tplc="7DC8E80E">
      <w:start w:val="1"/>
      <w:numFmt w:val="bullet"/>
      <w:lvlText w:val=""/>
      <w:lvlJc w:val="left"/>
      <w:pPr>
        <w:ind w:left="6480" w:hanging="360"/>
      </w:pPr>
      <w:rPr>
        <w:rFonts w:ascii="Wingdings" w:hAnsi="Wingdings" w:hint="default"/>
      </w:rPr>
    </w:lvl>
  </w:abstractNum>
  <w:abstractNum w:abstractNumId="4"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BC363A5"/>
    <w:multiLevelType w:val="hybridMultilevel"/>
    <w:tmpl w:val="FF44A2E2"/>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CF3647"/>
    <w:multiLevelType w:val="hybridMultilevel"/>
    <w:tmpl w:val="FFFFFFFF"/>
    <w:lvl w:ilvl="0" w:tplc="FFFFFFFF">
      <w:start w:val="1"/>
      <w:numFmt w:val="bullet"/>
      <w:lvlText w:val="·"/>
      <w:lvlJc w:val="left"/>
      <w:pPr>
        <w:ind w:left="720" w:hanging="360"/>
      </w:pPr>
      <w:rPr>
        <w:rFonts w:ascii="Symbol" w:hAnsi="Symbol" w:hint="default"/>
      </w:rPr>
    </w:lvl>
    <w:lvl w:ilvl="1" w:tplc="3EC8089E">
      <w:start w:val="1"/>
      <w:numFmt w:val="bullet"/>
      <w:lvlText w:val="o"/>
      <w:lvlJc w:val="left"/>
      <w:pPr>
        <w:ind w:left="1440" w:hanging="360"/>
      </w:pPr>
      <w:rPr>
        <w:rFonts w:ascii="Courier New" w:hAnsi="Courier New" w:hint="default"/>
      </w:rPr>
    </w:lvl>
    <w:lvl w:ilvl="2" w:tplc="D77EA6A8">
      <w:start w:val="1"/>
      <w:numFmt w:val="bullet"/>
      <w:lvlText w:val=""/>
      <w:lvlJc w:val="left"/>
      <w:pPr>
        <w:ind w:left="2160" w:hanging="360"/>
      </w:pPr>
      <w:rPr>
        <w:rFonts w:ascii="Wingdings" w:hAnsi="Wingdings" w:hint="default"/>
      </w:rPr>
    </w:lvl>
    <w:lvl w:ilvl="3" w:tplc="0F8609AA">
      <w:start w:val="1"/>
      <w:numFmt w:val="bullet"/>
      <w:lvlText w:val=""/>
      <w:lvlJc w:val="left"/>
      <w:pPr>
        <w:ind w:left="2880" w:hanging="360"/>
      </w:pPr>
      <w:rPr>
        <w:rFonts w:ascii="Symbol" w:hAnsi="Symbol" w:hint="default"/>
      </w:rPr>
    </w:lvl>
    <w:lvl w:ilvl="4" w:tplc="290E6B82">
      <w:start w:val="1"/>
      <w:numFmt w:val="bullet"/>
      <w:lvlText w:val="o"/>
      <w:lvlJc w:val="left"/>
      <w:pPr>
        <w:ind w:left="3600" w:hanging="360"/>
      </w:pPr>
      <w:rPr>
        <w:rFonts w:ascii="Courier New" w:hAnsi="Courier New" w:hint="default"/>
      </w:rPr>
    </w:lvl>
    <w:lvl w:ilvl="5" w:tplc="DC8CA33C">
      <w:start w:val="1"/>
      <w:numFmt w:val="bullet"/>
      <w:lvlText w:val=""/>
      <w:lvlJc w:val="left"/>
      <w:pPr>
        <w:ind w:left="4320" w:hanging="360"/>
      </w:pPr>
      <w:rPr>
        <w:rFonts w:ascii="Wingdings" w:hAnsi="Wingdings" w:hint="default"/>
      </w:rPr>
    </w:lvl>
    <w:lvl w:ilvl="6" w:tplc="E06AF828">
      <w:start w:val="1"/>
      <w:numFmt w:val="bullet"/>
      <w:lvlText w:val=""/>
      <w:lvlJc w:val="left"/>
      <w:pPr>
        <w:ind w:left="5040" w:hanging="360"/>
      </w:pPr>
      <w:rPr>
        <w:rFonts w:ascii="Symbol" w:hAnsi="Symbol" w:hint="default"/>
      </w:rPr>
    </w:lvl>
    <w:lvl w:ilvl="7" w:tplc="D868902E">
      <w:start w:val="1"/>
      <w:numFmt w:val="bullet"/>
      <w:lvlText w:val="o"/>
      <w:lvlJc w:val="left"/>
      <w:pPr>
        <w:ind w:left="5760" w:hanging="360"/>
      </w:pPr>
      <w:rPr>
        <w:rFonts w:ascii="Courier New" w:hAnsi="Courier New" w:hint="default"/>
      </w:rPr>
    </w:lvl>
    <w:lvl w:ilvl="8" w:tplc="C050490C">
      <w:start w:val="1"/>
      <w:numFmt w:val="bullet"/>
      <w:lvlText w:val=""/>
      <w:lvlJc w:val="left"/>
      <w:pPr>
        <w:ind w:left="6480" w:hanging="360"/>
      </w:pPr>
      <w:rPr>
        <w:rFonts w:ascii="Wingdings" w:hAnsi="Wingdings" w:hint="default"/>
      </w:rPr>
    </w:lvl>
  </w:abstractNum>
  <w:abstractNum w:abstractNumId="8"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9" w15:restartNumberingAfterBreak="0">
    <w:nsid w:val="14996626"/>
    <w:multiLevelType w:val="hybridMultilevel"/>
    <w:tmpl w:val="AC4E9A68"/>
    <w:lvl w:ilvl="0" w:tplc="62B6514A">
      <w:start w:val="1"/>
      <w:numFmt w:val="bullet"/>
      <w:lvlText w:val=""/>
      <w:lvlJc w:val="center"/>
      <w:pPr>
        <w:tabs>
          <w:tab w:val="num" w:pos="284"/>
        </w:tabs>
        <w:ind w:left="284" w:hanging="284"/>
      </w:pPr>
      <w:rPr>
        <w:rFonts w:ascii="Symbol" w:hAnsi="Symbol" w:hint="default"/>
        <w:b w:val="0"/>
        <w:i w:val="0"/>
        <w:color w:val="auto"/>
      </w:rPr>
    </w:lvl>
    <w:lvl w:ilvl="1" w:tplc="F0E4EA32">
      <w:start w:val="1"/>
      <w:numFmt w:val="bullet"/>
      <w:lvlText w:val=""/>
      <w:lvlJc w:val="left"/>
      <w:pPr>
        <w:tabs>
          <w:tab w:val="num" w:pos="1440"/>
        </w:tabs>
        <w:ind w:left="1440" w:hanging="360"/>
      </w:pPr>
      <w:rPr>
        <w:rFonts w:ascii="Symbol" w:hAnsi="Symbol" w:hint="default"/>
        <w:lang w:val="en-US"/>
      </w:rPr>
    </w:lvl>
    <w:lvl w:ilvl="2" w:tplc="AF84FF14">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1"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2973D2"/>
    <w:multiLevelType w:val="hybridMultilevel"/>
    <w:tmpl w:val="E8161AC2"/>
    <w:lvl w:ilvl="0" w:tplc="1809000F">
      <w:start w:val="1"/>
      <w:numFmt w:val="decimal"/>
      <w:lvlText w:val="%1."/>
      <w:lvlJc w:val="left"/>
      <w:pPr>
        <w:ind w:left="720" w:hanging="720"/>
      </w:pPr>
      <w:rPr>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4"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5" w15:restartNumberingAfterBreak="0">
    <w:nsid w:val="1F0F4415"/>
    <w:multiLevelType w:val="hybridMultilevel"/>
    <w:tmpl w:val="232CBC86"/>
    <w:lvl w:ilvl="0" w:tplc="87B837E8">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8"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A8121D"/>
    <w:multiLevelType w:val="hybridMultilevel"/>
    <w:tmpl w:val="93E64D3A"/>
    <w:lvl w:ilvl="0" w:tplc="1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22"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AD36B55"/>
    <w:multiLevelType w:val="hybridMultilevel"/>
    <w:tmpl w:val="C66A48E8"/>
    <w:lvl w:ilvl="0" w:tplc="FFFFFFFF">
      <w:start w:val="1"/>
      <w:numFmt w:val="decimal"/>
      <w:lvlText w:val="%1."/>
      <w:lvlJc w:val="left"/>
      <w:pPr>
        <w:ind w:left="720" w:hanging="720"/>
      </w:pPr>
      <w:rPr>
        <w:rFonts w:hint="default"/>
        <w:b/>
        <w:i w:val="0"/>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5"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8"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2" w15:restartNumberingAfterBreak="0">
    <w:nsid w:val="746C1691"/>
    <w:multiLevelType w:val="hybridMultilevel"/>
    <w:tmpl w:val="014C1D4E"/>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7E673E"/>
    <w:multiLevelType w:val="hybridMultilevel"/>
    <w:tmpl w:val="FFFFFFFF"/>
    <w:lvl w:ilvl="0" w:tplc="5A20CEE6">
      <w:start w:val="1"/>
      <w:numFmt w:val="bullet"/>
      <w:lvlText w:val="·"/>
      <w:lvlJc w:val="left"/>
      <w:pPr>
        <w:ind w:left="720" w:hanging="360"/>
      </w:pPr>
      <w:rPr>
        <w:rFonts w:ascii="Symbol" w:hAnsi="Symbol" w:hint="default"/>
      </w:rPr>
    </w:lvl>
    <w:lvl w:ilvl="1" w:tplc="0AA24A46">
      <w:start w:val="1"/>
      <w:numFmt w:val="bullet"/>
      <w:lvlText w:val="o"/>
      <w:lvlJc w:val="left"/>
      <w:pPr>
        <w:ind w:left="1440" w:hanging="360"/>
      </w:pPr>
      <w:rPr>
        <w:rFonts w:ascii="Courier New" w:hAnsi="Courier New" w:hint="default"/>
      </w:rPr>
    </w:lvl>
    <w:lvl w:ilvl="2" w:tplc="F4D2CB3A">
      <w:start w:val="1"/>
      <w:numFmt w:val="bullet"/>
      <w:lvlText w:val=""/>
      <w:lvlJc w:val="left"/>
      <w:pPr>
        <w:ind w:left="2160" w:hanging="360"/>
      </w:pPr>
      <w:rPr>
        <w:rFonts w:ascii="Wingdings" w:hAnsi="Wingdings" w:hint="default"/>
      </w:rPr>
    </w:lvl>
    <w:lvl w:ilvl="3" w:tplc="0A420084">
      <w:start w:val="1"/>
      <w:numFmt w:val="bullet"/>
      <w:lvlText w:val=""/>
      <w:lvlJc w:val="left"/>
      <w:pPr>
        <w:ind w:left="2880" w:hanging="360"/>
      </w:pPr>
      <w:rPr>
        <w:rFonts w:ascii="Symbol" w:hAnsi="Symbol" w:hint="default"/>
      </w:rPr>
    </w:lvl>
    <w:lvl w:ilvl="4" w:tplc="18B2E14E">
      <w:start w:val="1"/>
      <w:numFmt w:val="bullet"/>
      <w:lvlText w:val="o"/>
      <w:lvlJc w:val="left"/>
      <w:pPr>
        <w:ind w:left="3600" w:hanging="360"/>
      </w:pPr>
      <w:rPr>
        <w:rFonts w:ascii="Courier New" w:hAnsi="Courier New" w:hint="default"/>
      </w:rPr>
    </w:lvl>
    <w:lvl w:ilvl="5" w:tplc="FA46D84A">
      <w:start w:val="1"/>
      <w:numFmt w:val="bullet"/>
      <w:lvlText w:val=""/>
      <w:lvlJc w:val="left"/>
      <w:pPr>
        <w:ind w:left="4320" w:hanging="360"/>
      </w:pPr>
      <w:rPr>
        <w:rFonts w:ascii="Wingdings" w:hAnsi="Wingdings" w:hint="default"/>
      </w:rPr>
    </w:lvl>
    <w:lvl w:ilvl="6" w:tplc="348685E6">
      <w:start w:val="1"/>
      <w:numFmt w:val="bullet"/>
      <w:lvlText w:val=""/>
      <w:lvlJc w:val="left"/>
      <w:pPr>
        <w:ind w:left="5040" w:hanging="360"/>
      </w:pPr>
      <w:rPr>
        <w:rFonts w:ascii="Symbol" w:hAnsi="Symbol" w:hint="default"/>
      </w:rPr>
    </w:lvl>
    <w:lvl w:ilvl="7" w:tplc="2E165C50">
      <w:start w:val="1"/>
      <w:numFmt w:val="bullet"/>
      <w:lvlText w:val="o"/>
      <w:lvlJc w:val="left"/>
      <w:pPr>
        <w:ind w:left="5760" w:hanging="360"/>
      </w:pPr>
      <w:rPr>
        <w:rFonts w:ascii="Courier New" w:hAnsi="Courier New" w:hint="default"/>
      </w:rPr>
    </w:lvl>
    <w:lvl w:ilvl="8" w:tplc="BE44DBF2">
      <w:start w:val="1"/>
      <w:numFmt w:val="bullet"/>
      <w:lvlText w:val=""/>
      <w:lvlJc w:val="left"/>
      <w:pPr>
        <w:ind w:left="6480" w:hanging="360"/>
      </w:pPr>
      <w:rPr>
        <w:rFonts w:ascii="Wingdings" w:hAnsi="Wingdings" w:hint="default"/>
      </w:rPr>
    </w:lvl>
  </w:abstractNum>
  <w:abstractNum w:abstractNumId="34"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9"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40"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1185093942">
    <w:abstractNumId w:val="3"/>
  </w:num>
  <w:num w:numId="2" w16cid:durableId="556471876">
    <w:abstractNumId w:val="33"/>
  </w:num>
  <w:num w:numId="3" w16cid:durableId="870415360">
    <w:abstractNumId w:val="7"/>
  </w:num>
  <w:num w:numId="4" w16cid:durableId="1204294020">
    <w:abstractNumId w:val="10"/>
  </w:num>
  <w:num w:numId="5" w16cid:durableId="1268150072">
    <w:abstractNumId w:val="1"/>
  </w:num>
  <w:num w:numId="6" w16cid:durableId="9988409">
    <w:abstractNumId w:val="39"/>
  </w:num>
  <w:num w:numId="7" w16cid:durableId="2106614013">
    <w:abstractNumId w:val="17"/>
  </w:num>
  <w:num w:numId="8" w16cid:durableId="1474056386">
    <w:abstractNumId w:val="31"/>
  </w:num>
  <w:num w:numId="9" w16cid:durableId="1842621070">
    <w:abstractNumId w:val="14"/>
  </w:num>
  <w:num w:numId="10" w16cid:durableId="371031477">
    <w:abstractNumId w:val="8"/>
  </w:num>
  <w:num w:numId="11" w16cid:durableId="896821982">
    <w:abstractNumId w:val="21"/>
  </w:num>
  <w:num w:numId="12" w16cid:durableId="1893226905">
    <w:abstractNumId w:val="38"/>
  </w:num>
  <w:num w:numId="13" w16cid:durableId="1922906944">
    <w:abstractNumId w:val="27"/>
  </w:num>
  <w:num w:numId="14" w16cid:durableId="999194031">
    <w:abstractNumId w:val="29"/>
  </w:num>
  <w:num w:numId="15" w16cid:durableId="1935823335">
    <w:abstractNumId w:val="16"/>
  </w:num>
  <w:num w:numId="16" w16cid:durableId="1112165978">
    <w:abstractNumId w:val="22"/>
  </w:num>
  <w:num w:numId="17" w16cid:durableId="169027644">
    <w:abstractNumId w:val="34"/>
  </w:num>
  <w:num w:numId="18" w16cid:durableId="847863846">
    <w:abstractNumId w:val="20"/>
  </w:num>
  <w:num w:numId="19" w16cid:durableId="659962589">
    <w:abstractNumId w:val="40"/>
  </w:num>
  <w:num w:numId="20" w16cid:durableId="2085957280">
    <w:abstractNumId w:val="37"/>
  </w:num>
  <w:num w:numId="21" w16cid:durableId="246497905">
    <w:abstractNumId w:val="25"/>
  </w:num>
  <w:num w:numId="22" w16cid:durableId="957224068">
    <w:abstractNumId w:val="26"/>
  </w:num>
  <w:num w:numId="23" w16cid:durableId="450787617">
    <w:abstractNumId w:val="30"/>
  </w:num>
  <w:num w:numId="24" w16cid:durableId="420293286">
    <w:abstractNumId w:val="4"/>
  </w:num>
  <w:num w:numId="25" w16cid:durableId="558982674">
    <w:abstractNumId w:val="6"/>
  </w:num>
  <w:num w:numId="26" w16cid:durableId="1788769073">
    <w:abstractNumId w:val="24"/>
  </w:num>
  <w:num w:numId="27" w16cid:durableId="1655832877">
    <w:abstractNumId w:val="35"/>
  </w:num>
  <w:num w:numId="28" w16cid:durableId="140196047">
    <w:abstractNumId w:val="13"/>
  </w:num>
  <w:num w:numId="29" w16cid:durableId="793794170">
    <w:abstractNumId w:val="36"/>
  </w:num>
  <w:num w:numId="30" w16cid:durableId="1762949298">
    <w:abstractNumId w:val="12"/>
  </w:num>
  <w:num w:numId="31" w16cid:durableId="198469790">
    <w:abstractNumId w:val="2"/>
  </w:num>
  <w:num w:numId="32" w16cid:durableId="165486937">
    <w:abstractNumId w:val="18"/>
  </w:num>
  <w:num w:numId="33" w16cid:durableId="1706248517">
    <w:abstractNumId w:val="28"/>
  </w:num>
  <w:num w:numId="34" w16cid:durableId="1331517316">
    <w:abstractNumId w:val="39"/>
  </w:num>
  <w:num w:numId="35" w16cid:durableId="939683015">
    <w:abstractNumId w:val="32"/>
  </w:num>
  <w:num w:numId="36" w16cid:durableId="1818104054">
    <w:abstractNumId w:val="5"/>
  </w:num>
  <w:num w:numId="37" w16cid:durableId="889463047">
    <w:abstractNumId w:val="9"/>
  </w:num>
  <w:num w:numId="38" w16cid:durableId="590628969">
    <w:abstractNumId w:val="15"/>
  </w:num>
  <w:num w:numId="39" w16cid:durableId="451704490">
    <w:abstractNumId w:val="19"/>
  </w:num>
  <w:num w:numId="40" w16cid:durableId="1093624764">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TEL"/>
  </w:docVars>
  <w:rsids>
    <w:rsidRoot w:val="009A3DA0"/>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8D8"/>
    <w:rsid w:val="00004C3F"/>
    <w:rsid w:val="0000525F"/>
    <w:rsid w:val="000054A7"/>
    <w:rsid w:val="00005541"/>
    <w:rsid w:val="000058C9"/>
    <w:rsid w:val="00005961"/>
    <w:rsid w:val="00005BD7"/>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1FB2"/>
    <w:rsid w:val="0002207D"/>
    <w:rsid w:val="0002216F"/>
    <w:rsid w:val="000221F2"/>
    <w:rsid w:val="00022538"/>
    <w:rsid w:val="00022669"/>
    <w:rsid w:val="000226CF"/>
    <w:rsid w:val="00022775"/>
    <w:rsid w:val="00022776"/>
    <w:rsid w:val="00022903"/>
    <w:rsid w:val="00022B33"/>
    <w:rsid w:val="00022E91"/>
    <w:rsid w:val="00022FAA"/>
    <w:rsid w:val="00023162"/>
    <w:rsid w:val="000232A5"/>
    <w:rsid w:val="00023424"/>
    <w:rsid w:val="00023451"/>
    <w:rsid w:val="00023626"/>
    <w:rsid w:val="00023AEC"/>
    <w:rsid w:val="00023C78"/>
    <w:rsid w:val="00023E4D"/>
    <w:rsid w:val="000240AC"/>
    <w:rsid w:val="000241F9"/>
    <w:rsid w:val="00024204"/>
    <w:rsid w:val="000242C9"/>
    <w:rsid w:val="0002435B"/>
    <w:rsid w:val="0002435F"/>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7C2"/>
    <w:rsid w:val="00033BF3"/>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310"/>
    <w:rsid w:val="0004146E"/>
    <w:rsid w:val="000414BC"/>
    <w:rsid w:val="0004189C"/>
    <w:rsid w:val="0004193F"/>
    <w:rsid w:val="0004195A"/>
    <w:rsid w:val="00041A87"/>
    <w:rsid w:val="00041DA3"/>
    <w:rsid w:val="00041F1F"/>
    <w:rsid w:val="0004209B"/>
    <w:rsid w:val="000420DB"/>
    <w:rsid w:val="000421A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2DDD"/>
    <w:rsid w:val="00053766"/>
    <w:rsid w:val="00053BE0"/>
    <w:rsid w:val="00053CB9"/>
    <w:rsid w:val="00053FAD"/>
    <w:rsid w:val="000541A5"/>
    <w:rsid w:val="0005422C"/>
    <w:rsid w:val="000544EF"/>
    <w:rsid w:val="000546D2"/>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902"/>
    <w:rsid w:val="00057E1C"/>
    <w:rsid w:val="00057EA9"/>
    <w:rsid w:val="000604D2"/>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2F9F"/>
    <w:rsid w:val="00063101"/>
    <w:rsid w:val="00063857"/>
    <w:rsid w:val="0006396A"/>
    <w:rsid w:val="00063A60"/>
    <w:rsid w:val="00063AEF"/>
    <w:rsid w:val="00063B1D"/>
    <w:rsid w:val="00063C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6459"/>
    <w:rsid w:val="00077252"/>
    <w:rsid w:val="000776B1"/>
    <w:rsid w:val="000776D8"/>
    <w:rsid w:val="00077912"/>
    <w:rsid w:val="00077B88"/>
    <w:rsid w:val="00077BFB"/>
    <w:rsid w:val="000800AF"/>
    <w:rsid w:val="00080191"/>
    <w:rsid w:val="0008029D"/>
    <w:rsid w:val="000804D5"/>
    <w:rsid w:val="000807AE"/>
    <w:rsid w:val="000807B5"/>
    <w:rsid w:val="00080AD9"/>
    <w:rsid w:val="00080B91"/>
    <w:rsid w:val="00080CE2"/>
    <w:rsid w:val="00080F35"/>
    <w:rsid w:val="000811A4"/>
    <w:rsid w:val="000811D4"/>
    <w:rsid w:val="00081259"/>
    <w:rsid w:val="00081792"/>
    <w:rsid w:val="0008187A"/>
    <w:rsid w:val="0008189D"/>
    <w:rsid w:val="0008216A"/>
    <w:rsid w:val="0008217D"/>
    <w:rsid w:val="000825F0"/>
    <w:rsid w:val="000827CD"/>
    <w:rsid w:val="000829C4"/>
    <w:rsid w:val="00082B1C"/>
    <w:rsid w:val="00083121"/>
    <w:rsid w:val="00083469"/>
    <w:rsid w:val="000834CD"/>
    <w:rsid w:val="000835B0"/>
    <w:rsid w:val="000835F5"/>
    <w:rsid w:val="0008378A"/>
    <w:rsid w:val="00083B96"/>
    <w:rsid w:val="00083EAD"/>
    <w:rsid w:val="00084044"/>
    <w:rsid w:val="00084211"/>
    <w:rsid w:val="00084419"/>
    <w:rsid w:val="0008449C"/>
    <w:rsid w:val="000845D7"/>
    <w:rsid w:val="000846F8"/>
    <w:rsid w:val="00084B71"/>
    <w:rsid w:val="00084D1E"/>
    <w:rsid w:val="00084DFB"/>
    <w:rsid w:val="0008526A"/>
    <w:rsid w:val="000853EB"/>
    <w:rsid w:val="00085484"/>
    <w:rsid w:val="00085847"/>
    <w:rsid w:val="00085BE8"/>
    <w:rsid w:val="00085E04"/>
    <w:rsid w:val="0008608A"/>
    <w:rsid w:val="000863ED"/>
    <w:rsid w:val="00086911"/>
    <w:rsid w:val="00086C30"/>
    <w:rsid w:val="00086D5D"/>
    <w:rsid w:val="00086DA6"/>
    <w:rsid w:val="00087450"/>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343"/>
    <w:rsid w:val="00096552"/>
    <w:rsid w:val="00096607"/>
    <w:rsid w:val="00096700"/>
    <w:rsid w:val="0009691F"/>
    <w:rsid w:val="00096925"/>
    <w:rsid w:val="0009694F"/>
    <w:rsid w:val="00096B06"/>
    <w:rsid w:val="00096F91"/>
    <w:rsid w:val="0009706D"/>
    <w:rsid w:val="00097551"/>
    <w:rsid w:val="000975A5"/>
    <w:rsid w:val="00097833"/>
    <w:rsid w:val="000978DD"/>
    <w:rsid w:val="00097A89"/>
    <w:rsid w:val="00097E80"/>
    <w:rsid w:val="00097F2B"/>
    <w:rsid w:val="000A0424"/>
    <w:rsid w:val="000A05BC"/>
    <w:rsid w:val="000A06AB"/>
    <w:rsid w:val="000A07D2"/>
    <w:rsid w:val="000A07F3"/>
    <w:rsid w:val="000A0849"/>
    <w:rsid w:val="000A09F3"/>
    <w:rsid w:val="000A0BAF"/>
    <w:rsid w:val="000A0E37"/>
    <w:rsid w:val="000A1105"/>
    <w:rsid w:val="000A1349"/>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589"/>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9C9"/>
    <w:rsid w:val="000A6ADD"/>
    <w:rsid w:val="000A6ECC"/>
    <w:rsid w:val="000A716D"/>
    <w:rsid w:val="000A77D0"/>
    <w:rsid w:val="000A7823"/>
    <w:rsid w:val="000A79F0"/>
    <w:rsid w:val="000A7A88"/>
    <w:rsid w:val="000A7A8B"/>
    <w:rsid w:val="000A7C1F"/>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A9"/>
    <w:rsid w:val="000B67EE"/>
    <w:rsid w:val="000B6A5E"/>
    <w:rsid w:val="000B70BC"/>
    <w:rsid w:val="000B739A"/>
    <w:rsid w:val="000B73B7"/>
    <w:rsid w:val="000B7631"/>
    <w:rsid w:val="000B776B"/>
    <w:rsid w:val="000B7A33"/>
    <w:rsid w:val="000B7AF5"/>
    <w:rsid w:val="000B7B36"/>
    <w:rsid w:val="000B7E37"/>
    <w:rsid w:val="000C0100"/>
    <w:rsid w:val="000C027E"/>
    <w:rsid w:val="000C0681"/>
    <w:rsid w:val="000C0999"/>
    <w:rsid w:val="000C0E3A"/>
    <w:rsid w:val="000C0EAA"/>
    <w:rsid w:val="000C0FF7"/>
    <w:rsid w:val="000C109C"/>
    <w:rsid w:val="000C11C7"/>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BEC"/>
    <w:rsid w:val="000C4CD3"/>
    <w:rsid w:val="000C52B2"/>
    <w:rsid w:val="000C53D3"/>
    <w:rsid w:val="000C53D4"/>
    <w:rsid w:val="000C5518"/>
    <w:rsid w:val="000C5720"/>
    <w:rsid w:val="000C5898"/>
    <w:rsid w:val="000C5DDB"/>
    <w:rsid w:val="000C61AB"/>
    <w:rsid w:val="000C628E"/>
    <w:rsid w:val="000C6577"/>
    <w:rsid w:val="000C6610"/>
    <w:rsid w:val="000C6902"/>
    <w:rsid w:val="000C69CA"/>
    <w:rsid w:val="000C71A3"/>
    <w:rsid w:val="000C728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8E"/>
    <w:rsid w:val="000D23CE"/>
    <w:rsid w:val="000D25EF"/>
    <w:rsid w:val="000D2718"/>
    <w:rsid w:val="000D280C"/>
    <w:rsid w:val="000D333F"/>
    <w:rsid w:val="000D34BD"/>
    <w:rsid w:val="000D3537"/>
    <w:rsid w:val="000D37F7"/>
    <w:rsid w:val="000D38B0"/>
    <w:rsid w:val="000D390C"/>
    <w:rsid w:val="000D3A17"/>
    <w:rsid w:val="000D414D"/>
    <w:rsid w:val="000D416D"/>
    <w:rsid w:val="000D4395"/>
    <w:rsid w:val="000D4534"/>
    <w:rsid w:val="000D45F1"/>
    <w:rsid w:val="000D46FC"/>
    <w:rsid w:val="000D47E4"/>
    <w:rsid w:val="000D4894"/>
    <w:rsid w:val="000D4E86"/>
    <w:rsid w:val="000D4EB1"/>
    <w:rsid w:val="000D51B6"/>
    <w:rsid w:val="000D521F"/>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1EE0"/>
    <w:rsid w:val="000E229F"/>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FD0"/>
    <w:rsid w:val="000F0118"/>
    <w:rsid w:val="000F023F"/>
    <w:rsid w:val="000F0582"/>
    <w:rsid w:val="000F0603"/>
    <w:rsid w:val="000F08AF"/>
    <w:rsid w:val="000F0B16"/>
    <w:rsid w:val="000F0B77"/>
    <w:rsid w:val="000F1404"/>
    <w:rsid w:val="000F1474"/>
    <w:rsid w:val="000F1480"/>
    <w:rsid w:val="000F1A32"/>
    <w:rsid w:val="000F24AC"/>
    <w:rsid w:val="000F2713"/>
    <w:rsid w:val="000F2E1A"/>
    <w:rsid w:val="000F343E"/>
    <w:rsid w:val="000F3948"/>
    <w:rsid w:val="000F39AA"/>
    <w:rsid w:val="000F3A65"/>
    <w:rsid w:val="000F3B1E"/>
    <w:rsid w:val="000F3CF6"/>
    <w:rsid w:val="000F3D65"/>
    <w:rsid w:val="000F3F15"/>
    <w:rsid w:val="000F4058"/>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06"/>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C7D"/>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AB6"/>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1FF"/>
    <w:rsid w:val="001343DF"/>
    <w:rsid w:val="0013462F"/>
    <w:rsid w:val="0013494F"/>
    <w:rsid w:val="001349BA"/>
    <w:rsid w:val="00134AAE"/>
    <w:rsid w:val="00134B58"/>
    <w:rsid w:val="00134DB4"/>
    <w:rsid w:val="00134E51"/>
    <w:rsid w:val="00134F5D"/>
    <w:rsid w:val="00134FA5"/>
    <w:rsid w:val="00135245"/>
    <w:rsid w:val="0013524C"/>
    <w:rsid w:val="001354C7"/>
    <w:rsid w:val="00135DC8"/>
    <w:rsid w:val="00135F3C"/>
    <w:rsid w:val="001361F1"/>
    <w:rsid w:val="001363F1"/>
    <w:rsid w:val="001364BC"/>
    <w:rsid w:val="00136660"/>
    <w:rsid w:val="001366A2"/>
    <w:rsid w:val="00136D26"/>
    <w:rsid w:val="001370BE"/>
    <w:rsid w:val="00137319"/>
    <w:rsid w:val="00137470"/>
    <w:rsid w:val="001402F1"/>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96A"/>
    <w:rsid w:val="00143061"/>
    <w:rsid w:val="00143335"/>
    <w:rsid w:val="00143391"/>
    <w:rsid w:val="001438FC"/>
    <w:rsid w:val="00143DDE"/>
    <w:rsid w:val="00143F3D"/>
    <w:rsid w:val="0014413D"/>
    <w:rsid w:val="00145AB8"/>
    <w:rsid w:val="00145BBD"/>
    <w:rsid w:val="00145D7D"/>
    <w:rsid w:val="001463CA"/>
    <w:rsid w:val="00146572"/>
    <w:rsid w:val="0014708A"/>
    <w:rsid w:val="00147197"/>
    <w:rsid w:val="001476D4"/>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A9"/>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5E46B"/>
    <w:rsid w:val="00160197"/>
    <w:rsid w:val="00160355"/>
    <w:rsid w:val="0016053D"/>
    <w:rsid w:val="00160A74"/>
    <w:rsid w:val="00160B1A"/>
    <w:rsid w:val="00160EB1"/>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B97"/>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1EF5"/>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49"/>
    <w:rsid w:val="001747EB"/>
    <w:rsid w:val="00174CD1"/>
    <w:rsid w:val="001750CD"/>
    <w:rsid w:val="001752C8"/>
    <w:rsid w:val="001754EE"/>
    <w:rsid w:val="00175520"/>
    <w:rsid w:val="001755D6"/>
    <w:rsid w:val="001755FC"/>
    <w:rsid w:val="00175895"/>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6A"/>
    <w:rsid w:val="001777B7"/>
    <w:rsid w:val="001777D3"/>
    <w:rsid w:val="00177816"/>
    <w:rsid w:val="00177996"/>
    <w:rsid w:val="00177AE0"/>
    <w:rsid w:val="00177AFD"/>
    <w:rsid w:val="00177B86"/>
    <w:rsid w:val="00177CE2"/>
    <w:rsid w:val="00177CF4"/>
    <w:rsid w:val="00177F1E"/>
    <w:rsid w:val="00180116"/>
    <w:rsid w:val="001807A9"/>
    <w:rsid w:val="00180812"/>
    <w:rsid w:val="0018082C"/>
    <w:rsid w:val="00180C02"/>
    <w:rsid w:val="00180C73"/>
    <w:rsid w:val="00180CA5"/>
    <w:rsid w:val="00180DB8"/>
    <w:rsid w:val="00180DD5"/>
    <w:rsid w:val="001810AC"/>
    <w:rsid w:val="00181350"/>
    <w:rsid w:val="0018161C"/>
    <w:rsid w:val="0018176E"/>
    <w:rsid w:val="001818CE"/>
    <w:rsid w:val="00181DFD"/>
    <w:rsid w:val="001821DE"/>
    <w:rsid w:val="00182429"/>
    <w:rsid w:val="001824D3"/>
    <w:rsid w:val="001824FF"/>
    <w:rsid w:val="00182BA1"/>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CA"/>
    <w:rsid w:val="00192ED2"/>
    <w:rsid w:val="001930FC"/>
    <w:rsid w:val="001932A6"/>
    <w:rsid w:val="0019344A"/>
    <w:rsid w:val="00193567"/>
    <w:rsid w:val="001939BF"/>
    <w:rsid w:val="00193D1E"/>
    <w:rsid w:val="00193E17"/>
    <w:rsid w:val="00193FA0"/>
    <w:rsid w:val="0019484D"/>
    <w:rsid w:val="00194A0F"/>
    <w:rsid w:val="00194B51"/>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1EE7"/>
    <w:rsid w:val="001A2019"/>
    <w:rsid w:val="001A2024"/>
    <w:rsid w:val="001A2787"/>
    <w:rsid w:val="001A2A80"/>
    <w:rsid w:val="001A2C40"/>
    <w:rsid w:val="001A2D05"/>
    <w:rsid w:val="001A2EA0"/>
    <w:rsid w:val="001A3205"/>
    <w:rsid w:val="001A332F"/>
    <w:rsid w:val="001A3653"/>
    <w:rsid w:val="001A3A1C"/>
    <w:rsid w:val="001A3A62"/>
    <w:rsid w:val="001A3C4B"/>
    <w:rsid w:val="001A4016"/>
    <w:rsid w:val="001A40E0"/>
    <w:rsid w:val="001A4259"/>
    <w:rsid w:val="001A446E"/>
    <w:rsid w:val="001A45AB"/>
    <w:rsid w:val="001A4C2D"/>
    <w:rsid w:val="001A4CFE"/>
    <w:rsid w:val="001A4D24"/>
    <w:rsid w:val="001A4FE4"/>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E5D"/>
    <w:rsid w:val="001B0FAC"/>
    <w:rsid w:val="001B100D"/>
    <w:rsid w:val="001B1034"/>
    <w:rsid w:val="001B1499"/>
    <w:rsid w:val="001B15A6"/>
    <w:rsid w:val="001B17DA"/>
    <w:rsid w:val="001B1A64"/>
    <w:rsid w:val="001B1B45"/>
    <w:rsid w:val="001B1BC5"/>
    <w:rsid w:val="001B1C3B"/>
    <w:rsid w:val="001B1C41"/>
    <w:rsid w:val="001B1CD7"/>
    <w:rsid w:val="001B2734"/>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0985"/>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4A99"/>
    <w:rsid w:val="001C580F"/>
    <w:rsid w:val="001C58C0"/>
    <w:rsid w:val="001C5C8A"/>
    <w:rsid w:val="001C6197"/>
    <w:rsid w:val="001C680C"/>
    <w:rsid w:val="001C68EB"/>
    <w:rsid w:val="001C6B35"/>
    <w:rsid w:val="001C6E36"/>
    <w:rsid w:val="001C6ECF"/>
    <w:rsid w:val="001C7433"/>
    <w:rsid w:val="001C77DB"/>
    <w:rsid w:val="001C7BBA"/>
    <w:rsid w:val="001C7C96"/>
    <w:rsid w:val="001C7CF5"/>
    <w:rsid w:val="001C7D9C"/>
    <w:rsid w:val="001D00BA"/>
    <w:rsid w:val="001D0217"/>
    <w:rsid w:val="001D03B9"/>
    <w:rsid w:val="001D091B"/>
    <w:rsid w:val="001D0AC4"/>
    <w:rsid w:val="001D0CBE"/>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4E03"/>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8B5"/>
    <w:rsid w:val="001E79DD"/>
    <w:rsid w:val="001E79E2"/>
    <w:rsid w:val="001E7C26"/>
    <w:rsid w:val="001F0008"/>
    <w:rsid w:val="001F00BC"/>
    <w:rsid w:val="001F04D8"/>
    <w:rsid w:val="001F08E5"/>
    <w:rsid w:val="001F098B"/>
    <w:rsid w:val="001F09AF"/>
    <w:rsid w:val="001F0A12"/>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318"/>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709"/>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5C8"/>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2DE"/>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12A"/>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15"/>
    <w:rsid w:val="0022658F"/>
    <w:rsid w:val="00226668"/>
    <w:rsid w:val="002267B2"/>
    <w:rsid w:val="002268EA"/>
    <w:rsid w:val="00226C21"/>
    <w:rsid w:val="00227056"/>
    <w:rsid w:val="00227511"/>
    <w:rsid w:val="002276B7"/>
    <w:rsid w:val="00227749"/>
    <w:rsid w:val="00227750"/>
    <w:rsid w:val="00227794"/>
    <w:rsid w:val="00227EC2"/>
    <w:rsid w:val="00230277"/>
    <w:rsid w:val="0023029C"/>
    <w:rsid w:val="002302FC"/>
    <w:rsid w:val="002303C6"/>
    <w:rsid w:val="0023082E"/>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442"/>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057"/>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3F0D"/>
    <w:rsid w:val="0024431C"/>
    <w:rsid w:val="0024456F"/>
    <w:rsid w:val="00244969"/>
    <w:rsid w:val="00244EA6"/>
    <w:rsid w:val="00244EAE"/>
    <w:rsid w:val="00245424"/>
    <w:rsid w:val="0024573A"/>
    <w:rsid w:val="002457C1"/>
    <w:rsid w:val="0024588B"/>
    <w:rsid w:val="00245BF1"/>
    <w:rsid w:val="00245F0C"/>
    <w:rsid w:val="00245F73"/>
    <w:rsid w:val="00246022"/>
    <w:rsid w:val="002465C5"/>
    <w:rsid w:val="002465CE"/>
    <w:rsid w:val="00246682"/>
    <w:rsid w:val="0024668D"/>
    <w:rsid w:val="00246ABF"/>
    <w:rsid w:val="00246CA8"/>
    <w:rsid w:val="00246D5F"/>
    <w:rsid w:val="002474CC"/>
    <w:rsid w:val="002474F0"/>
    <w:rsid w:val="00247599"/>
    <w:rsid w:val="0024773E"/>
    <w:rsid w:val="0024780E"/>
    <w:rsid w:val="00247A12"/>
    <w:rsid w:val="00247A18"/>
    <w:rsid w:val="00247BEA"/>
    <w:rsid w:val="00247C95"/>
    <w:rsid w:val="00250018"/>
    <w:rsid w:val="0025015C"/>
    <w:rsid w:val="002501C7"/>
    <w:rsid w:val="00250417"/>
    <w:rsid w:val="0025093D"/>
    <w:rsid w:val="002509CE"/>
    <w:rsid w:val="002509FE"/>
    <w:rsid w:val="00250A36"/>
    <w:rsid w:val="00250E62"/>
    <w:rsid w:val="0025102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F47"/>
    <w:rsid w:val="00253F7D"/>
    <w:rsid w:val="00253FB8"/>
    <w:rsid w:val="00254470"/>
    <w:rsid w:val="002544C2"/>
    <w:rsid w:val="0025459C"/>
    <w:rsid w:val="002546A9"/>
    <w:rsid w:val="00254775"/>
    <w:rsid w:val="00255137"/>
    <w:rsid w:val="0025526A"/>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BA1"/>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7CA"/>
    <w:rsid w:val="0026689A"/>
    <w:rsid w:val="002668EB"/>
    <w:rsid w:val="0026699C"/>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460"/>
    <w:rsid w:val="00276574"/>
    <w:rsid w:val="00276944"/>
    <w:rsid w:val="00276AF9"/>
    <w:rsid w:val="00276B16"/>
    <w:rsid w:val="00276CAD"/>
    <w:rsid w:val="0027701F"/>
    <w:rsid w:val="00277198"/>
    <w:rsid w:val="002772F2"/>
    <w:rsid w:val="00277399"/>
    <w:rsid w:val="002777D6"/>
    <w:rsid w:val="0027789B"/>
    <w:rsid w:val="00277C97"/>
    <w:rsid w:val="00277DBC"/>
    <w:rsid w:val="00277F8B"/>
    <w:rsid w:val="00280616"/>
    <w:rsid w:val="002806D9"/>
    <w:rsid w:val="0028080A"/>
    <w:rsid w:val="00280856"/>
    <w:rsid w:val="00280966"/>
    <w:rsid w:val="00281040"/>
    <w:rsid w:val="002811E7"/>
    <w:rsid w:val="002814AE"/>
    <w:rsid w:val="002816AF"/>
    <w:rsid w:val="00281957"/>
    <w:rsid w:val="00281C23"/>
    <w:rsid w:val="00281D74"/>
    <w:rsid w:val="002822DD"/>
    <w:rsid w:val="002826F9"/>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6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82F"/>
    <w:rsid w:val="00293B9E"/>
    <w:rsid w:val="002940C3"/>
    <w:rsid w:val="0029415D"/>
    <w:rsid w:val="00294170"/>
    <w:rsid w:val="00294327"/>
    <w:rsid w:val="00294809"/>
    <w:rsid w:val="00294A66"/>
    <w:rsid w:val="00294E7D"/>
    <w:rsid w:val="002952D8"/>
    <w:rsid w:val="00295404"/>
    <w:rsid w:val="00295489"/>
    <w:rsid w:val="002954EC"/>
    <w:rsid w:val="002957C4"/>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3EA2"/>
    <w:rsid w:val="002A4132"/>
    <w:rsid w:val="002A4221"/>
    <w:rsid w:val="002A466C"/>
    <w:rsid w:val="002A46B9"/>
    <w:rsid w:val="002A4EA4"/>
    <w:rsid w:val="002A5068"/>
    <w:rsid w:val="002A52D1"/>
    <w:rsid w:val="002A5B34"/>
    <w:rsid w:val="002A5BCC"/>
    <w:rsid w:val="002A648C"/>
    <w:rsid w:val="002A6805"/>
    <w:rsid w:val="002A6955"/>
    <w:rsid w:val="002A6A37"/>
    <w:rsid w:val="002A728E"/>
    <w:rsid w:val="002A7347"/>
    <w:rsid w:val="002A75AE"/>
    <w:rsid w:val="002A7744"/>
    <w:rsid w:val="002A7A3E"/>
    <w:rsid w:val="002A7B9D"/>
    <w:rsid w:val="002A7C47"/>
    <w:rsid w:val="002A7F12"/>
    <w:rsid w:val="002B038F"/>
    <w:rsid w:val="002B0486"/>
    <w:rsid w:val="002B0499"/>
    <w:rsid w:val="002B0BA4"/>
    <w:rsid w:val="002B0E1C"/>
    <w:rsid w:val="002B0FE7"/>
    <w:rsid w:val="002B165A"/>
    <w:rsid w:val="002B1709"/>
    <w:rsid w:val="002B1740"/>
    <w:rsid w:val="002B1820"/>
    <w:rsid w:val="002B19FE"/>
    <w:rsid w:val="002B1A67"/>
    <w:rsid w:val="002B1BA3"/>
    <w:rsid w:val="002B2485"/>
    <w:rsid w:val="002B2627"/>
    <w:rsid w:val="002B26A2"/>
    <w:rsid w:val="002B274C"/>
    <w:rsid w:val="002B2751"/>
    <w:rsid w:val="002B3151"/>
    <w:rsid w:val="002B366D"/>
    <w:rsid w:val="002B3844"/>
    <w:rsid w:val="002B3BD7"/>
    <w:rsid w:val="002B3C56"/>
    <w:rsid w:val="002B3D3B"/>
    <w:rsid w:val="002B3E4F"/>
    <w:rsid w:val="002B3F77"/>
    <w:rsid w:val="002B4078"/>
    <w:rsid w:val="002B45F9"/>
    <w:rsid w:val="002B4722"/>
    <w:rsid w:val="002B47A1"/>
    <w:rsid w:val="002B5080"/>
    <w:rsid w:val="002B534A"/>
    <w:rsid w:val="002B558F"/>
    <w:rsid w:val="002B5875"/>
    <w:rsid w:val="002B5C23"/>
    <w:rsid w:val="002B606D"/>
    <w:rsid w:val="002B60CB"/>
    <w:rsid w:val="002B627D"/>
    <w:rsid w:val="002B649E"/>
    <w:rsid w:val="002B64A3"/>
    <w:rsid w:val="002B65C7"/>
    <w:rsid w:val="002B6882"/>
    <w:rsid w:val="002B6B4F"/>
    <w:rsid w:val="002B6C64"/>
    <w:rsid w:val="002B6CFB"/>
    <w:rsid w:val="002B6D3A"/>
    <w:rsid w:val="002B6E97"/>
    <w:rsid w:val="002B7AD5"/>
    <w:rsid w:val="002B7BAF"/>
    <w:rsid w:val="002B7BEB"/>
    <w:rsid w:val="002B7CCD"/>
    <w:rsid w:val="002C0046"/>
    <w:rsid w:val="002C00E0"/>
    <w:rsid w:val="002C05F0"/>
    <w:rsid w:val="002C0661"/>
    <w:rsid w:val="002C085E"/>
    <w:rsid w:val="002C089B"/>
    <w:rsid w:val="002C093A"/>
    <w:rsid w:val="002C0C05"/>
    <w:rsid w:val="002C0FF0"/>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054"/>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36B"/>
    <w:rsid w:val="002D6CF0"/>
    <w:rsid w:val="002D6FFE"/>
    <w:rsid w:val="002D7047"/>
    <w:rsid w:val="002D70C1"/>
    <w:rsid w:val="002D77C2"/>
    <w:rsid w:val="002D784E"/>
    <w:rsid w:val="002D7930"/>
    <w:rsid w:val="002D7B18"/>
    <w:rsid w:val="002D7B49"/>
    <w:rsid w:val="002E090F"/>
    <w:rsid w:val="002E0967"/>
    <w:rsid w:val="002E0F16"/>
    <w:rsid w:val="002E0FA2"/>
    <w:rsid w:val="002E13A0"/>
    <w:rsid w:val="002E185A"/>
    <w:rsid w:val="002E1AC1"/>
    <w:rsid w:val="002E1C42"/>
    <w:rsid w:val="002E1E26"/>
    <w:rsid w:val="002E2748"/>
    <w:rsid w:val="002E2A70"/>
    <w:rsid w:val="002E2B77"/>
    <w:rsid w:val="002E33BF"/>
    <w:rsid w:val="002E37B5"/>
    <w:rsid w:val="002E380E"/>
    <w:rsid w:val="002E3B41"/>
    <w:rsid w:val="002E3DF0"/>
    <w:rsid w:val="002E4608"/>
    <w:rsid w:val="002E4671"/>
    <w:rsid w:val="002E4E82"/>
    <w:rsid w:val="002E4EE2"/>
    <w:rsid w:val="002E5335"/>
    <w:rsid w:val="002E5734"/>
    <w:rsid w:val="002E5811"/>
    <w:rsid w:val="002E5AF7"/>
    <w:rsid w:val="002E5CF2"/>
    <w:rsid w:val="002E5F3B"/>
    <w:rsid w:val="002E5F95"/>
    <w:rsid w:val="002E660A"/>
    <w:rsid w:val="002E6799"/>
    <w:rsid w:val="002E6C40"/>
    <w:rsid w:val="002E6CCF"/>
    <w:rsid w:val="002E6E72"/>
    <w:rsid w:val="002E706B"/>
    <w:rsid w:val="002E7523"/>
    <w:rsid w:val="002E7AA9"/>
    <w:rsid w:val="002E7ABC"/>
    <w:rsid w:val="002E7BCD"/>
    <w:rsid w:val="002E7D0A"/>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B8F"/>
    <w:rsid w:val="002F2EEA"/>
    <w:rsid w:val="002F3437"/>
    <w:rsid w:val="002F3659"/>
    <w:rsid w:val="002F382A"/>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44B"/>
    <w:rsid w:val="002F6720"/>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DA0"/>
    <w:rsid w:val="00306FED"/>
    <w:rsid w:val="003076A7"/>
    <w:rsid w:val="003078FC"/>
    <w:rsid w:val="00307C4E"/>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2BA3"/>
    <w:rsid w:val="00313B7C"/>
    <w:rsid w:val="00313C32"/>
    <w:rsid w:val="00314017"/>
    <w:rsid w:val="00314034"/>
    <w:rsid w:val="00314397"/>
    <w:rsid w:val="003144BA"/>
    <w:rsid w:val="00314523"/>
    <w:rsid w:val="00314645"/>
    <w:rsid w:val="003149A3"/>
    <w:rsid w:val="00314B2A"/>
    <w:rsid w:val="00315000"/>
    <w:rsid w:val="003153D9"/>
    <w:rsid w:val="0031550B"/>
    <w:rsid w:val="00315540"/>
    <w:rsid w:val="00315A9D"/>
    <w:rsid w:val="00315E08"/>
    <w:rsid w:val="00316755"/>
    <w:rsid w:val="003169B6"/>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D0"/>
    <w:rsid w:val="00322ED9"/>
    <w:rsid w:val="00322FA3"/>
    <w:rsid w:val="00323450"/>
    <w:rsid w:val="0032350B"/>
    <w:rsid w:val="00323821"/>
    <w:rsid w:val="00323BC5"/>
    <w:rsid w:val="00323BEB"/>
    <w:rsid w:val="00324652"/>
    <w:rsid w:val="00324673"/>
    <w:rsid w:val="00324B9B"/>
    <w:rsid w:val="00324D46"/>
    <w:rsid w:val="00324DE1"/>
    <w:rsid w:val="003250DD"/>
    <w:rsid w:val="003257CD"/>
    <w:rsid w:val="00325B0D"/>
    <w:rsid w:val="00325B56"/>
    <w:rsid w:val="00325DF1"/>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437"/>
    <w:rsid w:val="00331867"/>
    <w:rsid w:val="00331871"/>
    <w:rsid w:val="003319F5"/>
    <w:rsid w:val="00331AB5"/>
    <w:rsid w:val="00331DB9"/>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90"/>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3E4"/>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3DC"/>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A35"/>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907"/>
    <w:rsid w:val="00353C8B"/>
    <w:rsid w:val="00353DCC"/>
    <w:rsid w:val="00353E7D"/>
    <w:rsid w:val="003542D4"/>
    <w:rsid w:val="003543DA"/>
    <w:rsid w:val="00354514"/>
    <w:rsid w:val="0035483F"/>
    <w:rsid w:val="00354B65"/>
    <w:rsid w:val="00354B6B"/>
    <w:rsid w:val="00354B7A"/>
    <w:rsid w:val="00354F05"/>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02E"/>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26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10C"/>
    <w:rsid w:val="00373254"/>
    <w:rsid w:val="003733D9"/>
    <w:rsid w:val="003734B6"/>
    <w:rsid w:val="00373684"/>
    <w:rsid w:val="003738DA"/>
    <w:rsid w:val="00373990"/>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D3F"/>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E5F"/>
    <w:rsid w:val="00382F65"/>
    <w:rsid w:val="003830FC"/>
    <w:rsid w:val="003839CE"/>
    <w:rsid w:val="00383B86"/>
    <w:rsid w:val="00383C9A"/>
    <w:rsid w:val="00383D49"/>
    <w:rsid w:val="00383F4D"/>
    <w:rsid w:val="003843D7"/>
    <w:rsid w:val="0038452B"/>
    <w:rsid w:val="0038459E"/>
    <w:rsid w:val="00384611"/>
    <w:rsid w:val="0038471B"/>
    <w:rsid w:val="00384ABB"/>
    <w:rsid w:val="00384AE0"/>
    <w:rsid w:val="00384C20"/>
    <w:rsid w:val="00384E52"/>
    <w:rsid w:val="0038500C"/>
    <w:rsid w:val="00385295"/>
    <w:rsid w:val="0038532C"/>
    <w:rsid w:val="0038556F"/>
    <w:rsid w:val="0038578E"/>
    <w:rsid w:val="003857DB"/>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4F8"/>
    <w:rsid w:val="0038755D"/>
    <w:rsid w:val="003879BE"/>
    <w:rsid w:val="00387AA7"/>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66A"/>
    <w:rsid w:val="00392A69"/>
    <w:rsid w:val="00392E4E"/>
    <w:rsid w:val="003930EB"/>
    <w:rsid w:val="003931D8"/>
    <w:rsid w:val="00393229"/>
    <w:rsid w:val="00393509"/>
    <w:rsid w:val="00393569"/>
    <w:rsid w:val="00393C42"/>
    <w:rsid w:val="00393EFB"/>
    <w:rsid w:val="003942F1"/>
    <w:rsid w:val="00394705"/>
    <w:rsid w:val="0039480F"/>
    <w:rsid w:val="00394B28"/>
    <w:rsid w:val="00394B89"/>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828"/>
    <w:rsid w:val="00396E02"/>
    <w:rsid w:val="00396F23"/>
    <w:rsid w:val="00397119"/>
    <w:rsid w:val="0039723A"/>
    <w:rsid w:val="003975C0"/>
    <w:rsid w:val="003979F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4BA"/>
    <w:rsid w:val="003A5735"/>
    <w:rsid w:val="003A58C7"/>
    <w:rsid w:val="003A5ACF"/>
    <w:rsid w:val="003A5F61"/>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2F17"/>
    <w:rsid w:val="003B31B6"/>
    <w:rsid w:val="003B32F5"/>
    <w:rsid w:val="003B38CD"/>
    <w:rsid w:val="003B3A56"/>
    <w:rsid w:val="003B3D10"/>
    <w:rsid w:val="003B3F0A"/>
    <w:rsid w:val="003B44FE"/>
    <w:rsid w:val="003B46B5"/>
    <w:rsid w:val="003B4849"/>
    <w:rsid w:val="003B4A40"/>
    <w:rsid w:val="003B4A70"/>
    <w:rsid w:val="003B4D62"/>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DC1"/>
    <w:rsid w:val="003C4ED1"/>
    <w:rsid w:val="003C4EEA"/>
    <w:rsid w:val="003C511B"/>
    <w:rsid w:val="003C53A9"/>
    <w:rsid w:val="003C53B5"/>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438"/>
    <w:rsid w:val="003D2589"/>
    <w:rsid w:val="003D25F4"/>
    <w:rsid w:val="003D26D5"/>
    <w:rsid w:val="003D26F7"/>
    <w:rsid w:val="003D2CD5"/>
    <w:rsid w:val="003D2CEE"/>
    <w:rsid w:val="003D2F99"/>
    <w:rsid w:val="003D30D6"/>
    <w:rsid w:val="003D34E8"/>
    <w:rsid w:val="003D37D4"/>
    <w:rsid w:val="003D3A0C"/>
    <w:rsid w:val="003D3E70"/>
    <w:rsid w:val="003D41F2"/>
    <w:rsid w:val="003D4937"/>
    <w:rsid w:val="003D4AA2"/>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860"/>
    <w:rsid w:val="003E3A1D"/>
    <w:rsid w:val="003E3A8B"/>
    <w:rsid w:val="003E3B82"/>
    <w:rsid w:val="003E3CC2"/>
    <w:rsid w:val="003E404F"/>
    <w:rsid w:val="003E4096"/>
    <w:rsid w:val="003E4527"/>
    <w:rsid w:val="003E4927"/>
    <w:rsid w:val="003E49A2"/>
    <w:rsid w:val="003E49B0"/>
    <w:rsid w:val="003E4A34"/>
    <w:rsid w:val="003E4CF4"/>
    <w:rsid w:val="003E4FA2"/>
    <w:rsid w:val="003E5047"/>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E8B"/>
    <w:rsid w:val="003F006A"/>
    <w:rsid w:val="003F01F6"/>
    <w:rsid w:val="003F020C"/>
    <w:rsid w:val="003F033C"/>
    <w:rsid w:val="003F03C4"/>
    <w:rsid w:val="003F04C5"/>
    <w:rsid w:val="003F066F"/>
    <w:rsid w:val="003F07C3"/>
    <w:rsid w:val="003F0C9B"/>
    <w:rsid w:val="003F110B"/>
    <w:rsid w:val="003F1299"/>
    <w:rsid w:val="003F1C0F"/>
    <w:rsid w:val="003F1F1D"/>
    <w:rsid w:val="003F2A8C"/>
    <w:rsid w:val="003F2CEF"/>
    <w:rsid w:val="003F2DEE"/>
    <w:rsid w:val="003F307C"/>
    <w:rsid w:val="003F3180"/>
    <w:rsid w:val="003F31AE"/>
    <w:rsid w:val="003F325F"/>
    <w:rsid w:val="003F3282"/>
    <w:rsid w:val="003F34C8"/>
    <w:rsid w:val="003F3650"/>
    <w:rsid w:val="003F3733"/>
    <w:rsid w:val="003F3919"/>
    <w:rsid w:val="003F3982"/>
    <w:rsid w:val="003F39F1"/>
    <w:rsid w:val="003F3B8F"/>
    <w:rsid w:val="003F3CE3"/>
    <w:rsid w:val="003F416F"/>
    <w:rsid w:val="003F41F2"/>
    <w:rsid w:val="003F441C"/>
    <w:rsid w:val="003F443F"/>
    <w:rsid w:val="003F44C8"/>
    <w:rsid w:val="003F45EB"/>
    <w:rsid w:val="003F46B8"/>
    <w:rsid w:val="003F4D21"/>
    <w:rsid w:val="003F4DA7"/>
    <w:rsid w:val="003F5277"/>
    <w:rsid w:val="003F576C"/>
    <w:rsid w:val="003F57F4"/>
    <w:rsid w:val="003F5BB3"/>
    <w:rsid w:val="003F5C88"/>
    <w:rsid w:val="003F62DB"/>
    <w:rsid w:val="003F62DE"/>
    <w:rsid w:val="003F62ED"/>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FCB"/>
    <w:rsid w:val="0040203A"/>
    <w:rsid w:val="00402B30"/>
    <w:rsid w:val="00402C69"/>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E5B"/>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F60"/>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32C"/>
    <w:rsid w:val="00421840"/>
    <w:rsid w:val="00421975"/>
    <w:rsid w:val="00421BB3"/>
    <w:rsid w:val="00421F35"/>
    <w:rsid w:val="0042208B"/>
    <w:rsid w:val="00422404"/>
    <w:rsid w:val="004229AD"/>
    <w:rsid w:val="00422B07"/>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C0B"/>
    <w:rsid w:val="00434174"/>
    <w:rsid w:val="0043417D"/>
    <w:rsid w:val="00434627"/>
    <w:rsid w:val="0043479C"/>
    <w:rsid w:val="00434A59"/>
    <w:rsid w:val="00434D4B"/>
    <w:rsid w:val="00434E88"/>
    <w:rsid w:val="00435099"/>
    <w:rsid w:val="004350A2"/>
    <w:rsid w:val="00435101"/>
    <w:rsid w:val="00435175"/>
    <w:rsid w:val="004351AE"/>
    <w:rsid w:val="00435632"/>
    <w:rsid w:val="00435734"/>
    <w:rsid w:val="0043584E"/>
    <w:rsid w:val="004358C5"/>
    <w:rsid w:val="0043594B"/>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7FB"/>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3AF"/>
    <w:rsid w:val="00444631"/>
    <w:rsid w:val="00444B3D"/>
    <w:rsid w:val="00444C12"/>
    <w:rsid w:val="00444D1D"/>
    <w:rsid w:val="00444E76"/>
    <w:rsid w:val="00444EA8"/>
    <w:rsid w:val="00444FF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16"/>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37D"/>
    <w:rsid w:val="00453A19"/>
    <w:rsid w:val="00453B7D"/>
    <w:rsid w:val="00453FF4"/>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5FE2"/>
    <w:rsid w:val="00466357"/>
    <w:rsid w:val="004665D2"/>
    <w:rsid w:val="0046689D"/>
    <w:rsid w:val="00466AB7"/>
    <w:rsid w:val="00466B35"/>
    <w:rsid w:val="00466C93"/>
    <w:rsid w:val="00466D14"/>
    <w:rsid w:val="00466DE0"/>
    <w:rsid w:val="00466DF8"/>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42"/>
    <w:rsid w:val="00476BB5"/>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6EA"/>
    <w:rsid w:val="004838D7"/>
    <w:rsid w:val="00483B40"/>
    <w:rsid w:val="00483C6D"/>
    <w:rsid w:val="00483D75"/>
    <w:rsid w:val="00483FD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8E5"/>
    <w:rsid w:val="004909B7"/>
    <w:rsid w:val="00490E8E"/>
    <w:rsid w:val="00491088"/>
    <w:rsid w:val="00491432"/>
    <w:rsid w:val="0049143C"/>
    <w:rsid w:val="00491A0A"/>
    <w:rsid w:val="00491E7D"/>
    <w:rsid w:val="00491FDA"/>
    <w:rsid w:val="0049203F"/>
    <w:rsid w:val="00492284"/>
    <w:rsid w:val="004924A9"/>
    <w:rsid w:val="004926D3"/>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1ED"/>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0EE"/>
    <w:rsid w:val="004A6334"/>
    <w:rsid w:val="004A643D"/>
    <w:rsid w:val="004A6860"/>
    <w:rsid w:val="004A6C66"/>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77F"/>
    <w:rsid w:val="004B28A2"/>
    <w:rsid w:val="004B2BFD"/>
    <w:rsid w:val="004B33B9"/>
    <w:rsid w:val="004B340E"/>
    <w:rsid w:val="004B3420"/>
    <w:rsid w:val="004B37E4"/>
    <w:rsid w:val="004B399F"/>
    <w:rsid w:val="004B39D5"/>
    <w:rsid w:val="004B39F4"/>
    <w:rsid w:val="004B42FD"/>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EC1"/>
    <w:rsid w:val="004C0571"/>
    <w:rsid w:val="004C093C"/>
    <w:rsid w:val="004C0BC9"/>
    <w:rsid w:val="004C0DF1"/>
    <w:rsid w:val="004C0DF8"/>
    <w:rsid w:val="004C0E96"/>
    <w:rsid w:val="004C0EF6"/>
    <w:rsid w:val="004C1009"/>
    <w:rsid w:val="004C1479"/>
    <w:rsid w:val="004C14A0"/>
    <w:rsid w:val="004C1697"/>
    <w:rsid w:val="004C1747"/>
    <w:rsid w:val="004C1A61"/>
    <w:rsid w:val="004C1D49"/>
    <w:rsid w:val="004C1E97"/>
    <w:rsid w:val="004C2009"/>
    <w:rsid w:val="004C2076"/>
    <w:rsid w:val="004C236F"/>
    <w:rsid w:val="004C243B"/>
    <w:rsid w:val="004C246F"/>
    <w:rsid w:val="004C2683"/>
    <w:rsid w:val="004C26BA"/>
    <w:rsid w:val="004C27DD"/>
    <w:rsid w:val="004C2843"/>
    <w:rsid w:val="004C28D5"/>
    <w:rsid w:val="004C299B"/>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B21"/>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B8C"/>
    <w:rsid w:val="004C7F3E"/>
    <w:rsid w:val="004D05F3"/>
    <w:rsid w:val="004D08BF"/>
    <w:rsid w:val="004D0B9F"/>
    <w:rsid w:val="004D0C77"/>
    <w:rsid w:val="004D0DD6"/>
    <w:rsid w:val="004D0FF1"/>
    <w:rsid w:val="004D1027"/>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E24"/>
    <w:rsid w:val="004D3FDF"/>
    <w:rsid w:val="004D4312"/>
    <w:rsid w:val="004D4544"/>
    <w:rsid w:val="004D4647"/>
    <w:rsid w:val="004D4C47"/>
    <w:rsid w:val="004D5477"/>
    <w:rsid w:val="004D5745"/>
    <w:rsid w:val="004D5CD9"/>
    <w:rsid w:val="004D5E82"/>
    <w:rsid w:val="004D5F42"/>
    <w:rsid w:val="004D602D"/>
    <w:rsid w:val="004D6687"/>
    <w:rsid w:val="004D6CF4"/>
    <w:rsid w:val="004D6E44"/>
    <w:rsid w:val="004D6EDA"/>
    <w:rsid w:val="004D6EE2"/>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543"/>
    <w:rsid w:val="004E366E"/>
    <w:rsid w:val="004E39FA"/>
    <w:rsid w:val="004E3AE0"/>
    <w:rsid w:val="004E3C70"/>
    <w:rsid w:val="004E3EFB"/>
    <w:rsid w:val="004E4161"/>
    <w:rsid w:val="004E4366"/>
    <w:rsid w:val="004E438B"/>
    <w:rsid w:val="004E443C"/>
    <w:rsid w:val="004E451A"/>
    <w:rsid w:val="004E4B90"/>
    <w:rsid w:val="004E4F11"/>
    <w:rsid w:val="004E50D7"/>
    <w:rsid w:val="004E53E0"/>
    <w:rsid w:val="004E5A51"/>
    <w:rsid w:val="004E5A77"/>
    <w:rsid w:val="004E5AD2"/>
    <w:rsid w:val="004E5C72"/>
    <w:rsid w:val="004E5FFF"/>
    <w:rsid w:val="004E6091"/>
    <w:rsid w:val="004E6617"/>
    <w:rsid w:val="004E6625"/>
    <w:rsid w:val="004E6929"/>
    <w:rsid w:val="004E698C"/>
    <w:rsid w:val="004E6EB9"/>
    <w:rsid w:val="004E6FE3"/>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619"/>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2EB"/>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4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1E98"/>
    <w:rsid w:val="005120EA"/>
    <w:rsid w:val="0051212A"/>
    <w:rsid w:val="00512267"/>
    <w:rsid w:val="00512314"/>
    <w:rsid w:val="005123D3"/>
    <w:rsid w:val="00512A6D"/>
    <w:rsid w:val="00512BA1"/>
    <w:rsid w:val="00513395"/>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DBA"/>
    <w:rsid w:val="00516E9F"/>
    <w:rsid w:val="00516F49"/>
    <w:rsid w:val="00516FE4"/>
    <w:rsid w:val="0051702A"/>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5D"/>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4A"/>
    <w:rsid w:val="005273F0"/>
    <w:rsid w:val="00527995"/>
    <w:rsid w:val="00527B51"/>
    <w:rsid w:val="00527CA2"/>
    <w:rsid w:val="0053006E"/>
    <w:rsid w:val="005300DA"/>
    <w:rsid w:val="00530157"/>
    <w:rsid w:val="00530208"/>
    <w:rsid w:val="00530472"/>
    <w:rsid w:val="005308E1"/>
    <w:rsid w:val="00530A79"/>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6F0"/>
    <w:rsid w:val="00534757"/>
    <w:rsid w:val="00535205"/>
    <w:rsid w:val="00535232"/>
    <w:rsid w:val="00535388"/>
    <w:rsid w:val="005358B3"/>
    <w:rsid w:val="00535B25"/>
    <w:rsid w:val="00535C32"/>
    <w:rsid w:val="00535D4D"/>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CCE"/>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671"/>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FED"/>
    <w:rsid w:val="00552C21"/>
    <w:rsid w:val="00552DB9"/>
    <w:rsid w:val="00552E5E"/>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CB1"/>
    <w:rsid w:val="00556E35"/>
    <w:rsid w:val="00556F11"/>
    <w:rsid w:val="00556FD5"/>
    <w:rsid w:val="005570F7"/>
    <w:rsid w:val="0055711F"/>
    <w:rsid w:val="00557270"/>
    <w:rsid w:val="00557359"/>
    <w:rsid w:val="00557827"/>
    <w:rsid w:val="00557B9E"/>
    <w:rsid w:val="00557DE4"/>
    <w:rsid w:val="00557E4B"/>
    <w:rsid w:val="00557F82"/>
    <w:rsid w:val="00560102"/>
    <w:rsid w:val="005606DA"/>
    <w:rsid w:val="005609D2"/>
    <w:rsid w:val="00560A3D"/>
    <w:rsid w:val="00560F0F"/>
    <w:rsid w:val="005610A0"/>
    <w:rsid w:val="005610DB"/>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5272"/>
    <w:rsid w:val="00565921"/>
    <w:rsid w:val="00565D02"/>
    <w:rsid w:val="00565F56"/>
    <w:rsid w:val="0056610C"/>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973"/>
    <w:rsid w:val="00575E87"/>
    <w:rsid w:val="0057604C"/>
    <w:rsid w:val="00576147"/>
    <w:rsid w:val="00576436"/>
    <w:rsid w:val="00576564"/>
    <w:rsid w:val="005767C0"/>
    <w:rsid w:val="00576DD5"/>
    <w:rsid w:val="00576E83"/>
    <w:rsid w:val="00576EAA"/>
    <w:rsid w:val="00576FFD"/>
    <w:rsid w:val="005773DC"/>
    <w:rsid w:val="00577618"/>
    <w:rsid w:val="005776CB"/>
    <w:rsid w:val="00577747"/>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411"/>
    <w:rsid w:val="00582D68"/>
    <w:rsid w:val="00582E7D"/>
    <w:rsid w:val="00582E8D"/>
    <w:rsid w:val="00582E8F"/>
    <w:rsid w:val="005833D3"/>
    <w:rsid w:val="00583454"/>
    <w:rsid w:val="00583944"/>
    <w:rsid w:val="00583E5F"/>
    <w:rsid w:val="00584205"/>
    <w:rsid w:val="00584757"/>
    <w:rsid w:val="00584838"/>
    <w:rsid w:val="00584BFE"/>
    <w:rsid w:val="00584D23"/>
    <w:rsid w:val="00584D98"/>
    <w:rsid w:val="00584EC4"/>
    <w:rsid w:val="00585172"/>
    <w:rsid w:val="00585537"/>
    <w:rsid w:val="005855E7"/>
    <w:rsid w:val="00585692"/>
    <w:rsid w:val="00585CF3"/>
    <w:rsid w:val="00585F57"/>
    <w:rsid w:val="00586025"/>
    <w:rsid w:val="0058605A"/>
    <w:rsid w:val="005860DE"/>
    <w:rsid w:val="00586302"/>
    <w:rsid w:val="005864D9"/>
    <w:rsid w:val="0058654F"/>
    <w:rsid w:val="0058662C"/>
    <w:rsid w:val="0058693D"/>
    <w:rsid w:val="00586ACB"/>
    <w:rsid w:val="00586E61"/>
    <w:rsid w:val="00586F26"/>
    <w:rsid w:val="00587122"/>
    <w:rsid w:val="00587E8E"/>
    <w:rsid w:val="00590248"/>
    <w:rsid w:val="005903FA"/>
    <w:rsid w:val="005906DF"/>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0C3"/>
    <w:rsid w:val="005A03EA"/>
    <w:rsid w:val="005A049F"/>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487"/>
    <w:rsid w:val="005A4977"/>
    <w:rsid w:val="005A4A3A"/>
    <w:rsid w:val="005A4ECB"/>
    <w:rsid w:val="005A5135"/>
    <w:rsid w:val="005A54D4"/>
    <w:rsid w:val="005A5B14"/>
    <w:rsid w:val="005A5BDE"/>
    <w:rsid w:val="005A602F"/>
    <w:rsid w:val="005A60E0"/>
    <w:rsid w:val="005A633C"/>
    <w:rsid w:val="005A6BF6"/>
    <w:rsid w:val="005A6E15"/>
    <w:rsid w:val="005A6EFE"/>
    <w:rsid w:val="005A7074"/>
    <w:rsid w:val="005A7121"/>
    <w:rsid w:val="005A71D1"/>
    <w:rsid w:val="005A7276"/>
    <w:rsid w:val="005A74F7"/>
    <w:rsid w:val="005A756C"/>
    <w:rsid w:val="005A7869"/>
    <w:rsid w:val="005A7895"/>
    <w:rsid w:val="005A7B3C"/>
    <w:rsid w:val="005B0135"/>
    <w:rsid w:val="005B0157"/>
    <w:rsid w:val="005B01E3"/>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8BF"/>
    <w:rsid w:val="005B69F0"/>
    <w:rsid w:val="005B6A18"/>
    <w:rsid w:val="005B7207"/>
    <w:rsid w:val="005B780A"/>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2C3"/>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8F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10A9"/>
    <w:rsid w:val="005D1144"/>
    <w:rsid w:val="005D19AC"/>
    <w:rsid w:val="005D1C5B"/>
    <w:rsid w:val="005D1EF4"/>
    <w:rsid w:val="005D2072"/>
    <w:rsid w:val="005D221A"/>
    <w:rsid w:val="005D2333"/>
    <w:rsid w:val="005D234F"/>
    <w:rsid w:val="005D246D"/>
    <w:rsid w:val="005D24AF"/>
    <w:rsid w:val="005D289E"/>
    <w:rsid w:val="005D297B"/>
    <w:rsid w:val="005D2A4F"/>
    <w:rsid w:val="005D2A97"/>
    <w:rsid w:val="005D2F3A"/>
    <w:rsid w:val="005D3430"/>
    <w:rsid w:val="005D360C"/>
    <w:rsid w:val="005D36CE"/>
    <w:rsid w:val="005D39EF"/>
    <w:rsid w:val="005D3B50"/>
    <w:rsid w:val="005D3E72"/>
    <w:rsid w:val="005D4028"/>
    <w:rsid w:val="005D45D0"/>
    <w:rsid w:val="005D4997"/>
    <w:rsid w:val="005D51F0"/>
    <w:rsid w:val="005D5298"/>
    <w:rsid w:val="005D52A1"/>
    <w:rsid w:val="005D532B"/>
    <w:rsid w:val="005D5392"/>
    <w:rsid w:val="005D54EF"/>
    <w:rsid w:val="005D5533"/>
    <w:rsid w:val="005D55A7"/>
    <w:rsid w:val="005D55D2"/>
    <w:rsid w:val="005D56BC"/>
    <w:rsid w:val="005D5C1F"/>
    <w:rsid w:val="005D5D60"/>
    <w:rsid w:val="005D603E"/>
    <w:rsid w:val="005D60C9"/>
    <w:rsid w:val="005D6198"/>
    <w:rsid w:val="005D62A4"/>
    <w:rsid w:val="005D660C"/>
    <w:rsid w:val="005D678B"/>
    <w:rsid w:val="005D6C8E"/>
    <w:rsid w:val="005D73A6"/>
    <w:rsid w:val="005D7574"/>
    <w:rsid w:val="005D77C7"/>
    <w:rsid w:val="005D790D"/>
    <w:rsid w:val="005D7951"/>
    <w:rsid w:val="005E018B"/>
    <w:rsid w:val="005E0660"/>
    <w:rsid w:val="005E07EA"/>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C2"/>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1F"/>
    <w:rsid w:val="005F247D"/>
    <w:rsid w:val="005F26B1"/>
    <w:rsid w:val="005F2EF6"/>
    <w:rsid w:val="005F30BF"/>
    <w:rsid w:val="005F35E2"/>
    <w:rsid w:val="005F372C"/>
    <w:rsid w:val="005F3739"/>
    <w:rsid w:val="005F3AE1"/>
    <w:rsid w:val="005F3E71"/>
    <w:rsid w:val="005F3FB8"/>
    <w:rsid w:val="005F4312"/>
    <w:rsid w:val="005F4523"/>
    <w:rsid w:val="005F4642"/>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5F7ECA"/>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47B1"/>
    <w:rsid w:val="006047D4"/>
    <w:rsid w:val="00604C70"/>
    <w:rsid w:val="00604DE8"/>
    <w:rsid w:val="00605261"/>
    <w:rsid w:val="0060548A"/>
    <w:rsid w:val="006054D2"/>
    <w:rsid w:val="006055B8"/>
    <w:rsid w:val="0060563D"/>
    <w:rsid w:val="00605BE0"/>
    <w:rsid w:val="00605BE6"/>
    <w:rsid w:val="00605FAA"/>
    <w:rsid w:val="00606608"/>
    <w:rsid w:val="0060683B"/>
    <w:rsid w:val="00606BA1"/>
    <w:rsid w:val="00606C4D"/>
    <w:rsid w:val="00606D98"/>
    <w:rsid w:val="00606FA7"/>
    <w:rsid w:val="0060719F"/>
    <w:rsid w:val="0060722B"/>
    <w:rsid w:val="006076E6"/>
    <w:rsid w:val="00607856"/>
    <w:rsid w:val="006079D1"/>
    <w:rsid w:val="00607B78"/>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C62"/>
    <w:rsid w:val="00624DAB"/>
    <w:rsid w:val="0062509A"/>
    <w:rsid w:val="0062518B"/>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83"/>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BD"/>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8A0"/>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6FE0"/>
    <w:rsid w:val="0064706F"/>
    <w:rsid w:val="0064732A"/>
    <w:rsid w:val="006474B3"/>
    <w:rsid w:val="006474F2"/>
    <w:rsid w:val="006475D6"/>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812"/>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57FED"/>
    <w:rsid w:val="0066015F"/>
    <w:rsid w:val="00660361"/>
    <w:rsid w:val="006604B7"/>
    <w:rsid w:val="00660675"/>
    <w:rsid w:val="00660BE4"/>
    <w:rsid w:val="00660D14"/>
    <w:rsid w:val="00660E89"/>
    <w:rsid w:val="00660EFE"/>
    <w:rsid w:val="00661804"/>
    <w:rsid w:val="006619C8"/>
    <w:rsid w:val="006621A6"/>
    <w:rsid w:val="006621F2"/>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67FF2"/>
    <w:rsid w:val="0067002B"/>
    <w:rsid w:val="00670147"/>
    <w:rsid w:val="0067029D"/>
    <w:rsid w:val="00670403"/>
    <w:rsid w:val="006704C3"/>
    <w:rsid w:val="00670B0C"/>
    <w:rsid w:val="00670F2F"/>
    <w:rsid w:val="00671028"/>
    <w:rsid w:val="00671299"/>
    <w:rsid w:val="006713DF"/>
    <w:rsid w:val="0067143B"/>
    <w:rsid w:val="00671487"/>
    <w:rsid w:val="00671B80"/>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4BE7"/>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2B33"/>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0B9"/>
    <w:rsid w:val="006952CE"/>
    <w:rsid w:val="00695629"/>
    <w:rsid w:val="006956AF"/>
    <w:rsid w:val="00695BC0"/>
    <w:rsid w:val="00695C46"/>
    <w:rsid w:val="00695D25"/>
    <w:rsid w:val="00696041"/>
    <w:rsid w:val="006963CB"/>
    <w:rsid w:val="006969DC"/>
    <w:rsid w:val="00696E73"/>
    <w:rsid w:val="00696EAD"/>
    <w:rsid w:val="00696EF5"/>
    <w:rsid w:val="006971B0"/>
    <w:rsid w:val="006971C7"/>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99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DBE"/>
    <w:rsid w:val="006A7F52"/>
    <w:rsid w:val="006A7FF0"/>
    <w:rsid w:val="006B028F"/>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2F96"/>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5C0E"/>
    <w:rsid w:val="006B648C"/>
    <w:rsid w:val="006B6546"/>
    <w:rsid w:val="006B65A0"/>
    <w:rsid w:val="006B6728"/>
    <w:rsid w:val="006B6CB7"/>
    <w:rsid w:val="006B6D0B"/>
    <w:rsid w:val="006B6ED5"/>
    <w:rsid w:val="006B6F1F"/>
    <w:rsid w:val="006B6F7D"/>
    <w:rsid w:val="006B7082"/>
    <w:rsid w:val="006B709A"/>
    <w:rsid w:val="006B7122"/>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5F7"/>
    <w:rsid w:val="006D176E"/>
    <w:rsid w:val="006D1BD4"/>
    <w:rsid w:val="006D1EE5"/>
    <w:rsid w:val="006D2145"/>
    <w:rsid w:val="006D2ED4"/>
    <w:rsid w:val="006D2FDA"/>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C73"/>
    <w:rsid w:val="006D4D3F"/>
    <w:rsid w:val="006D4F23"/>
    <w:rsid w:val="006D5154"/>
    <w:rsid w:val="006D517D"/>
    <w:rsid w:val="006D518F"/>
    <w:rsid w:val="006D5268"/>
    <w:rsid w:val="006D5658"/>
    <w:rsid w:val="006D58DB"/>
    <w:rsid w:val="006D5C2B"/>
    <w:rsid w:val="006D5C96"/>
    <w:rsid w:val="006D6010"/>
    <w:rsid w:val="006D6080"/>
    <w:rsid w:val="006D656D"/>
    <w:rsid w:val="006D668D"/>
    <w:rsid w:val="006D669D"/>
    <w:rsid w:val="006D6712"/>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CD6"/>
    <w:rsid w:val="006E1D3A"/>
    <w:rsid w:val="006E1EAC"/>
    <w:rsid w:val="006E1F52"/>
    <w:rsid w:val="006E20E1"/>
    <w:rsid w:val="006E22E1"/>
    <w:rsid w:val="006E2653"/>
    <w:rsid w:val="006E27DA"/>
    <w:rsid w:val="006E2875"/>
    <w:rsid w:val="006E2D3E"/>
    <w:rsid w:val="006E329A"/>
    <w:rsid w:val="006E3477"/>
    <w:rsid w:val="006E358D"/>
    <w:rsid w:val="006E3A90"/>
    <w:rsid w:val="006E3CC7"/>
    <w:rsid w:val="006E4585"/>
    <w:rsid w:val="006E4900"/>
    <w:rsid w:val="006E4923"/>
    <w:rsid w:val="006E4960"/>
    <w:rsid w:val="006E4C15"/>
    <w:rsid w:val="006E4DC4"/>
    <w:rsid w:val="006E4FEC"/>
    <w:rsid w:val="006E5332"/>
    <w:rsid w:val="006E533F"/>
    <w:rsid w:val="006E53A3"/>
    <w:rsid w:val="006E5696"/>
    <w:rsid w:val="006E56BD"/>
    <w:rsid w:val="006E5BBA"/>
    <w:rsid w:val="006E6260"/>
    <w:rsid w:val="006E6338"/>
    <w:rsid w:val="006E66A7"/>
    <w:rsid w:val="006E66EF"/>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3BC1"/>
    <w:rsid w:val="006F40BA"/>
    <w:rsid w:val="006F42AE"/>
    <w:rsid w:val="006F4507"/>
    <w:rsid w:val="006F5608"/>
    <w:rsid w:val="006F560B"/>
    <w:rsid w:val="006F57AD"/>
    <w:rsid w:val="006F604B"/>
    <w:rsid w:val="006F6337"/>
    <w:rsid w:val="006F6502"/>
    <w:rsid w:val="006F67A7"/>
    <w:rsid w:val="006F6847"/>
    <w:rsid w:val="006F6A32"/>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0A4D"/>
    <w:rsid w:val="0070116F"/>
    <w:rsid w:val="00701369"/>
    <w:rsid w:val="007013B5"/>
    <w:rsid w:val="00701496"/>
    <w:rsid w:val="00701705"/>
    <w:rsid w:val="0070170E"/>
    <w:rsid w:val="00701D18"/>
    <w:rsid w:val="00701F44"/>
    <w:rsid w:val="007027F8"/>
    <w:rsid w:val="00702A86"/>
    <w:rsid w:val="00702AAC"/>
    <w:rsid w:val="00702C97"/>
    <w:rsid w:val="00702D7E"/>
    <w:rsid w:val="00702E1B"/>
    <w:rsid w:val="007030C7"/>
    <w:rsid w:val="0070343A"/>
    <w:rsid w:val="007035D6"/>
    <w:rsid w:val="007035E8"/>
    <w:rsid w:val="007039BA"/>
    <w:rsid w:val="00703AFB"/>
    <w:rsid w:val="00703EFD"/>
    <w:rsid w:val="00703F9F"/>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376"/>
    <w:rsid w:val="007146E6"/>
    <w:rsid w:val="00714A31"/>
    <w:rsid w:val="00714A43"/>
    <w:rsid w:val="007150B0"/>
    <w:rsid w:val="007155A6"/>
    <w:rsid w:val="00715797"/>
    <w:rsid w:val="00715A9A"/>
    <w:rsid w:val="00715B97"/>
    <w:rsid w:val="00716314"/>
    <w:rsid w:val="0071647E"/>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1F7D"/>
    <w:rsid w:val="00722140"/>
    <w:rsid w:val="007222B1"/>
    <w:rsid w:val="007224BD"/>
    <w:rsid w:val="0072282B"/>
    <w:rsid w:val="0072283D"/>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563"/>
    <w:rsid w:val="00740B5A"/>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8D5"/>
    <w:rsid w:val="007469E9"/>
    <w:rsid w:val="00746F46"/>
    <w:rsid w:val="007471F8"/>
    <w:rsid w:val="00747516"/>
    <w:rsid w:val="0074755D"/>
    <w:rsid w:val="007476F0"/>
    <w:rsid w:val="00747949"/>
    <w:rsid w:val="00747BB2"/>
    <w:rsid w:val="00747D86"/>
    <w:rsid w:val="00747E51"/>
    <w:rsid w:val="00747E83"/>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8D"/>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2D0"/>
    <w:rsid w:val="007603D8"/>
    <w:rsid w:val="007604D5"/>
    <w:rsid w:val="007604FB"/>
    <w:rsid w:val="007606EE"/>
    <w:rsid w:val="00760711"/>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9C5"/>
    <w:rsid w:val="00763CB7"/>
    <w:rsid w:val="00763F2D"/>
    <w:rsid w:val="00764135"/>
    <w:rsid w:val="00764194"/>
    <w:rsid w:val="0076445A"/>
    <w:rsid w:val="0076446C"/>
    <w:rsid w:val="00764490"/>
    <w:rsid w:val="007646AC"/>
    <w:rsid w:val="00764A6D"/>
    <w:rsid w:val="00764C3D"/>
    <w:rsid w:val="007657D7"/>
    <w:rsid w:val="00765A1B"/>
    <w:rsid w:val="00765A2E"/>
    <w:rsid w:val="00765C5D"/>
    <w:rsid w:val="00765C6B"/>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2FCF"/>
    <w:rsid w:val="0077313D"/>
    <w:rsid w:val="007735A3"/>
    <w:rsid w:val="007735FD"/>
    <w:rsid w:val="0077367E"/>
    <w:rsid w:val="007736A6"/>
    <w:rsid w:val="00773830"/>
    <w:rsid w:val="007738D3"/>
    <w:rsid w:val="00773FF9"/>
    <w:rsid w:val="00774581"/>
    <w:rsid w:val="00774779"/>
    <w:rsid w:val="00774A0D"/>
    <w:rsid w:val="00774AAA"/>
    <w:rsid w:val="00774FCC"/>
    <w:rsid w:val="0077510C"/>
    <w:rsid w:val="00775284"/>
    <w:rsid w:val="00775886"/>
    <w:rsid w:val="00775934"/>
    <w:rsid w:val="00775974"/>
    <w:rsid w:val="00775CBC"/>
    <w:rsid w:val="00775F0A"/>
    <w:rsid w:val="00776257"/>
    <w:rsid w:val="007762E2"/>
    <w:rsid w:val="007767ED"/>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4F3"/>
    <w:rsid w:val="00783A1E"/>
    <w:rsid w:val="00783B53"/>
    <w:rsid w:val="00783F3D"/>
    <w:rsid w:val="00784389"/>
    <w:rsid w:val="0078476D"/>
    <w:rsid w:val="007847CD"/>
    <w:rsid w:val="00784840"/>
    <w:rsid w:val="00784969"/>
    <w:rsid w:val="00784C02"/>
    <w:rsid w:val="00784C1B"/>
    <w:rsid w:val="00784D76"/>
    <w:rsid w:val="00784E22"/>
    <w:rsid w:val="00784FC2"/>
    <w:rsid w:val="00785562"/>
    <w:rsid w:val="0078566C"/>
    <w:rsid w:val="00785A27"/>
    <w:rsid w:val="00785F6D"/>
    <w:rsid w:val="0078660B"/>
    <w:rsid w:val="00786A73"/>
    <w:rsid w:val="00786ACC"/>
    <w:rsid w:val="00786B12"/>
    <w:rsid w:val="00786CE9"/>
    <w:rsid w:val="00786D0E"/>
    <w:rsid w:val="00786D77"/>
    <w:rsid w:val="00787634"/>
    <w:rsid w:val="0078784E"/>
    <w:rsid w:val="00787999"/>
    <w:rsid w:val="0079035A"/>
    <w:rsid w:val="007906A1"/>
    <w:rsid w:val="007906F9"/>
    <w:rsid w:val="007907BA"/>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3DDE"/>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2"/>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C4D"/>
    <w:rsid w:val="007A6ED6"/>
    <w:rsid w:val="007A71D7"/>
    <w:rsid w:val="007A7600"/>
    <w:rsid w:val="007A7960"/>
    <w:rsid w:val="007A7C9D"/>
    <w:rsid w:val="007B0002"/>
    <w:rsid w:val="007B017D"/>
    <w:rsid w:val="007B01AF"/>
    <w:rsid w:val="007B075C"/>
    <w:rsid w:val="007B083D"/>
    <w:rsid w:val="007B09B4"/>
    <w:rsid w:val="007B09D1"/>
    <w:rsid w:val="007B1265"/>
    <w:rsid w:val="007B176B"/>
    <w:rsid w:val="007B1A21"/>
    <w:rsid w:val="007B1ACD"/>
    <w:rsid w:val="007B1DF1"/>
    <w:rsid w:val="007B21B1"/>
    <w:rsid w:val="007B234D"/>
    <w:rsid w:val="007B2840"/>
    <w:rsid w:val="007B28B4"/>
    <w:rsid w:val="007B2980"/>
    <w:rsid w:val="007B2E6D"/>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29D"/>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CD3"/>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E9"/>
    <w:rsid w:val="007D221D"/>
    <w:rsid w:val="007D269C"/>
    <w:rsid w:val="007D26D0"/>
    <w:rsid w:val="007D2B58"/>
    <w:rsid w:val="007D2B94"/>
    <w:rsid w:val="007D2CAF"/>
    <w:rsid w:val="007D31A0"/>
    <w:rsid w:val="007D34B9"/>
    <w:rsid w:val="007D35B2"/>
    <w:rsid w:val="007D3AEC"/>
    <w:rsid w:val="007D3FD8"/>
    <w:rsid w:val="007D4819"/>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DC8"/>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11"/>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A9"/>
    <w:rsid w:val="007F691E"/>
    <w:rsid w:val="007F6E0C"/>
    <w:rsid w:val="007F727C"/>
    <w:rsid w:val="007F73E2"/>
    <w:rsid w:val="007F748F"/>
    <w:rsid w:val="007F7624"/>
    <w:rsid w:val="007F76BB"/>
    <w:rsid w:val="007F7E2B"/>
    <w:rsid w:val="0080043A"/>
    <w:rsid w:val="00800555"/>
    <w:rsid w:val="008005CC"/>
    <w:rsid w:val="0080060F"/>
    <w:rsid w:val="00800797"/>
    <w:rsid w:val="00800C51"/>
    <w:rsid w:val="00800CA5"/>
    <w:rsid w:val="00800CAA"/>
    <w:rsid w:val="00800EED"/>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3CB3"/>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FB9"/>
    <w:rsid w:val="00806141"/>
    <w:rsid w:val="00806932"/>
    <w:rsid w:val="00806B10"/>
    <w:rsid w:val="00806BF8"/>
    <w:rsid w:val="00807252"/>
    <w:rsid w:val="008072C4"/>
    <w:rsid w:val="00807383"/>
    <w:rsid w:val="00807419"/>
    <w:rsid w:val="008076A5"/>
    <w:rsid w:val="008077B2"/>
    <w:rsid w:val="0080780B"/>
    <w:rsid w:val="008078B7"/>
    <w:rsid w:val="00807CE2"/>
    <w:rsid w:val="00807CE5"/>
    <w:rsid w:val="00810FCD"/>
    <w:rsid w:val="008111F2"/>
    <w:rsid w:val="0081147E"/>
    <w:rsid w:val="00812128"/>
    <w:rsid w:val="00812176"/>
    <w:rsid w:val="00812AF2"/>
    <w:rsid w:val="00812D5C"/>
    <w:rsid w:val="00812E06"/>
    <w:rsid w:val="00813274"/>
    <w:rsid w:val="00813288"/>
    <w:rsid w:val="00813315"/>
    <w:rsid w:val="008133B2"/>
    <w:rsid w:val="008136B2"/>
    <w:rsid w:val="00813804"/>
    <w:rsid w:val="00813855"/>
    <w:rsid w:val="00813888"/>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789"/>
    <w:rsid w:val="008268C4"/>
    <w:rsid w:val="008268CA"/>
    <w:rsid w:val="00826994"/>
    <w:rsid w:val="008269A8"/>
    <w:rsid w:val="00826EB4"/>
    <w:rsid w:val="008270CD"/>
    <w:rsid w:val="008273FF"/>
    <w:rsid w:val="0082748B"/>
    <w:rsid w:val="008274AD"/>
    <w:rsid w:val="008275F5"/>
    <w:rsid w:val="008276E7"/>
    <w:rsid w:val="00827733"/>
    <w:rsid w:val="00827924"/>
    <w:rsid w:val="00827ACF"/>
    <w:rsid w:val="00827F8D"/>
    <w:rsid w:val="00830030"/>
    <w:rsid w:val="008300C9"/>
    <w:rsid w:val="00830447"/>
    <w:rsid w:val="008306D8"/>
    <w:rsid w:val="00830711"/>
    <w:rsid w:val="00830920"/>
    <w:rsid w:val="00830AC8"/>
    <w:rsid w:val="00830C27"/>
    <w:rsid w:val="008313BB"/>
    <w:rsid w:val="008318E8"/>
    <w:rsid w:val="00831943"/>
    <w:rsid w:val="00831B63"/>
    <w:rsid w:val="00831BD2"/>
    <w:rsid w:val="00831E69"/>
    <w:rsid w:val="00831EFF"/>
    <w:rsid w:val="00831F1E"/>
    <w:rsid w:val="0083219B"/>
    <w:rsid w:val="0083247A"/>
    <w:rsid w:val="00832DA5"/>
    <w:rsid w:val="00832EB0"/>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BB1"/>
    <w:rsid w:val="00836E03"/>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48B"/>
    <w:rsid w:val="00843591"/>
    <w:rsid w:val="00843761"/>
    <w:rsid w:val="008438B6"/>
    <w:rsid w:val="00843AA6"/>
    <w:rsid w:val="00843E2B"/>
    <w:rsid w:val="00843FFE"/>
    <w:rsid w:val="0084406B"/>
    <w:rsid w:val="008443BA"/>
    <w:rsid w:val="0084458D"/>
    <w:rsid w:val="00844606"/>
    <w:rsid w:val="008446F6"/>
    <w:rsid w:val="00844AA5"/>
    <w:rsid w:val="00844B86"/>
    <w:rsid w:val="008458D1"/>
    <w:rsid w:val="00845939"/>
    <w:rsid w:val="00845AEA"/>
    <w:rsid w:val="00845C2E"/>
    <w:rsid w:val="00845D3D"/>
    <w:rsid w:val="00846069"/>
    <w:rsid w:val="008460AE"/>
    <w:rsid w:val="008462C7"/>
    <w:rsid w:val="0084644F"/>
    <w:rsid w:val="008464D2"/>
    <w:rsid w:val="008465E1"/>
    <w:rsid w:val="008465E6"/>
    <w:rsid w:val="00846905"/>
    <w:rsid w:val="00846A7E"/>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BC0"/>
    <w:rsid w:val="00853D05"/>
    <w:rsid w:val="00853D12"/>
    <w:rsid w:val="00853F0F"/>
    <w:rsid w:val="00853F97"/>
    <w:rsid w:val="008540EB"/>
    <w:rsid w:val="0085431B"/>
    <w:rsid w:val="0085444A"/>
    <w:rsid w:val="008544B5"/>
    <w:rsid w:val="00854566"/>
    <w:rsid w:val="00854AC2"/>
    <w:rsid w:val="00854BC0"/>
    <w:rsid w:val="00854C05"/>
    <w:rsid w:val="008558EF"/>
    <w:rsid w:val="008559A4"/>
    <w:rsid w:val="008559FD"/>
    <w:rsid w:val="00855C66"/>
    <w:rsid w:val="00855D46"/>
    <w:rsid w:val="008560CE"/>
    <w:rsid w:val="008561F9"/>
    <w:rsid w:val="00856992"/>
    <w:rsid w:val="00856A09"/>
    <w:rsid w:val="00856AA3"/>
    <w:rsid w:val="008573A4"/>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2F25"/>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B94"/>
    <w:rsid w:val="00866CEC"/>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C99"/>
    <w:rsid w:val="00871095"/>
    <w:rsid w:val="008714E6"/>
    <w:rsid w:val="0087151E"/>
    <w:rsid w:val="00871A16"/>
    <w:rsid w:val="00871A9E"/>
    <w:rsid w:val="00871AF3"/>
    <w:rsid w:val="00871B95"/>
    <w:rsid w:val="00872461"/>
    <w:rsid w:val="008724E3"/>
    <w:rsid w:val="0087271B"/>
    <w:rsid w:val="00872B28"/>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4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2CA"/>
    <w:rsid w:val="00880355"/>
    <w:rsid w:val="0088051A"/>
    <w:rsid w:val="008807B4"/>
    <w:rsid w:val="00880834"/>
    <w:rsid w:val="00880CBB"/>
    <w:rsid w:val="00880FD7"/>
    <w:rsid w:val="0088127C"/>
    <w:rsid w:val="0088159C"/>
    <w:rsid w:val="00881887"/>
    <w:rsid w:val="008818E4"/>
    <w:rsid w:val="008819B2"/>
    <w:rsid w:val="00881D73"/>
    <w:rsid w:val="00881FA5"/>
    <w:rsid w:val="008822D5"/>
    <w:rsid w:val="00882364"/>
    <w:rsid w:val="008823A3"/>
    <w:rsid w:val="008824F9"/>
    <w:rsid w:val="008826DC"/>
    <w:rsid w:val="0088279F"/>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148F"/>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A0E"/>
    <w:rsid w:val="00897ED1"/>
    <w:rsid w:val="00897F20"/>
    <w:rsid w:val="008A0301"/>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3EEC"/>
    <w:rsid w:val="008A401D"/>
    <w:rsid w:val="008A4256"/>
    <w:rsid w:val="008A451C"/>
    <w:rsid w:val="008A47DC"/>
    <w:rsid w:val="008A4824"/>
    <w:rsid w:val="008A49B1"/>
    <w:rsid w:val="008A4F1E"/>
    <w:rsid w:val="008A5029"/>
    <w:rsid w:val="008A529E"/>
    <w:rsid w:val="008A56DC"/>
    <w:rsid w:val="008A5771"/>
    <w:rsid w:val="008A5E33"/>
    <w:rsid w:val="008A5ED4"/>
    <w:rsid w:val="008A63B0"/>
    <w:rsid w:val="008A65AB"/>
    <w:rsid w:val="008A6623"/>
    <w:rsid w:val="008A663D"/>
    <w:rsid w:val="008A680F"/>
    <w:rsid w:val="008A6A40"/>
    <w:rsid w:val="008A728F"/>
    <w:rsid w:val="008A73C1"/>
    <w:rsid w:val="008A74D2"/>
    <w:rsid w:val="008A76A5"/>
    <w:rsid w:val="008A7B4B"/>
    <w:rsid w:val="008B007B"/>
    <w:rsid w:val="008B045E"/>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B41"/>
    <w:rsid w:val="008B2FAB"/>
    <w:rsid w:val="008B31D5"/>
    <w:rsid w:val="008B3498"/>
    <w:rsid w:val="008B3A18"/>
    <w:rsid w:val="008B3A4A"/>
    <w:rsid w:val="008B3D66"/>
    <w:rsid w:val="008B411F"/>
    <w:rsid w:val="008B4175"/>
    <w:rsid w:val="008B4397"/>
    <w:rsid w:val="008B444E"/>
    <w:rsid w:val="008B44D0"/>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55"/>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38C"/>
    <w:rsid w:val="008D052F"/>
    <w:rsid w:val="008D06AC"/>
    <w:rsid w:val="008D06CF"/>
    <w:rsid w:val="008D0782"/>
    <w:rsid w:val="008D0833"/>
    <w:rsid w:val="008D0D2A"/>
    <w:rsid w:val="008D0DAA"/>
    <w:rsid w:val="008D115B"/>
    <w:rsid w:val="008D122C"/>
    <w:rsid w:val="008D12B7"/>
    <w:rsid w:val="008D1351"/>
    <w:rsid w:val="008D1B09"/>
    <w:rsid w:val="008D1B67"/>
    <w:rsid w:val="008D1DA5"/>
    <w:rsid w:val="008D204F"/>
    <w:rsid w:val="008D20E2"/>
    <w:rsid w:val="008D2521"/>
    <w:rsid w:val="008D2C41"/>
    <w:rsid w:val="008D3301"/>
    <w:rsid w:val="008D3347"/>
    <w:rsid w:val="008D394B"/>
    <w:rsid w:val="008D3AC8"/>
    <w:rsid w:val="008D48E9"/>
    <w:rsid w:val="008D4E81"/>
    <w:rsid w:val="008D4F44"/>
    <w:rsid w:val="008D5053"/>
    <w:rsid w:val="008D51EC"/>
    <w:rsid w:val="008D5326"/>
    <w:rsid w:val="008D53DC"/>
    <w:rsid w:val="008D5517"/>
    <w:rsid w:val="008D5530"/>
    <w:rsid w:val="008D582A"/>
    <w:rsid w:val="008D5960"/>
    <w:rsid w:val="008D5A82"/>
    <w:rsid w:val="008D5C2B"/>
    <w:rsid w:val="008D6108"/>
    <w:rsid w:val="008D6132"/>
    <w:rsid w:val="008D6163"/>
    <w:rsid w:val="008D64F3"/>
    <w:rsid w:val="008D6627"/>
    <w:rsid w:val="008D684F"/>
    <w:rsid w:val="008D6B42"/>
    <w:rsid w:val="008D6B6B"/>
    <w:rsid w:val="008D6C57"/>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0D2"/>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8F7"/>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3B9"/>
    <w:rsid w:val="009234A1"/>
    <w:rsid w:val="00923881"/>
    <w:rsid w:val="00923A7F"/>
    <w:rsid w:val="00923B39"/>
    <w:rsid w:val="00923CAC"/>
    <w:rsid w:val="00923D1C"/>
    <w:rsid w:val="00924208"/>
    <w:rsid w:val="009246EF"/>
    <w:rsid w:val="00924761"/>
    <w:rsid w:val="0092498B"/>
    <w:rsid w:val="009249A3"/>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6A6"/>
    <w:rsid w:val="009337AC"/>
    <w:rsid w:val="00933813"/>
    <w:rsid w:val="0093393A"/>
    <w:rsid w:val="009339B7"/>
    <w:rsid w:val="00933BCC"/>
    <w:rsid w:val="00933D05"/>
    <w:rsid w:val="00933E0F"/>
    <w:rsid w:val="009342D9"/>
    <w:rsid w:val="009342F2"/>
    <w:rsid w:val="00934309"/>
    <w:rsid w:val="0093463D"/>
    <w:rsid w:val="00934709"/>
    <w:rsid w:val="00934800"/>
    <w:rsid w:val="0093481E"/>
    <w:rsid w:val="0093485C"/>
    <w:rsid w:val="00934C2A"/>
    <w:rsid w:val="00934E49"/>
    <w:rsid w:val="00934F9A"/>
    <w:rsid w:val="009353B9"/>
    <w:rsid w:val="00935410"/>
    <w:rsid w:val="009355EC"/>
    <w:rsid w:val="009355F5"/>
    <w:rsid w:val="00935B2B"/>
    <w:rsid w:val="00935B74"/>
    <w:rsid w:val="00935F85"/>
    <w:rsid w:val="00936658"/>
    <w:rsid w:val="00936B0F"/>
    <w:rsid w:val="00936CCE"/>
    <w:rsid w:val="00936CF4"/>
    <w:rsid w:val="00936D6F"/>
    <w:rsid w:val="00936E80"/>
    <w:rsid w:val="009370A1"/>
    <w:rsid w:val="00937175"/>
    <w:rsid w:val="00937760"/>
    <w:rsid w:val="009377E4"/>
    <w:rsid w:val="00937BB5"/>
    <w:rsid w:val="0094008E"/>
    <w:rsid w:val="00940266"/>
    <w:rsid w:val="00940537"/>
    <w:rsid w:val="009406DE"/>
    <w:rsid w:val="009407CC"/>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630"/>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AD"/>
    <w:rsid w:val="009519DA"/>
    <w:rsid w:val="00951B64"/>
    <w:rsid w:val="00951CE5"/>
    <w:rsid w:val="00952202"/>
    <w:rsid w:val="009525CB"/>
    <w:rsid w:val="009529F3"/>
    <w:rsid w:val="00952A1B"/>
    <w:rsid w:val="00952E5F"/>
    <w:rsid w:val="00952F3A"/>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80"/>
    <w:rsid w:val="00955DDE"/>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AE"/>
    <w:rsid w:val="00960FEE"/>
    <w:rsid w:val="009616EC"/>
    <w:rsid w:val="0096174B"/>
    <w:rsid w:val="00961909"/>
    <w:rsid w:val="00961B9A"/>
    <w:rsid w:val="00961D17"/>
    <w:rsid w:val="00961EA3"/>
    <w:rsid w:val="00961F76"/>
    <w:rsid w:val="00961FCD"/>
    <w:rsid w:val="0096203B"/>
    <w:rsid w:val="0096203D"/>
    <w:rsid w:val="00962117"/>
    <w:rsid w:val="0096215D"/>
    <w:rsid w:val="009621C5"/>
    <w:rsid w:val="00962243"/>
    <w:rsid w:val="00962362"/>
    <w:rsid w:val="00962A49"/>
    <w:rsid w:val="00962AF0"/>
    <w:rsid w:val="00962CC0"/>
    <w:rsid w:val="00962DA1"/>
    <w:rsid w:val="00962F80"/>
    <w:rsid w:val="00963025"/>
    <w:rsid w:val="00963187"/>
    <w:rsid w:val="009635A6"/>
    <w:rsid w:val="00963885"/>
    <w:rsid w:val="00963AC8"/>
    <w:rsid w:val="00963EC6"/>
    <w:rsid w:val="0096417C"/>
    <w:rsid w:val="009645D2"/>
    <w:rsid w:val="00964834"/>
    <w:rsid w:val="00964B8B"/>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10D"/>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77F87"/>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07"/>
    <w:rsid w:val="00990BE4"/>
    <w:rsid w:val="00990C54"/>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C"/>
    <w:rsid w:val="00993CC2"/>
    <w:rsid w:val="00993DF8"/>
    <w:rsid w:val="0099414F"/>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5"/>
    <w:rsid w:val="0099745B"/>
    <w:rsid w:val="0099757A"/>
    <w:rsid w:val="0099773F"/>
    <w:rsid w:val="00997B41"/>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CEC"/>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2CB"/>
    <w:rsid w:val="009B53BD"/>
    <w:rsid w:val="009B57EC"/>
    <w:rsid w:val="009B5BA4"/>
    <w:rsid w:val="009B5E8D"/>
    <w:rsid w:val="009B5F42"/>
    <w:rsid w:val="009B5FC2"/>
    <w:rsid w:val="009B61B8"/>
    <w:rsid w:val="009B6596"/>
    <w:rsid w:val="009B65AD"/>
    <w:rsid w:val="009B6752"/>
    <w:rsid w:val="009B6B3D"/>
    <w:rsid w:val="009B6DA1"/>
    <w:rsid w:val="009B6F81"/>
    <w:rsid w:val="009B7003"/>
    <w:rsid w:val="009B730E"/>
    <w:rsid w:val="009B782C"/>
    <w:rsid w:val="009B7E72"/>
    <w:rsid w:val="009B7EC9"/>
    <w:rsid w:val="009C056C"/>
    <w:rsid w:val="009C0732"/>
    <w:rsid w:val="009C0A90"/>
    <w:rsid w:val="009C0BE8"/>
    <w:rsid w:val="009C0FB4"/>
    <w:rsid w:val="009C11F9"/>
    <w:rsid w:val="009C1250"/>
    <w:rsid w:val="009C1251"/>
    <w:rsid w:val="009C1551"/>
    <w:rsid w:val="009C1694"/>
    <w:rsid w:val="009C181E"/>
    <w:rsid w:val="009C18C4"/>
    <w:rsid w:val="009C1A28"/>
    <w:rsid w:val="009C1CDC"/>
    <w:rsid w:val="009C1D89"/>
    <w:rsid w:val="009C1E4E"/>
    <w:rsid w:val="009C20FD"/>
    <w:rsid w:val="009C22B2"/>
    <w:rsid w:val="009C22E7"/>
    <w:rsid w:val="009C235B"/>
    <w:rsid w:val="009C28FD"/>
    <w:rsid w:val="009C2E33"/>
    <w:rsid w:val="009C2F12"/>
    <w:rsid w:val="009C3222"/>
    <w:rsid w:val="009C33D9"/>
    <w:rsid w:val="009C34D0"/>
    <w:rsid w:val="009C3526"/>
    <w:rsid w:val="009C3623"/>
    <w:rsid w:val="009C3A20"/>
    <w:rsid w:val="009C3CD6"/>
    <w:rsid w:val="009C3E2F"/>
    <w:rsid w:val="009C3E4E"/>
    <w:rsid w:val="009C3E87"/>
    <w:rsid w:val="009C40AA"/>
    <w:rsid w:val="009C40EF"/>
    <w:rsid w:val="009C46AC"/>
    <w:rsid w:val="009C4B49"/>
    <w:rsid w:val="009C4BBB"/>
    <w:rsid w:val="009C4C6C"/>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3EC"/>
    <w:rsid w:val="009C7770"/>
    <w:rsid w:val="009C7C5D"/>
    <w:rsid w:val="009C7D03"/>
    <w:rsid w:val="009D011E"/>
    <w:rsid w:val="009D0161"/>
    <w:rsid w:val="009D019B"/>
    <w:rsid w:val="009D05BF"/>
    <w:rsid w:val="009D08F6"/>
    <w:rsid w:val="009D09B5"/>
    <w:rsid w:val="009D0DF0"/>
    <w:rsid w:val="009D15AE"/>
    <w:rsid w:val="009D17EA"/>
    <w:rsid w:val="009D17FA"/>
    <w:rsid w:val="009D18AC"/>
    <w:rsid w:val="009D1A01"/>
    <w:rsid w:val="009D1A1E"/>
    <w:rsid w:val="009D1F0C"/>
    <w:rsid w:val="009D1F29"/>
    <w:rsid w:val="009D203F"/>
    <w:rsid w:val="009D268F"/>
    <w:rsid w:val="009D2740"/>
    <w:rsid w:val="009D2B9C"/>
    <w:rsid w:val="009D2BD0"/>
    <w:rsid w:val="009D2DE3"/>
    <w:rsid w:val="009D3164"/>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37"/>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BAE"/>
    <w:rsid w:val="009E2D74"/>
    <w:rsid w:val="009E2FE1"/>
    <w:rsid w:val="009E2FF2"/>
    <w:rsid w:val="009E3297"/>
    <w:rsid w:val="009E3E52"/>
    <w:rsid w:val="009E3EB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A"/>
    <w:rsid w:val="009E5DCF"/>
    <w:rsid w:val="009E5F36"/>
    <w:rsid w:val="009E5F3B"/>
    <w:rsid w:val="009E610E"/>
    <w:rsid w:val="009E634F"/>
    <w:rsid w:val="009E6426"/>
    <w:rsid w:val="009E6B48"/>
    <w:rsid w:val="009E6BAF"/>
    <w:rsid w:val="009E6CD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B2F"/>
    <w:rsid w:val="009F2E5F"/>
    <w:rsid w:val="009F2F2C"/>
    <w:rsid w:val="009F3077"/>
    <w:rsid w:val="009F30A9"/>
    <w:rsid w:val="009F3581"/>
    <w:rsid w:val="009F3A71"/>
    <w:rsid w:val="009F3DD0"/>
    <w:rsid w:val="009F3DE5"/>
    <w:rsid w:val="009F3FB2"/>
    <w:rsid w:val="009F400A"/>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5E73"/>
    <w:rsid w:val="009F6177"/>
    <w:rsid w:val="009F662B"/>
    <w:rsid w:val="009F68E2"/>
    <w:rsid w:val="009F6B62"/>
    <w:rsid w:val="009F6DF6"/>
    <w:rsid w:val="009F6E3A"/>
    <w:rsid w:val="009F72B0"/>
    <w:rsid w:val="009F7403"/>
    <w:rsid w:val="009F741C"/>
    <w:rsid w:val="009F7500"/>
    <w:rsid w:val="009F758F"/>
    <w:rsid w:val="009F7626"/>
    <w:rsid w:val="009F768E"/>
    <w:rsid w:val="009F76E7"/>
    <w:rsid w:val="009F76F9"/>
    <w:rsid w:val="009F7A94"/>
    <w:rsid w:val="009F7D59"/>
    <w:rsid w:val="009F7D5D"/>
    <w:rsid w:val="00A0080B"/>
    <w:rsid w:val="00A010DC"/>
    <w:rsid w:val="00A012C7"/>
    <w:rsid w:val="00A01677"/>
    <w:rsid w:val="00A0180F"/>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598"/>
    <w:rsid w:val="00A06D7F"/>
    <w:rsid w:val="00A073CF"/>
    <w:rsid w:val="00A0752A"/>
    <w:rsid w:val="00A078F4"/>
    <w:rsid w:val="00A07980"/>
    <w:rsid w:val="00A07D10"/>
    <w:rsid w:val="00A0CE68"/>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C50"/>
    <w:rsid w:val="00A15CF5"/>
    <w:rsid w:val="00A15F89"/>
    <w:rsid w:val="00A1649C"/>
    <w:rsid w:val="00A1660F"/>
    <w:rsid w:val="00A16616"/>
    <w:rsid w:val="00A16B1D"/>
    <w:rsid w:val="00A16C9D"/>
    <w:rsid w:val="00A16EBB"/>
    <w:rsid w:val="00A1735A"/>
    <w:rsid w:val="00A174E3"/>
    <w:rsid w:val="00A1785B"/>
    <w:rsid w:val="00A178CF"/>
    <w:rsid w:val="00A17926"/>
    <w:rsid w:val="00A17D9B"/>
    <w:rsid w:val="00A17DAE"/>
    <w:rsid w:val="00A203C1"/>
    <w:rsid w:val="00A203E2"/>
    <w:rsid w:val="00A20603"/>
    <w:rsid w:val="00A20A4E"/>
    <w:rsid w:val="00A20C1B"/>
    <w:rsid w:val="00A21277"/>
    <w:rsid w:val="00A212EF"/>
    <w:rsid w:val="00A21569"/>
    <w:rsid w:val="00A217EC"/>
    <w:rsid w:val="00A21900"/>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375"/>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A8E"/>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8A"/>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5E9B"/>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C6B"/>
    <w:rsid w:val="00A75E8D"/>
    <w:rsid w:val="00A75F81"/>
    <w:rsid w:val="00A762AA"/>
    <w:rsid w:val="00A7649D"/>
    <w:rsid w:val="00A766FF"/>
    <w:rsid w:val="00A76B4A"/>
    <w:rsid w:val="00A76E00"/>
    <w:rsid w:val="00A76EE9"/>
    <w:rsid w:val="00A7700E"/>
    <w:rsid w:val="00A77131"/>
    <w:rsid w:val="00A77375"/>
    <w:rsid w:val="00A7746B"/>
    <w:rsid w:val="00A77620"/>
    <w:rsid w:val="00A77845"/>
    <w:rsid w:val="00A77B53"/>
    <w:rsid w:val="00A77C7B"/>
    <w:rsid w:val="00A77D15"/>
    <w:rsid w:val="00A77D45"/>
    <w:rsid w:val="00A77E99"/>
    <w:rsid w:val="00A8050B"/>
    <w:rsid w:val="00A80624"/>
    <w:rsid w:val="00A8094A"/>
    <w:rsid w:val="00A809A5"/>
    <w:rsid w:val="00A80A31"/>
    <w:rsid w:val="00A80C47"/>
    <w:rsid w:val="00A80FCE"/>
    <w:rsid w:val="00A81089"/>
    <w:rsid w:val="00A8111C"/>
    <w:rsid w:val="00A813B1"/>
    <w:rsid w:val="00A81D11"/>
    <w:rsid w:val="00A81EFB"/>
    <w:rsid w:val="00A8210E"/>
    <w:rsid w:val="00A8212E"/>
    <w:rsid w:val="00A8236D"/>
    <w:rsid w:val="00A823E1"/>
    <w:rsid w:val="00A824B4"/>
    <w:rsid w:val="00A82730"/>
    <w:rsid w:val="00A82770"/>
    <w:rsid w:val="00A82D76"/>
    <w:rsid w:val="00A82E0C"/>
    <w:rsid w:val="00A831ED"/>
    <w:rsid w:val="00A83369"/>
    <w:rsid w:val="00A83525"/>
    <w:rsid w:val="00A836CD"/>
    <w:rsid w:val="00A83851"/>
    <w:rsid w:val="00A83A28"/>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2C5"/>
    <w:rsid w:val="00A86418"/>
    <w:rsid w:val="00A86617"/>
    <w:rsid w:val="00A86E24"/>
    <w:rsid w:val="00A86F95"/>
    <w:rsid w:val="00A870D1"/>
    <w:rsid w:val="00A87180"/>
    <w:rsid w:val="00A87261"/>
    <w:rsid w:val="00A87648"/>
    <w:rsid w:val="00A878D1"/>
    <w:rsid w:val="00A87CC9"/>
    <w:rsid w:val="00A90272"/>
    <w:rsid w:val="00A90657"/>
    <w:rsid w:val="00A906FA"/>
    <w:rsid w:val="00A90944"/>
    <w:rsid w:val="00A90A7F"/>
    <w:rsid w:val="00A90AAD"/>
    <w:rsid w:val="00A90B82"/>
    <w:rsid w:val="00A91051"/>
    <w:rsid w:val="00A91215"/>
    <w:rsid w:val="00A9132A"/>
    <w:rsid w:val="00A9134F"/>
    <w:rsid w:val="00A91BCE"/>
    <w:rsid w:val="00A91E60"/>
    <w:rsid w:val="00A91FEF"/>
    <w:rsid w:val="00A9216C"/>
    <w:rsid w:val="00A92480"/>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69"/>
    <w:rsid w:val="00A95EAD"/>
    <w:rsid w:val="00A96099"/>
    <w:rsid w:val="00A9622F"/>
    <w:rsid w:val="00A96293"/>
    <w:rsid w:val="00A965D6"/>
    <w:rsid w:val="00A9692E"/>
    <w:rsid w:val="00A969CA"/>
    <w:rsid w:val="00A96AAF"/>
    <w:rsid w:val="00A96EB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81B"/>
    <w:rsid w:val="00AA1907"/>
    <w:rsid w:val="00AA1B55"/>
    <w:rsid w:val="00AA2221"/>
    <w:rsid w:val="00AA2801"/>
    <w:rsid w:val="00AA29BD"/>
    <w:rsid w:val="00AA2BE2"/>
    <w:rsid w:val="00AA32B9"/>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0A0"/>
    <w:rsid w:val="00AB1196"/>
    <w:rsid w:val="00AB11AB"/>
    <w:rsid w:val="00AB14CC"/>
    <w:rsid w:val="00AB1738"/>
    <w:rsid w:val="00AB173C"/>
    <w:rsid w:val="00AB1950"/>
    <w:rsid w:val="00AB1AD7"/>
    <w:rsid w:val="00AB1D8F"/>
    <w:rsid w:val="00AB1DC2"/>
    <w:rsid w:val="00AB1EF6"/>
    <w:rsid w:val="00AB21AE"/>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6A2"/>
    <w:rsid w:val="00AB58D2"/>
    <w:rsid w:val="00AB5B7E"/>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62F"/>
    <w:rsid w:val="00AC0AB1"/>
    <w:rsid w:val="00AC1217"/>
    <w:rsid w:val="00AC1346"/>
    <w:rsid w:val="00AC18D9"/>
    <w:rsid w:val="00AC1E14"/>
    <w:rsid w:val="00AC2487"/>
    <w:rsid w:val="00AC27FF"/>
    <w:rsid w:val="00AC2A2F"/>
    <w:rsid w:val="00AC2C04"/>
    <w:rsid w:val="00AC2C70"/>
    <w:rsid w:val="00AC31EC"/>
    <w:rsid w:val="00AC31FD"/>
    <w:rsid w:val="00AC3293"/>
    <w:rsid w:val="00AC3624"/>
    <w:rsid w:val="00AC39FE"/>
    <w:rsid w:val="00AC3B0B"/>
    <w:rsid w:val="00AC3B27"/>
    <w:rsid w:val="00AC3B64"/>
    <w:rsid w:val="00AC410C"/>
    <w:rsid w:val="00AC429F"/>
    <w:rsid w:val="00AC4321"/>
    <w:rsid w:val="00AC4557"/>
    <w:rsid w:val="00AC49CF"/>
    <w:rsid w:val="00AC4AF6"/>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A0"/>
    <w:rsid w:val="00AC7A16"/>
    <w:rsid w:val="00AC7B50"/>
    <w:rsid w:val="00AC7C5A"/>
    <w:rsid w:val="00AC7E54"/>
    <w:rsid w:val="00AD0009"/>
    <w:rsid w:val="00AD012E"/>
    <w:rsid w:val="00AD069D"/>
    <w:rsid w:val="00AD081B"/>
    <w:rsid w:val="00AD084B"/>
    <w:rsid w:val="00AD0A55"/>
    <w:rsid w:val="00AD101C"/>
    <w:rsid w:val="00AD1295"/>
    <w:rsid w:val="00AD14C1"/>
    <w:rsid w:val="00AD16FC"/>
    <w:rsid w:val="00AD1A5C"/>
    <w:rsid w:val="00AD1A5D"/>
    <w:rsid w:val="00AD1C9D"/>
    <w:rsid w:val="00AD1E58"/>
    <w:rsid w:val="00AD1F54"/>
    <w:rsid w:val="00AD2058"/>
    <w:rsid w:val="00AD2113"/>
    <w:rsid w:val="00AD212F"/>
    <w:rsid w:val="00AD22EF"/>
    <w:rsid w:val="00AD2599"/>
    <w:rsid w:val="00AD2DAC"/>
    <w:rsid w:val="00AD2E1C"/>
    <w:rsid w:val="00AD2E79"/>
    <w:rsid w:val="00AD2EC5"/>
    <w:rsid w:val="00AD323C"/>
    <w:rsid w:val="00AD36E0"/>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A7C"/>
    <w:rsid w:val="00AD7B8E"/>
    <w:rsid w:val="00AE00E2"/>
    <w:rsid w:val="00AE01CF"/>
    <w:rsid w:val="00AE01E4"/>
    <w:rsid w:val="00AE0677"/>
    <w:rsid w:val="00AE0A3A"/>
    <w:rsid w:val="00AE0C87"/>
    <w:rsid w:val="00AE0DCC"/>
    <w:rsid w:val="00AE1315"/>
    <w:rsid w:val="00AE1842"/>
    <w:rsid w:val="00AE1C39"/>
    <w:rsid w:val="00AE2025"/>
    <w:rsid w:val="00AE23C1"/>
    <w:rsid w:val="00AE2421"/>
    <w:rsid w:val="00AE26DD"/>
    <w:rsid w:val="00AE2A19"/>
    <w:rsid w:val="00AE2E4E"/>
    <w:rsid w:val="00AE2EA0"/>
    <w:rsid w:val="00AE368F"/>
    <w:rsid w:val="00AE386E"/>
    <w:rsid w:val="00AE41B1"/>
    <w:rsid w:val="00AE41EB"/>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33"/>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27"/>
    <w:rsid w:val="00AF5337"/>
    <w:rsid w:val="00AF540E"/>
    <w:rsid w:val="00AF57F7"/>
    <w:rsid w:val="00AF5C5D"/>
    <w:rsid w:val="00AF64B6"/>
    <w:rsid w:val="00AF64C5"/>
    <w:rsid w:val="00AF6595"/>
    <w:rsid w:val="00AF659E"/>
    <w:rsid w:val="00AF6681"/>
    <w:rsid w:val="00AF66A9"/>
    <w:rsid w:val="00AF67DD"/>
    <w:rsid w:val="00AF692A"/>
    <w:rsid w:val="00AF6CF2"/>
    <w:rsid w:val="00AF744E"/>
    <w:rsid w:val="00AF74C2"/>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1FAD"/>
    <w:rsid w:val="00B023FD"/>
    <w:rsid w:val="00B0249F"/>
    <w:rsid w:val="00B02584"/>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4EA7"/>
    <w:rsid w:val="00B0510E"/>
    <w:rsid w:val="00B05139"/>
    <w:rsid w:val="00B052F6"/>
    <w:rsid w:val="00B05423"/>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7A9"/>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1DF"/>
    <w:rsid w:val="00B15302"/>
    <w:rsid w:val="00B1535C"/>
    <w:rsid w:val="00B1536C"/>
    <w:rsid w:val="00B15397"/>
    <w:rsid w:val="00B15581"/>
    <w:rsid w:val="00B155AE"/>
    <w:rsid w:val="00B15A59"/>
    <w:rsid w:val="00B161E9"/>
    <w:rsid w:val="00B16354"/>
    <w:rsid w:val="00B164F0"/>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667"/>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1AA"/>
    <w:rsid w:val="00B261DE"/>
    <w:rsid w:val="00B2621B"/>
    <w:rsid w:val="00B2623A"/>
    <w:rsid w:val="00B263D0"/>
    <w:rsid w:val="00B266A0"/>
    <w:rsid w:val="00B266C8"/>
    <w:rsid w:val="00B26A1F"/>
    <w:rsid w:val="00B26A5D"/>
    <w:rsid w:val="00B26B55"/>
    <w:rsid w:val="00B26F77"/>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025"/>
    <w:rsid w:val="00B352C0"/>
    <w:rsid w:val="00B3533D"/>
    <w:rsid w:val="00B35523"/>
    <w:rsid w:val="00B35BF4"/>
    <w:rsid w:val="00B35E70"/>
    <w:rsid w:val="00B3614B"/>
    <w:rsid w:val="00B36749"/>
    <w:rsid w:val="00B36803"/>
    <w:rsid w:val="00B36921"/>
    <w:rsid w:val="00B36DE3"/>
    <w:rsid w:val="00B37757"/>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E4F"/>
    <w:rsid w:val="00B47F0C"/>
    <w:rsid w:val="00B50331"/>
    <w:rsid w:val="00B50334"/>
    <w:rsid w:val="00B50C5A"/>
    <w:rsid w:val="00B50D1D"/>
    <w:rsid w:val="00B50DBD"/>
    <w:rsid w:val="00B50EB7"/>
    <w:rsid w:val="00B50EBE"/>
    <w:rsid w:val="00B5135D"/>
    <w:rsid w:val="00B5160C"/>
    <w:rsid w:val="00B51A16"/>
    <w:rsid w:val="00B51BFA"/>
    <w:rsid w:val="00B51DAE"/>
    <w:rsid w:val="00B51E10"/>
    <w:rsid w:val="00B51E46"/>
    <w:rsid w:val="00B51EB4"/>
    <w:rsid w:val="00B52323"/>
    <w:rsid w:val="00B5274E"/>
    <w:rsid w:val="00B52B71"/>
    <w:rsid w:val="00B52B80"/>
    <w:rsid w:val="00B52CCA"/>
    <w:rsid w:val="00B52D3E"/>
    <w:rsid w:val="00B52DCB"/>
    <w:rsid w:val="00B52E0E"/>
    <w:rsid w:val="00B530DC"/>
    <w:rsid w:val="00B5313E"/>
    <w:rsid w:val="00B53267"/>
    <w:rsid w:val="00B53387"/>
    <w:rsid w:val="00B534F0"/>
    <w:rsid w:val="00B539CE"/>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1AA"/>
    <w:rsid w:val="00B6050E"/>
    <w:rsid w:val="00B60670"/>
    <w:rsid w:val="00B60689"/>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E1"/>
    <w:rsid w:val="00B6392E"/>
    <w:rsid w:val="00B63BA9"/>
    <w:rsid w:val="00B63C03"/>
    <w:rsid w:val="00B64103"/>
    <w:rsid w:val="00B641A2"/>
    <w:rsid w:val="00B6429C"/>
    <w:rsid w:val="00B64AB2"/>
    <w:rsid w:val="00B64C9D"/>
    <w:rsid w:val="00B651B0"/>
    <w:rsid w:val="00B651FC"/>
    <w:rsid w:val="00B65207"/>
    <w:rsid w:val="00B6522F"/>
    <w:rsid w:val="00B65343"/>
    <w:rsid w:val="00B654FC"/>
    <w:rsid w:val="00B65BE6"/>
    <w:rsid w:val="00B65C8F"/>
    <w:rsid w:val="00B65EDD"/>
    <w:rsid w:val="00B65FEF"/>
    <w:rsid w:val="00B6648B"/>
    <w:rsid w:val="00B665B6"/>
    <w:rsid w:val="00B66615"/>
    <w:rsid w:val="00B667B3"/>
    <w:rsid w:val="00B66C3D"/>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965"/>
    <w:rsid w:val="00B72A38"/>
    <w:rsid w:val="00B72A3E"/>
    <w:rsid w:val="00B72DF7"/>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E18"/>
    <w:rsid w:val="00B76067"/>
    <w:rsid w:val="00B76260"/>
    <w:rsid w:val="00B76399"/>
    <w:rsid w:val="00B76706"/>
    <w:rsid w:val="00B76E0E"/>
    <w:rsid w:val="00B76EBD"/>
    <w:rsid w:val="00B76ECE"/>
    <w:rsid w:val="00B77545"/>
    <w:rsid w:val="00B775BE"/>
    <w:rsid w:val="00B776CD"/>
    <w:rsid w:val="00B777C6"/>
    <w:rsid w:val="00B77801"/>
    <w:rsid w:val="00B80197"/>
    <w:rsid w:val="00B801A8"/>
    <w:rsid w:val="00B80214"/>
    <w:rsid w:val="00B80476"/>
    <w:rsid w:val="00B804E8"/>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2D2"/>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5D09"/>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14"/>
    <w:rsid w:val="00B91223"/>
    <w:rsid w:val="00B9141B"/>
    <w:rsid w:val="00B91487"/>
    <w:rsid w:val="00B917C1"/>
    <w:rsid w:val="00B91D5A"/>
    <w:rsid w:val="00B91F97"/>
    <w:rsid w:val="00B921B0"/>
    <w:rsid w:val="00B9259E"/>
    <w:rsid w:val="00B927CB"/>
    <w:rsid w:val="00B92B75"/>
    <w:rsid w:val="00B92CB2"/>
    <w:rsid w:val="00B92D14"/>
    <w:rsid w:val="00B92DCC"/>
    <w:rsid w:val="00B92FE6"/>
    <w:rsid w:val="00B93044"/>
    <w:rsid w:val="00B935F8"/>
    <w:rsid w:val="00B93D0B"/>
    <w:rsid w:val="00B93D3B"/>
    <w:rsid w:val="00B93E98"/>
    <w:rsid w:val="00B943FB"/>
    <w:rsid w:val="00B94914"/>
    <w:rsid w:val="00B94A79"/>
    <w:rsid w:val="00B94ADD"/>
    <w:rsid w:val="00B94C87"/>
    <w:rsid w:val="00B94CF4"/>
    <w:rsid w:val="00B94D17"/>
    <w:rsid w:val="00B950CA"/>
    <w:rsid w:val="00B952F6"/>
    <w:rsid w:val="00B953B9"/>
    <w:rsid w:val="00B95491"/>
    <w:rsid w:val="00B95568"/>
    <w:rsid w:val="00B9557F"/>
    <w:rsid w:val="00B95AB2"/>
    <w:rsid w:val="00B95D4B"/>
    <w:rsid w:val="00B95D73"/>
    <w:rsid w:val="00B95EAB"/>
    <w:rsid w:val="00B96316"/>
    <w:rsid w:val="00B963DB"/>
    <w:rsid w:val="00B964E1"/>
    <w:rsid w:val="00B9652D"/>
    <w:rsid w:val="00B965FD"/>
    <w:rsid w:val="00B96766"/>
    <w:rsid w:val="00B96C7F"/>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ECC"/>
    <w:rsid w:val="00BA139E"/>
    <w:rsid w:val="00BA17E4"/>
    <w:rsid w:val="00BA1A10"/>
    <w:rsid w:val="00BA1B35"/>
    <w:rsid w:val="00BA1B99"/>
    <w:rsid w:val="00BA1C72"/>
    <w:rsid w:val="00BA2652"/>
    <w:rsid w:val="00BA2914"/>
    <w:rsid w:val="00BA2B6F"/>
    <w:rsid w:val="00BA2DD7"/>
    <w:rsid w:val="00BA3072"/>
    <w:rsid w:val="00BA30C7"/>
    <w:rsid w:val="00BA35C5"/>
    <w:rsid w:val="00BA3857"/>
    <w:rsid w:val="00BA3A00"/>
    <w:rsid w:val="00BA3C2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B52"/>
    <w:rsid w:val="00BA6C06"/>
    <w:rsid w:val="00BA6DF7"/>
    <w:rsid w:val="00BA6F40"/>
    <w:rsid w:val="00BA7246"/>
    <w:rsid w:val="00BA7262"/>
    <w:rsid w:val="00BA7269"/>
    <w:rsid w:val="00BA757B"/>
    <w:rsid w:val="00BA7A42"/>
    <w:rsid w:val="00BA7AAD"/>
    <w:rsid w:val="00BA7AB6"/>
    <w:rsid w:val="00BA7B74"/>
    <w:rsid w:val="00BA7D3A"/>
    <w:rsid w:val="00BB0ABE"/>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AD3"/>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73C"/>
    <w:rsid w:val="00BC4B45"/>
    <w:rsid w:val="00BC4B70"/>
    <w:rsid w:val="00BC555E"/>
    <w:rsid w:val="00BC572D"/>
    <w:rsid w:val="00BC575C"/>
    <w:rsid w:val="00BC5923"/>
    <w:rsid w:val="00BC5A95"/>
    <w:rsid w:val="00BC5AD6"/>
    <w:rsid w:val="00BC6034"/>
    <w:rsid w:val="00BC61C4"/>
    <w:rsid w:val="00BC65D9"/>
    <w:rsid w:val="00BC683D"/>
    <w:rsid w:val="00BC69AA"/>
    <w:rsid w:val="00BC6B48"/>
    <w:rsid w:val="00BC6CC5"/>
    <w:rsid w:val="00BC6D68"/>
    <w:rsid w:val="00BC6DC4"/>
    <w:rsid w:val="00BC7240"/>
    <w:rsid w:val="00BC74D6"/>
    <w:rsid w:val="00BC76EA"/>
    <w:rsid w:val="00BC77EF"/>
    <w:rsid w:val="00BC79A6"/>
    <w:rsid w:val="00BC79B3"/>
    <w:rsid w:val="00BC7C7C"/>
    <w:rsid w:val="00BD0322"/>
    <w:rsid w:val="00BD05D8"/>
    <w:rsid w:val="00BD06E7"/>
    <w:rsid w:val="00BD0A2B"/>
    <w:rsid w:val="00BD0C7F"/>
    <w:rsid w:val="00BD0CAD"/>
    <w:rsid w:val="00BD1838"/>
    <w:rsid w:val="00BD1BAB"/>
    <w:rsid w:val="00BD1CFD"/>
    <w:rsid w:val="00BD1D1A"/>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7E4"/>
    <w:rsid w:val="00BD4D9A"/>
    <w:rsid w:val="00BD4FEC"/>
    <w:rsid w:val="00BD503E"/>
    <w:rsid w:val="00BD5550"/>
    <w:rsid w:val="00BD559C"/>
    <w:rsid w:val="00BD56B8"/>
    <w:rsid w:val="00BD5802"/>
    <w:rsid w:val="00BD618C"/>
    <w:rsid w:val="00BD6441"/>
    <w:rsid w:val="00BD64BE"/>
    <w:rsid w:val="00BD6593"/>
    <w:rsid w:val="00BD6630"/>
    <w:rsid w:val="00BD6C37"/>
    <w:rsid w:val="00BD6DFD"/>
    <w:rsid w:val="00BD6FDD"/>
    <w:rsid w:val="00BD714E"/>
    <w:rsid w:val="00BD7460"/>
    <w:rsid w:val="00BD74BF"/>
    <w:rsid w:val="00BD75D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A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0B"/>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D5"/>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3DC"/>
    <w:rsid w:val="00BF7598"/>
    <w:rsid w:val="00BF7886"/>
    <w:rsid w:val="00C0002A"/>
    <w:rsid w:val="00C000A3"/>
    <w:rsid w:val="00C0042E"/>
    <w:rsid w:val="00C006A0"/>
    <w:rsid w:val="00C00711"/>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C18"/>
    <w:rsid w:val="00C03F43"/>
    <w:rsid w:val="00C03F48"/>
    <w:rsid w:val="00C03FD8"/>
    <w:rsid w:val="00C04513"/>
    <w:rsid w:val="00C04557"/>
    <w:rsid w:val="00C04DD1"/>
    <w:rsid w:val="00C0502A"/>
    <w:rsid w:val="00C05121"/>
    <w:rsid w:val="00C05248"/>
    <w:rsid w:val="00C056C9"/>
    <w:rsid w:val="00C057EB"/>
    <w:rsid w:val="00C05900"/>
    <w:rsid w:val="00C05AE7"/>
    <w:rsid w:val="00C05EFF"/>
    <w:rsid w:val="00C05FFB"/>
    <w:rsid w:val="00C06179"/>
    <w:rsid w:val="00C06186"/>
    <w:rsid w:val="00C0645D"/>
    <w:rsid w:val="00C0691E"/>
    <w:rsid w:val="00C069F1"/>
    <w:rsid w:val="00C06BCE"/>
    <w:rsid w:val="00C06DB4"/>
    <w:rsid w:val="00C06F28"/>
    <w:rsid w:val="00C06FD0"/>
    <w:rsid w:val="00C0707C"/>
    <w:rsid w:val="00C07267"/>
    <w:rsid w:val="00C0747B"/>
    <w:rsid w:val="00C076C2"/>
    <w:rsid w:val="00C07972"/>
    <w:rsid w:val="00C07D4E"/>
    <w:rsid w:val="00C07E81"/>
    <w:rsid w:val="00C07ED2"/>
    <w:rsid w:val="00C10448"/>
    <w:rsid w:val="00C105C2"/>
    <w:rsid w:val="00C109CB"/>
    <w:rsid w:val="00C10C9B"/>
    <w:rsid w:val="00C10CC1"/>
    <w:rsid w:val="00C10F6E"/>
    <w:rsid w:val="00C10F78"/>
    <w:rsid w:val="00C11561"/>
    <w:rsid w:val="00C117BA"/>
    <w:rsid w:val="00C1200C"/>
    <w:rsid w:val="00C1238F"/>
    <w:rsid w:val="00C1249E"/>
    <w:rsid w:val="00C124C9"/>
    <w:rsid w:val="00C12554"/>
    <w:rsid w:val="00C1256A"/>
    <w:rsid w:val="00C127B6"/>
    <w:rsid w:val="00C12A64"/>
    <w:rsid w:val="00C12DD6"/>
    <w:rsid w:val="00C138AF"/>
    <w:rsid w:val="00C13C42"/>
    <w:rsid w:val="00C14C63"/>
    <w:rsid w:val="00C14F48"/>
    <w:rsid w:val="00C151E3"/>
    <w:rsid w:val="00C152A4"/>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208D5"/>
    <w:rsid w:val="00C20B43"/>
    <w:rsid w:val="00C20CAB"/>
    <w:rsid w:val="00C20F7A"/>
    <w:rsid w:val="00C21163"/>
    <w:rsid w:val="00C2128A"/>
    <w:rsid w:val="00C214C5"/>
    <w:rsid w:val="00C214E6"/>
    <w:rsid w:val="00C2151A"/>
    <w:rsid w:val="00C219FD"/>
    <w:rsid w:val="00C21A38"/>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40BF"/>
    <w:rsid w:val="00C24245"/>
    <w:rsid w:val="00C2479D"/>
    <w:rsid w:val="00C247BF"/>
    <w:rsid w:val="00C24BE2"/>
    <w:rsid w:val="00C24ED1"/>
    <w:rsid w:val="00C24F1D"/>
    <w:rsid w:val="00C24F6C"/>
    <w:rsid w:val="00C25159"/>
    <w:rsid w:val="00C253E2"/>
    <w:rsid w:val="00C25D5F"/>
    <w:rsid w:val="00C26040"/>
    <w:rsid w:val="00C2662E"/>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610"/>
    <w:rsid w:val="00C31810"/>
    <w:rsid w:val="00C3184B"/>
    <w:rsid w:val="00C318E5"/>
    <w:rsid w:val="00C31D95"/>
    <w:rsid w:val="00C31DE4"/>
    <w:rsid w:val="00C31FBA"/>
    <w:rsid w:val="00C323D1"/>
    <w:rsid w:val="00C32576"/>
    <w:rsid w:val="00C325F9"/>
    <w:rsid w:val="00C32AFA"/>
    <w:rsid w:val="00C32C12"/>
    <w:rsid w:val="00C32C39"/>
    <w:rsid w:val="00C32E32"/>
    <w:rsid w:val="00C33AAB"/>
    <w:rsid w:val="00C33DAD"/>
    <w:rsid w:val="00C348C9"/>
    <w:rsid w:val="00C34A49"/>
    <w:rsid w:val="00C34BAA"/>
    <w:rsid w:val="00C34F1C"/>
    <w:rsid w:val="00C35415"/>
    <w:rsid w:val="00C354E3"/>
    <w:rsid w:val="00C355EB"/>
    <w:rsid w:val="00C35967"/>
    <w:rsid w:val="00C359A9"/>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2B"/>
    <w:rsid w:val="00C37FB8"/>
    <w:rsid w:val="00C401D1"/>
    <w:rsid w:val="00C40483"/>
    <w:rsid w:val="00C407AB"/>
    <w:rsid w:val="00C40AAF"/>
    <w:rsid w:val="00C40C50"/>
    <w:rsid w:val="00C40CDB"/>
    <w:rsid w:val="00C40F89"/>
    <w:rsid w:val="00C41695"/>
    <w:rsid w:val="00C41B04"/>
    <w:rsid w:val="00C41D69"/>
    <w:rsid w:val="00C41F7A"/>
    <w:rsid w:val="00C42042"/>
    <w:rsid w:val="00C423DB"/>
    <w:rsid w:val="00C4265D"/>
    <w:rsid w:val="00C42674"/>
    <w:rsid w:val="00C428A6"/>
    <w:rsid w:val="00C42D3F"/>
    <w:rsid w:val="00C42F87"/>
    <w:rsid w:val="00C43908"/>
    <w:rsid w:val="00C43983"/>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BD9"/>
    <w:rsid w:val="00C54C19"/>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0C90"/>
    <w:rsid w:val="00C612E0"/>
    <w:rsid w:val="00C61516"/>
    <w:rsid w:val="00C61646"/>
    <w:rsid w:val="00C616E3"/>
    <w:rsid w:val="00C61856"/>
    <w:rsid w:val="00C618C3"/>
    <w:rsid w:val="00C61916"/>
    <w:rsid w:val="00C619ED"/>
    <w:rsid w:val="00C61E6A"/>
    <w:rsid w:val="00C62091"/>
    <w:rsid w:val="00C62171"/>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7CC"/>
    <w:rsid w:val="00C6492D"/>
    <w:rsid w:val="00C64AF1"/>
    <w:rsid w:val="00C64B75"/>
    <w:rsid w:val="00C64CA8"/>
    <w:rsid w:val="00C64E07"/>
    <w:rsid w:val="00C652DA"/>
    <w:rsid w:val="00C65572"/>
    <w:rsid w:val="00C65655"/>
    <w:rsid w:val="00C657DD"/>
    <w:rsid w:val="00C65A5E"/>
    <w:rsid w:val="00C65A69"/>
    <w:rsid w:val="00C65A6A"/>
    <w:rsid w:val="00C65D4F"/>
    <w:rsid w:val="00C6607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87B"/>
    <w:rsid w:val="00C70017"/>
    <w:rsid w:val="00C7026C"/>
    <w:rsid w:val="00C7031D"/>
    <w:rsid w:val="00C7041D"/>
    <w:rsid w:val="00C704C0"/>
    <w:rsid w:val="00C704C9"/>
    <w:rsid w:val="00C70720"/>
    <w:rsid w:val="00C70A1C"/>
    <w:rsid w:val="00C70BC1"/>
    <w:rsid w:val="00C70ED2"/>
    <w:rsid w:val="00C71189"/>
    <w:rsid w:val="00C71368"/>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BB9"/>
    <w:rsid w:val="00C76C31"/>
    <w:rsid w:val="00C76E57"/>
    <w:rsid w:val="00C770CE"/>
    <w:rsid w:val="00C7724F"/>
    <w:rsid w:val="00C77281"/>
    <w:rsid w:val="00C777A7"/>
    <w:rsid w:val="00C777E9"/>
    <w:rsid w:val="00C77804"/>
    <w:rsid w:val="00C805D9"/>
    <w:rsid w:val="00C80A72"/>
    <w:rsid w:val="00C80AF3"/>
    <w:rsid w:val="00C8110D"/>
    <w:rsid w:val="00C81331"/>
    <w:rsid w:val="00C81975"/>
    <w:rsid w:val="00C81BF0"/>
    <w:rsid w:val="00C82166"/>
    <w:rsid w:val="00C82540"/>
    <w:rsid w:val="00C82624"/>
    <w:rsid w:val="00C82EBF"/>
    <w:rsid w:val="00C82ED3"/>
    <w:rsid w:val="00C82FB5"/>
    <w:rsid w:val="00C83405"/>
    <w:rsid w:val="00C83613"/>
    <w:rsid w:val="00C83958"/>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370"/>
    <w:rsid w:val="00C867AE"/>
    <w:rsid w:val="00C867E1"/>
    <w:rsid w:val="00C86D7B"/>
    <w:rsid w:val="00C86EEC"/>
    <w:rsid w:val="00C87318"/>
    <w:rsid w:val="00C875F0"/>
    <w:rsid w:val="00C8771A"/>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579"/>
    <w:rsid w:val="00C937E9"/>
    <w:rsid w:val="00C93A9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AC6"/>
    <w:rsid w:val="00CA5B28"/>
    <w:rsid w:val="00CA5CEA"/>
    <w:rsid w:val="00CA5D19"/>
    <w:rsid w:val="00CA633D"/>
    <w:rsid w:val="00CA63D9"/>
    <w:rsid w:val="00CA6759"/>
    <w:rsid w:val="00CA6CB0"/>
    <w:rsid w:val="00CA76F9"/>
    <w:rsid w:val="00CA7700"/>
    <w:rsid w:val="00CA7755"/>
    <w:rsid w:val="00CA776B"/>
    <w:rsid w:val="00CA7A40"/>
    <w:rsid w:val="00CA7AA0"/>
    <w:rsid w:val="00CA7BAC"/>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B9C"/>
    <w:rsid w:val="00CB2EB3"/>
    <w:rsid w:val="00CB346D"/>
    <w:rsid w:val="00CB34E4"/>
    <w:rsid w:val="00CB3621"/>
    <w:rsid w:val="00CB373A"/>
    <w:rsid w:val="00CB38DE"/>
    <w:rsid w:val="00CB400B"/>
    <w:rsid w:val="00CB4184"/>
    <w:rsid w:val="00CB4188"/>
    <w:rsid w:val="00CB41DB"/>
    <w:rsid w:val="00CB421E"/>
    <w:rsid w:val="00CB469E"/>
    <w:rsid w:val="00CB486E"/>
    <w:rsid w:val="00CB494A"/>
    <w:rsid w:val="00CB4995"/>
    <w:rsid w:val="00CB4D0B"/>
    <w:rsid w:val="00CB50D9"/>
    <w:rsid w:val="00CB52FD"/>
    <w:rsid w:val="00CB5470"/>
    <w:rsid w:val="00CB56EC"/>
    <w:rsid w:val="00CB56F2"/>
    <w:rsid w:val="00CB592E"/>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A46"/>
    <w:rsid w:val="00CB7B22"/>
    <w:rsid w:val="00CB7C5C"/>
    <w:rsid w:val="00CB7DE0"/>
    <w:rsid w:val="00CC00C1"/>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099"/>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CD7"/>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1F31"/>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C9"/>
    <w:rsid w:val="00CD6540"/>
    <w:rsid w:val="00CD6703"/>
    <w:rsid w:val="00CD6718"/>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AF5"/>
    <w:rsid w:val="00CE1BFB"/>
    <w:rsid w:val="00CE1EF2"/>
    <w:rsid w:val="00CE1FA2"/>
    <w:rsid w:val="00CE1FBD"/>
    <w:rsid w:val="00CE2001"/>
    <w:rsid w:val="00CE20D4"/>
    <w:rsid w:val="00CE2C4C"/>
    <w:rsid w:val="00CE2FEC"/>
    <w:rsid w:val="00CE3343"/>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412"/>
    <w:rsid w:val="00CE7572"/>
    <w:rsid w:val="00CE76EE"/>
    <w:rsid w:val="00CE7B52"/>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003"/>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23A8"/>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9C"/>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396"/>
    <w:rsid w:val="00D16440"/>
    <w:rsid w:val="00D166A4"/>
    <w:rsid w:val="00D16B2F"/>
    <w:rsid w:val="00D16C40"/>
    <w:rsid w:val="00D16E07"/>
    <w:rsid w:val="00D17555"/>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1BF"/>
    <w:rsid w:val="00D25357"/>
    <w:rsid w:val="00D256E6"/>
    <w:rsid w:val="00D25773"/>
    <w:rsid w:val="00D257D5"/>
    <w:rsid w:val="00D25CBB"/>
    <w:rsid w:val="00D25CCA"/>
    <w:rsid w:val="00D25E22"/>
    <w:rsid w:val="00D26150"/>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BBE"/>
    <w:rsid w:val="00D32F54"/>
    <w:rsid w:val="00D3320F"/>
    <w:rsid w:val="00D3343E"/>
    <w:rsid w:val="00D334D5"/>
    <w:rsid w:val="00D33919"/>
    <w:rsid w:val="00D33AAD"/>
    <w:rsid w:val="00D33B8B"/>
    <w:rsid w:val="00D34168"/>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B"/>
    <w:rsid w:val="00D460EB"/>
    <w:rsid w:val="00D46138"/>
    <w:rsid w:val="00D463E2"/>
    <w:rsid w:val="00D4659C"/>
    <w:rsid w:val="00D46635"/>
    <w:rsid w:val="00D468D0"/>
    <w:rsid w:val="00D46AE2"/>
    <w:rsid w:val="00D46C59"/>
    <w:rsid w:val="00D46C8F"/>
    <w:rsid w:val="00D47073"/>
    <w:rsid w:val="00D479E4"/>
    <w:rsid w:val="00D47AEB"/>
    <w:rsid w:val="00D47CBD"/>
    <w:rsid w:val="00D47FFE"/>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68F"/>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96"/>
    <w:rsid w:val="00D576BC"/>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5AD"/>
    <w:rsid w:val="00D617CC"/>
    <w:rsid w:val="00D6183D"/>
    <w:rsid w:val="00D61A02"/>
    <w:rsid w:val="00D62208"/>
    <w:rsid w:val="00D625F2"/>
    <w:rsid w:val="00D62AAF"/>
    <w:rsid w:val="00D62B8A"/>
    <w:rsid w:val="00D634A7"/>
    <w:rsid w:val="00D634E9"/>
    <w:rsid w:val="00D636AA"/>
    <w:rsid w:val="00D63CDA"/>
    <w:rsid w:val="00D643C5"/>
    <w:rsid w:val="00D64791"/>
    <w:rsid w:val="00D64A46"/>
    <w:rsid w:val="00D64B5A"/>
    <w:rsid w:val="00D64CE8"/>
    <w:rsid w:val="00D64F53"/>
    <w:rsid w:val="00D65064"/>
    <w:rsid w:val="00D6563A"/>
    <w:rsid w:val="00D656B9"/>
    <w:rsid w:val="00D65BA6"/>
    <w:rsid w:val="00D65E4D"/>
    <w:rsid w:val="00D66132"/>
    <w:rsid w:val="00D66287"/>
    <w:rsid w:val="00D662C9"/>
    <w:rsid w:val="00D665A3"/>
    <w:rsid w:val="00D665CD"/>
    <w:rsid w:val="00D66C6F"/>
    <w:rsid w:val="00D66C87"/>
    <w:rsid w:val="00D66CDA"/>
    <w:rsid w:val="00D66CDB"/>
    <w:rsid w:val="00D66EFF"/>
    <w:rsid w:val="00D66F39"/>
    <w:rsid w:val="00D67710"/>
    <w:rsid w:val="00D677CA"/>
    <w:rsid w:val="00D67C18"/>
    <w:rsid w:val="00D70039"/>
    <w:rsid w:val="00D70174"/>
    <w:rsid w:val="00D70318"/>
    <w:rsid w:val="00D70604"/>
    <w:rsid w:val="00D70631"/>
    <w:rsid w:val="00D708BC"/>
    <w:rsid w:val="00D709D6"/>
    <w:rsid w:val="00D70B9C"/>
    <w:rsid w:val="00D70C68"/>
    <w:rsid w:val="00D70C6E"/>
    <w:rsid w:val="00D70E1F"/>
    <w:rsid w:val="00D70EFA"/>
    <w:rsid w:val="00D711FF"/>
    <w:rsid w:val="00D7139E"/>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0D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EB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4ED"/>
    <w:rsid w:val="00D83753"/>
    <w:rsid w:val="00D83BC6"/>
    <w:rsid w:val="00D84463"/>
    <w:rsid w:val="00D8455B"/>
    <w:rsid w:val="00D845B3"/>
    <w:rsid w:val="00D849DC"/>
    <w:rsid w:val="00D84A7E"/>
    <w:rsid w:val="00D84C1F"/>
    <w:rsid w:val="00D84E7E"/>
    <w:rsid w:val="00D850FE"/>
    <w:rsid w:val="00D85500"/>
    <w:rsid w:val="00D8562E"/>
    <w:rsid w:val="00D85B61"/>
    <w:rsid w:val="00D85C1F"/>
    <w:rsid w:val="00D85FDD"/>
    <w:rsid w:val="00D862D7"/>
    <w:rsid w:val="00D866CC"/>
    <w:rsid w:val="00D86929"/>
    <w:rsid w:val="00D869CB"/>
    <w:rsid w:val="00D86AF6"/>
    <w:rsid w:val="00D86CDC"/>
    <w:rsid w:val="00D86D0A"/>
    <w:rsid w:val="00D870FF"/>
    <w:rsid w:val="00D874B9"/>
    <w:rsid w:val="00D879F1"/>
    <w:rsid w:val="00D87A6E"/>
    <w:rsid w:val="00D87EAA"/>
    <w:rsid w:val="00D900EF"/>
    <w:rsid w:val="00D90555"/>
    <w:rsid w:val="00D907B3"/>
    <w:rsid w:val="00D9089A"/>
    <w:rsid w:val="00D90932"/>
    <w:rsid w:val="00D90C91"/>
    <w:rsid w:val="00D90CD2"/>
    <w:rsid w:val="00D912E6"/>
    <w:rsid w:val="00D913F5"/>
    <w:rsid w:val="00D915EE"/>
    <w:rsid w:val="00D91D74"/>
    <w:rsid w:val="00D91E68"/>
    <w:rsid w:val="00D9201D"/>
    <w:rsid w:val="00D925AB"/>
    <w:rsid w:val="00D92877"/>
    <w:rsid w:val="00D9294C"/>
    <w:rsid w:val="00D92A24"/>
    <w:rsid w:val="00D92AB6"/>
    <w:rsid w:val="00D92BFF"/>
    <w:rsid w:val="00D92DE5"/>
    <w:rsid w:val="00D92F09"/>
    <w:rsid w:val="00D930B9"/>
    <w:rsid w:val="00D93630"/>
    <w:rsid w:val="00D937F1"/>
    <w:rsid w:val="00D93FD0"/>
    <w:rsid w:val="00D940D6"/>
    <w:rsid w:val="00D941A4"/>
    <w:rsid w:val="00D942BE"/>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64E"/>
    <w:rsid w:val="00D9784A"/>
    <w:rsid w:val="00D978E5"/>
    <w:rsid w:val="00D97D00"/>
    <w:rsid w:val="00D97EFE"/>
    <w:rsid w:val="00DA008F"/>
    <w:rsid w:val="00DA01BF"/>
    <w:rsid w:val="00DA0815"/>
    <w:rsid w:val="00DA08BB"/>
    <w:rsid w:val="00DA09AF"/>
    <w:rsid w:val="00DA09D2"/>
    <w:rsid w:val="00DA0B44"/>
    <w:rsid w:val="00DA10CD"/>
    <w:rsid w:val="00DA14F6"/>
    <w:rsid w:val="00DA1801"/>
    <w:rsid w:val="00DA1803"/>
    <w:rsid w:val="00DA1F2D"/>
    <w:rsid w:val="00DA1F83"/>
    <w:rsid w:val="00DA2176"/>
    <w:rsid w:val="00DA2223"/>
    <w:rsid w:val="00DA22ED"/>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4D0"/>
    <w:rsid w:val="00DD05DC"/>
    <w:rsid w:val="00DD061A"/>
    <w:rsid w:val="00DD0948"/>
    <w:rsid w:val="00DD0A7A"/>
    <w:rsid w:val="00DD0B37"/>
    <w:rsid w:val="00DD0BCA"/>
    <w:rsid w:val="00DD0FD8"/>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77"/>
    <w:rsid w:val="00DD38C7"/>
    <w:rsid w:val="00DD3AB4"/>
    <w:rsid w:val="00DD3AEB"/>
    <w:rsid w:val="00DD3C15"/>
    <w:rsid w:val="00DD3C23"/>
    <w:rsid w:val="00DD4022"/>
    <w:rsid w:val="00DD419B"/>
    <w:rsid w:val="00DD42BA"/>
    <w:rsid w:val="00DD453D"/>
    <w:rsid w:val="00DD4556"/>
    <w:rsid w:val="00DD473F"/>
    <w:rsid w:val="00DD478F"/>
    <w:rsid w:val="00DD4901"/>
    <w:rsid w:val="00DD49C0"/>
    <w:rsid w:val="00DD49E2"/>
    <w:rsid w:val="00DD4BE6"/>
    <w:rsid w:val="00DD513E"/>
    <w:rsid w:val="00DD5458"/>
    <w:rsid w:val="00DD55DE"/>
    <w:rsid w:val="00DD577E"/>
    <w:rsid w:val="00DD5812"/>
    <w:rsid w:val="00DD58DE"/>
    <w:rsid w:val="00DD59C0"/>
    <w:rsid w:val="00DD5ABC"/>
    <w:rsid w:val="00DD60CD"/>
    <w:rsid w:val="00DD6C24"/>
    <w:rsid w:val="00DD6D23"/>
    <w:rsid w:val="00DD70F4"/>
    <w:rsid w:val="00DD786C"/>
    <w:rsid w:val="00DE0556"/>
    <w:rsid w:val="00DE074F"/>
    <w:rsid w:val="00DE0B91"/>
    <w:rsid w:val="00DE0CD8"/>
    <w:rsid w:val="00DE0EA8"/>
    <w:rsid w:val="00DE110E"/>
    <w:rsid w:val="00DE12F3"/>
    <w:rsid w:val="00DE135E"/>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987"/>
    <w:rsid w:val="00DF2B9B"/>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560"/>
    <w:rsid w:val="00DF7590"/>
    <w:rsid w:val="00DF7682"/>
    <w:rsid w:val="00DF78DE"/>
    <w:rsid w:val="00DF78E4"/>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49"/>
    <w:rsid w:val="00E03709"/>
    <w:rsid w:val="00E0370A"/>
    <w:rsid w:val="00E03898"/>
    <w:rsid w:val="00E038F6"/>
    <w:rsid w:val="00E03AC2"/>
    <w:rsid w:val="00E04144"/>
    <w:rsid w:val="00E044A6"/>
    <w:rsid w:val="00E0470E"/>
    <w:rsid w:val="00E04B9E"/>
    <w:rsid w:val="00E04B9F"/>
    <w:rsid w:val="00E04BA0"/>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C2D"/>
    <w:rsid w:val="00E07DD8"/>
    <w:rsid w:val="00E07E9C"/>
    <w:rsid w:val="00E07EB8"/>
    <w:rsid w:val="00E07F78"/>
    <w:rsid w:val="00E1015B"/>
    <w:rsid w:val="00E10385"/>
    <w:rsid w:val="00E103F8"/>
    <w:rsid w:val="00E10DDF"/>
    <w:rsid w:val="00E111CB"/>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EA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692"/>
    <w:rsid w:val="00E26852"/>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DFF"/>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AD1"/>
    <w:rsid w:val="00E33BD0"/>
    <w:rsid w:val="00E33C5E"/>
    <w:rsid w:val="00E33CEC"/>
    <w:rsid w:val="00E33DE9"/>
    <w:rsid w:val="00E33E62"/>
    <w:rsid w:val="00E33EC9"/>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99E"/>
    <w:rsid w:val="00E51B67"/>
    <w:rsid w:val="00E51DB0"/>
    <w:rsid w:val="00E51E55"/>
    <w:rsid w:val="00E52544"/>
    <w:rsid w:val="00E52569"/>
    <w:rsid w:val="00E53101"/>
    <w:rsid w:val="00E53182"/>
    <w:rsid w:val="00E533B0"/>
    <w:rsid w:val="00E53404"/>
    <w:rsid w:val="00E53541"/>
    <w:rsid w:val="00E53810"/>
    <w:rsid w:val="00E539B9"/>
    <w:rsid w:val="00E53B28"/>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5C5"/>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EE0"/>
    <w:rsid w:val="00E63FEC"/>
    <w:rsid w:val="00E64107"/>
    <w:rsid w:val="00E6462F"/>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21B"/>
    <w:rsid w:val="00E67357"/>
    <w:rsid w:val="00E674BF"/>
    <w:rsid w:val="00E678AD"/>
    <w:rsid w:val="00E67998"/>
    <w:rsid w:val="00E67BA0"/>
    <w:rsid w:val="00E67E01"/>
    <w:rsid w:val="00E70014"/>
    <w:rsid w:val="00E701EB"/>
    <w:rsid w:val="00E70286"/>
    <w:rsid w:val="00E7034D"/>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1E0"/>
    <w:rsid w:val="00E72697"/>
    <w:rsid w:val="00E72926"/>
    <w:rsid w:val="00E72C50"/>
    <w:rsid w:val="00E72ECE"/>
    <w:rsid w:val="00E72F7C"/>
    <w:rsid w:val="00E73082"/>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1630"/>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326"/>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0CCD"/>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0B2"/>
    <w:rsid w:val="00E946BB"/>
    <w:rsid w:val="00E9543D"/>
    <w:rsid w:val="00E95626"/>
    <w:rsid w:val="00E95723"/>
    <w:rsid w:val="00E95859"/>
    <w:rsid w:val="00E95AE1"/>
    <w:rsid w:val="00E95B16"/>
    <w:rsid w:val="00E95BFB"/>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2C9"/>
    <w:rsid w:val="00E97485"/>
    <w:rsid w:val="00E97584"/>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903"/>
    <w:rsid w:val="00EA298F"/>
    <w:rsid w:val="00EA2B7A"/>
    <w:rsid w:val="00EA2F75"/>
    <w:rsid w:val="00EA3018"/>
    <w:rsid w:val="00EA3324"/>
    <w:rsid w:val="00EA33A6"/>
    <w:rsid w:val="00EA3BDF"/>
    <w:rsid w:val="00EA3D78"/>
    <w:rsid w:val="00EA3E2B"/>
    <w:rsid w:val="00EA4240"/>
    <w:rsid w:val="00EA42F1"/>
    <w:rsid w:val="00EA4682"/>
    <w:rsid w:val="00EA4794"/>
    <w:rsid w:val="00EA487F"/>
    <w:rsid w:val="00EA49CD"/>
    <w:rsid w:val="00EA4A6D"/>
    <w:rsid w:val="00EA4EA4"/>
    <w:rsid w:val="00EA4EA8"/>
    <w:rsid w:val="00EA50D8"/>
    <w:rsid w:val="00EA522B"/>
    <w:rsid w:val="00EA5499"/>
    <w:rsid w:val="00EA5A22"/>
    <w:rsid w:val="00EA5A4F"/>
    <w:rsid w:val="00EA5AFA"/>
    <w:rsid w:val="00EA5B6F"/>
    <w:rsid w:val="00EA5ECA"/>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A0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B9D"/>
    <w:rsid w:val="00EB6666"/>
    <w:rsid w:val="00EB68EF"/>
    <w:rsid w:val="00EB6B54"/>
    <w:rsid w:val="00EB6BB7"/>
    <w:rsid w:val="00EB6BF9"/>
    <w:rsid w:val="00EB7333"/>
    <w:rsid w:val="00EB749E"/>
    <w:rsid w:val="00EB74A6"/>
    <w:rsid w:val="00EB76E7"/>
    <w:rsid w:val="00EB7788"/>
    <w:rsid w:val="00EB797E"/>
    <w:rsid w:val="00EB7AE0"/>
    <w:rsid w:val="00EB7EDD"/>
    <w:rsid w:val="00EB7EF5"/>
    <w:rsid w:val="00EB7F52"/>
    <w:rsid w:val="00EB7FF5"/>
    <w:rsid w:val="00EC01B0"/>
    <w:rsid w:val="00EC02E9"/>
    <w:rsid w:val="00EC0667"/>
    <w:rsid w:val="00EC0743"/>
    <w:rsid w:val="00EC094E"/>
    <w:rsid w:val="00EC0A27"/>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69C"/>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38D"/>
    <w:rsid w:val="00EE3916"/>
    <w:rsid w:val="00EE3964"/>
    <w:rsid w:val="00EE3B00"/>
    <w:rsid w:val="00EE442F"/>
    <w:rsid w:val="00EE4465"/>
    <w:rsid w:val="00EE45B8"/>
    <w:rsid w:val="00EE4A2C"/>
    <w:rsid w:val="00EE4AA2"/>
    <w:rsid w:val="00EE4BBF"/>
    <w:rsid w:val="00EE4EC1"/>
    <w:rsid w:val="00EE5154"/>
    <w:rsid w:val="00EE56C9"/>
    <w:rsid w:val="00EE5ADD"/>
    <w:rsid w:val="00EE5D24"/>
    <w:rsid w:val="00EE5F0D"/>
    <w:rsid w:val="00EE623A"/>
    <w:rsid w:val="00EE664D"/>
    <w:rsid w:val="00EE67DD"/>
    <w:rsid w:val="00EE6C68"/>
    <w:rsid w:val="00EE6F30"/>
    <w:rsid w:val="00EE72D1"/>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56F"/>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94"/>
    <w:rsid w:val="00EF79D3"/>
    <w:rsid w:val="00EF7A3F"/>
    <w:rsid w:val="00EF7E61"/>
    <w:rsid w:val="00F009AF"/>
    <w:rsid w:val="00F00A8E"/>
    <w:rsid w:val="00F00ABB"/>
    <w:rsid w:val="00F00AD5"/>
    <w:rsid w:val="00F00B17"/>
    <w:rsid w:val="00F012B2"/>
    <w:rsid w:val="00F0135A"/>
    <w:rsid w:val="00F01A65"/>
    <w:rsid w:val="00F02197"/>
    <w:rsid w:val="00F0219B"/>
    <w:rsid w:val="00F023D8"/>
    <w:rsid w:val="00F02440"/>
    <w:rsid w:val="00F02465"/>
    <w:rsid w:val="00F02500"/>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9C8"/>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0DA5"/>
    <w:rsid w:val="00F110EE"/>
    <w:rsid w:val="00F11159"/>
    <w:rsid w:val="00F11195"/>
    <w:rsid w:val="00F111A1"/>
    <w:rsid w:val="00F11230"/>
    <w:rsid w:val="00F11A18"/>
    <w:rsid w:val="00F11C38"/>
    <w:rsid w:val="00F11F62"/>
    <w:rsid w:val="00F12941"/>
    <w:rsid w:val="00F12BFC"/>
    <w:rsid w:val="00F12F72"/>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E67"/>
    <w:rsid w:val="00F14FC2"/>
    <w:rsid w:val="00F150F8"/>
    <w:rsid w:val="00F152BC"/>
    <w:rsid w:val="00F15614"/>
    <w:rsid w:val="00F15A67"/>
    <w:rsid w:val="00F15A89"/>
    <w:rsid w:val="00F15D1D"/>
    <w:rsid w:val="00F15ED3"/>
    <w:rsid w:val="00F16074"/>
    <w:rsid w:val="00F1680A"/>
    <w:rsid w:val="00F16886"/>
    <w:rsid w:val="00F16C62"/>
    <w:rsid w:val="00F16DE1"/>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4"/>
    <w:rsid w:val="00F24A48"/>
    <w:rsid w:val="00F24A59"/>
    <w:rsid w:val="00F25012"/>
    <w:rsid w:val="00F25485"/>
    <w:rsid w:val="00F25E1A"/>
    <w:rsid w:val="00F260F4"/>
    <w:rsid w:val="00F26131"/>
    <w:rsid w:val="00F2616D"/>
    <w:rsid w:val="00F262FC"/>
    <w:rsid w:val="00F26331"/>
    <w:rsid w:val="00F2658D"/>
    <w:rsid w:val="00F26666"/>
    <w:rsid w:val="00F26E9E"/>
    <w:rsid w:val="00F26F51"/>
    <w:rsid w:val="00F26F8E"/>
    <w:rsid w:val="00F2708E"/>
    <w:rsid w:val="00F270A8"/>
    <w:rsid w:val="00F271CD"/>
    <w:rsid w:val="00F275B7"/>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41"/>
    <w:rsid w:val="00F338BB"/>
    <w:rsid w:val="00F33B7B"/>
    <w:rsid w:val="00F33BD4"/>
    <w:rsid w:val="00F34561"/>
    <w:rsid w:val="00F34AA8"/>
    <w:rsid w:val="00F34ADB"/>
    <w:rsid w:val="00F35160"/>
    <w:rsid w:val="00F351CA"/>
    <w:rsid w:val="00F35587"/>
    <w:rsid w:val="00F35A7F"/>
    <w:rsid w:val="00F35FE0"/>
    <w:rsid w:val="00F36149"/>
    <w:rsid w:val="00F3623A"/>
    <w:rsid w:val="00F36674"/>
    <w:rsid w:val="00F3716D"/>
    <w:rsid w:val="00F37280"/>
    <w:rsid w:val="00F3728C"/>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6B7"/>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17B"/>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2"/>
    <w:rsid w:val="00F61505"/>
    <w:rsid w:val="00F615AF"/>
    <w:rsid w:val="00F619A9"/>
    <w:rsid w:val="00F61CC0"/>
    <w:rsid w:val="00F61DDA"/>
    <w:rsid w:val="00F62114"/>
    <w:rsid w:val="00F623A6"/>
    <w:rsid w:val="00F623D5"/>
    <w:rsid w:val="00F624BA"/>
    <w:rsid w:val="00F62577"/>
    <w:rsid w:val="00F62583"/>
    <w:rsid w:val="00F62712"/>
    <w:rsid w:val="00F62986"/>
    <w:rsid w:val="00F62A20"/>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15F"/>
    <w:rsid w:val="00F761BB"/>
    <w:rsid w:val="00F762ED"/>
    <w:rsid w:val="00F76562"/>
    <w:rsid w:val="00F765D2"/>
    <w:rsid w:val="00F76BDA"/>
    <w:rsid w:val="00F76D01"/>
    <w:rsid w:val="00F770BE"/>
    <w:rsid w:val="00F773E1"/>
    <w:rsid w:val="00F776DF"/>
    <w:rsid w:val="00F77D33"/>
    <w:rsid w:val="00F77EAA"/>
    <w:rsid w:val="00F806AC"/>
    <w:rsid w:val="00F807CA"/>
    <w:rsid w:val="00F808E9"/>
    <w:rsid w:val="00F80D68"/>
    <w:rsid w:val="00F80D79"/>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144"/>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2E1"/>
    <w:rsid w:val="00F84779"/>
    <w:rsid w:val="00F84CC7"/>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75D2"/>
    <w:rsid w:val="00F8769A"/>
    <w:rsid w:val="00F8769C"/>
    <w:rsid w:val="00F876CC"/>
    <w:rsid w:val="00F876E5"/>
    <w:rsid w:val="00F87AA6"/>
    <w:rsid w:val="00F87F8A"/>
    <w:rsid w:val="00F90144"/>
    <w:rsid w:val="00F90229"/>
    <w:rsid w:val="00F90345"/>
    <w:rsid w:val="00F9051C"/>
    <w:rsid w:val="00F90788"/>
    <w:rsid w:val="00F909DD"/>
    <w:rsid w:val="00F90C44"/>
    <w:rsid w:val="00F90C5C"/>
    <w:rsid w:val="00F90D7F"/>
    <w:rsid w:val="00F90DA1"/>
    <w:rsid w:val="00F91322"/>
    <w:rsid w:val="00F91A11"/>
    <w:rsid w:val="00F91A18"/>
    <w:rsid w:val="00F91F66"/>
    <w:rsid w:val="00F92932"/>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DC"/>
    <w:rsid w:val="00F950B8"/>
    <w:rsid w:val="00F954AB"/>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1E72"/>
    <w:rsid w:val="00FA2708"/>
    <w:rsid w:val="00FA2727"/>
    <w:rsid w:val="00FA2771"/>
    <w:rsid w:val="00FA28AA"/>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4A7"/>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720"/>
    <w:rsid w:val="00FB4942"/>
    <w:rsid w:val="00FB4967"/>
    <w:rsid w:val="00FB49AF"/>
    <w:rsid w:val="00FB4D53"/>
    <w:rsid w:val="00FB5182"/>
    <w:rsid w:val="00FB53E3"/>
    <w:rsid w:val="00FB566D"/>
    <w:rsid w:val="00FB587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934"/>
    <w:rsid w:val="00FB7B97"/>
    <w:rsid w:val="00FB7EF3"/>
    <w:rsid w:val="00FB7F6F"/>
    <w:rsid w:val="00FC0004"/>
    <w:rsid w:val="00FC0013"/>
    <w:rsid w:val="00FC00FE"/>
    <w:rsid w:val="00FC0193"/>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608"/>
    <w:rsid w:val="00FC3E5D"/>
    <w:rsid w:val="00FC4058"/>
    <w:rsid w:val="00FC4181"/>
    <w:rsid w:val="00FC42E9"/>
    <w:rsid w:val="00FC4528"/>
    <w:rsid w:val="00FC48A3"/>
    <w:rsid w:val="00FC48FE"/>
    <w:rsid w:val="00FC4D41"/>
    <w:rsid w:val="00FC4FC9"/>
    <w:rsid w:val="00FC52FB"/>
    <w:rsid w:val="00FC592E"/>
    <w:rsid w:val="00FC5937"/>
    <w:rsid w:val="00FC5FD2"/>
    <w:rsid w:val="00FC608D"/>
    <w:rsid w:val="00FC60A5"/>
    <w:rsid w:val="00FC617F"/>
    <w:rsid w:val="00FC6372"/>
    <w:rsid w:val="00FC63C2"/>
    <w:rsid w:val="00FC64F6"/>
    <w:rsid w:val="00FC656F"/>
    <w:rsid w:val="00FC672F"/>
    <w:rsid w:val="00FC6B56"/>
    <w:rsid w:val="00FC6C6D"/>
    <w:rsid w:val="00FC6C8E"/>
    <w:rsid w:val="00FC6CCF"/>
    <w:rsid w:val="00FC720C"/>
    <w:rsid w:val="00FC73EB"/>
    <w:rsid w:val="00FC748C"/>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AB9"/>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1B9"/>
    <w:rsid w:val="00FD7445"/>
    <w:rsid w:val="00FD7AF4"/>
    <w:rsid w:val="00FD7B19"/>
    <w:rsid w:val="00FD7FD1"/>
    <w:rsid w:val="00FE00A5"/>
    <w:rsid w:val="00FE00B6"/>
    <w:rsid w:val="00FE00BC"/>
    <w:rsid w:val="00FE04B8"/>
    <w:rsid w:val="00FE0523"/>
    <w:rsid w:val="00FE1077"/>
    <w:rsid w:val="00FE1136"/>
    <w:rsid w:val="00FE12BF"/>
    <w:rsid w:val="00FE1773"/>
    <w:rsid w:val="00FE1813"/>
    <w:rsid w:val="00FE1862"/>
    <w:rsid w:val="00FE1AEA"/>
    <w:rsid w:val="00FE1F1C"/>
    <w:rsid w:val="00FE21BD"/>
    <w:rsid w:val="00FE2839"/>
    <w:rsid w:val="00FE2AD3"/>
    <w:rsid w:val="00FE2BDA"/>
    <w:rsid w:val="00FE313D"/>
    <w:rsid w:val="00FE315A"/>
    <w:rsid w:val="00FE32E0"/>
    <w:rsid w:val="00FE35A4"/>
    <w:rsid w:val="00FE39B7"/>
    <w:rsid w:val="00FE3A18"/>
    <w:rsid w:val="00FE3E10"/>
    <w:rsid w:val="00FE3F88"/>
    <w:rsid w:val="00FE4123"/>
    <w:rsid w:val="00FE413C"/>
    <w:rsid w:val="00FE4734"/>
    <w:rsid w:val="00FE486D"/>
    <w:rsid w:val="00FE4A75"/>
    <w:rsid w:val="00FE4DE0"/>
    <w:rsid w:val="00FE4DF5"/>
    <w:rsid w:val="00FE4E3A"/>
    <w:rsid w:val="00FE5281"/>
    <w:rsid w:val="00FE52E1"/>
    <w:rsid w:val="00FE549E"/>
    <w:rsid w:val="00FE5668"/>
    <w:rsid w:val="00FE56A8"/>
    <w:rsid w:val="00FE5A05"/>
    <w:rsid w:val="00FE5B78"/>
    <w:rsid w:val="00FE5D14"/>
    <w:rsid w:val="00FE5F4A"/>
    <w:rsid w:val="00FE6003"/>
    <w:rsid w:val="00FE6183"/>
    <w:rsid w:val="00FE619E"/>
    <w:rsid w:val="00FE6462"/>
    <w:rsid w:val="00FE6511"/>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55"/>
    <w:rsid w:val="00FF4044"/>
    <w:rsid w:val="00FF43F0"/>
    <w:rsid w:val="00FF465B"/>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D6A"/>
    <w:rsid w:val="00FF6F78"/>
    <w:rsid w:val="00FF6FBA"/>
    <w:rsid w:val="00FF7211"/>
    <w:rsid w:val="00FF7E98"/>
    <w:rsid w:val="0113B933"/>
    <w:rsid w:val="01A52EF5"/>
    <w:rsid w:val="01B1B4CC"/>
    <w:rsid w:val="0243569F"/>
    <w:rsid w:val="029B2A77"/>
    <w:rsid w:val="0362811F"/>
    <w:rsid w:val="0364808B"/>
    <w:rsid w:val="04BE09C5"/>
    <w:rsid w:val="04D5FFCA"/>
    <w:rsid w:val="058AE4B3"/>
    <w:rsid w:val="0619FF7F"/>
    <w:rsid w:val="06C3DC34"/>
    <w:rsid w:val="075062CA"/>
    <w:rsid w:val="07C9854B"/>
    <w:rsid w:val="082E6168"/>
    <w:rsid w:val="0872FAE7"/>
    <w:rsid w:val="087D8EB9"/>
    <w:rsid w:val="08DF9368"/>
    <w:rsid w:val="09F5A2EB"/>
    <w:rsid w:val="0A2E8851"/>
    <w:rsid w:val="0BDDDBC4"/>
    <w:rsid w:val="0C8A5BA5"/>
    <w:rsid w:val="0D662913"/>
    <w:rsid w:val="0D86E9BA"/>
    <w:rsid w:val="0DE466C5"/>
    <w:rsid w:val="0F113825"/>
    <w:rsid w:val="0F367AF2"/>
    <w:rsid w:val="0F617213"/>
    <w:rsid w:val="120AAF0E"/>
    <w:rsid w:val="12D16E52"/>
    <w:rsid w:val="13194084"/>
    <w:rsid w:val="15E75813"/>
    <w:rsid w:val="15EF58C8"/>
    <w:rsid w:val="1620271D"/>
    <w:rsid w:val="17E982DF"/>
    <w:rsid w:val="18B0C940"/>
    <w:rsid w:val="18F66B7A"/>
    <w:rsid w:val="190631B5"/>
    <w:rsid w:val="1952836F"/>
    <w:rsid w:val="19863312"/>
    <w:rsid w:val="1A0E4B2F"/>
    <w:rsid w:val="1ACC8BAE"/>
    <w:rsid w:val="1AFF89A8"/>
    <w:rsid w:val="1DFD291F"/>
    <w:rsid w:val="1F4B74AF"/>
    <w:rsid w:val="1FB29AC7"/>
    <w:rsid w:val="21E2B41F"/>
    <w:rsid w:val="22F8E6AA"/>
    <w:rsid w:val="23D3C632"/>
    <w:rsid w:val="254C9C0B"/>
    <w:rsid w:val="25B5A956"/>
    <w:rsid w:val="25F9DE73"/>
    <w:rsid w:val="261F801D"/>
    <w:rsid w:val="2623F28A"/>
    <w:rsid w:val="279F3E9B"/>
    <w:rsid w:val="289801E2"/>
    <w:rsid w:val="28F5BC76"/>
    <w:rsid w:val="29002353"/>
    <w:rsid w:val="292B1C20"/>
    <w:rsid w:val="29B7C53D"/>
    <w:rsid w:val="29BCAF87"/>
    <w:rsid w:val="29EB2F17"/>
    <w:rsid w:val="2BD6C430"/>
    <w:rsid w:val="2BF6CBB8"/>
    <w:rsid w:val="2CDB7CE7"/>
    <w:rsid w:val="2DCE8D44"/>
    <w:rsid w:val="2FB34E32"/>
    <w:rsid w:val="3017A512"/>
    <w:rsid w:val="304DCCC8"/>
    <w:rsid w:val="316BC699"/>
    <w:rsid w:val="326E9F4E"/>
    <w:rsid w:val="334869E6"/>
    <w:rsid w:val="339E3705"/>
    <w:rsid w:val="34177EE7"/>
    <w:rsid w:val="34A28266"/>
    <w:rsid w:val="34E43A47"/>
    <w:rsid w:val="352FA383"/>
    <w:rsid w:val="36BD46E2"/>
    <w:rsid w:val="36CBDC1F"/>
    <w:rsid w:val="37EEEDED"/>
    <w:rsid w:val="38742269"/>
    <w:rsid w:val="388AACDC"/>
    <w:rsid w:val="38BC7F50"/>
    <w:rsid w:val="39041F8C"/>
    <w:rsid w:val="39445538"/>
    <w:rsid w:val="39E31555"/>
    <w:rsid w:val="3BD5FC5C"/>
    <w:rsid w:val="3BDAD066"/>
    <w:rsid w:val="3D8FAEE1"/>
    <w:rsid w:val="3DE2B7D0"/>
    <w:rsid w:val="3E5C3165"/>
    <w:rsid w:val="3EBF6B3A"/>
    <w:rsid w:val="42687D43"/>
    <w:rsid w:val="4270EAFB"/>
    <w:rsid w:val="4271C6BC"/>
    <w:rsid w:val="433C8B10"/>
    <w:rsid w:val="43460001"/>
    <w:rsid w:val="43488938"/>
    <w:rsid w:val="43711F6B"/>
    <w:rsid w:val="43FFAE4D"/>
    <w:rsid w:val="44B8939C"/>
    <w:rsid w:val="44BDCE99"/>
    <w:rsid w:val="473BEE66"/>
    <w:rsid w:val="49016660"/>
    <w:rsid w:val="4907BF5D"/>
    <w:rsid w:val="49C28EED"/>
    <w:rsid w:val="4BB9EE51"/>
    <w:rsid w:val="4C81307E"/>
    <w:rsid w:val="4CF3FE66"/>
    <w:rsid w:val="4D1C347C"/>
    <w:rsid w:val="4E185B67"/>
    <w:rsid w:val="4EC28287"/>
    <w:rsid w:val="4F43972A"/>
    <w:rsid w:val="4FDCF092"/>
    <w:rsid w:val="527A9649"/>
    <w:rsid w:val="54E70ADB"/>
    <w:rsid w:val="5500F8BD"/>
    <w:rsid w:val="555B9B05"/>
    <w:rsid w:val="564FA517"/>
    <w:rsid w:val="578E851C"/>
    <w:rsid w:val="582CC282"/>
    <w:rsid w:val="590894CF"/>
    <w:rsid w:val="593043A2"/>
    <w:rsid w:val="5BF0F319"/>
    <w:rsid w:val="5C21788F"/>
    <w:rsid w:val="5CDF94FC"/>
    <w:rsid w:val="5D27E9F4"/>
    <w:rsid w:val="5D7DB4ED"/>
    <w:rsid w:val="5E02232F"/>
    <w:rsid w:val="5FE106BB"/>
    <w:rsid w:val="602706B1"/>
    <w:rsid w:val="617ABE25"/>
    <w:rsid w:val="62292A55"/>
    <w:rsid w:val="6331F1A8"/>
    <w:rsid w:val="633B1702"/>
    <w:rsid w:val="648F20B6"/>
    <w:rsid w:val="65569E34"/>
    <w:rsid w:val="65F3827F"/>
    <w:rsid w:val="66164ECC"/>
    <w:rsid w:val="666D5E81"/>
    <w:rsid w:val="66B98983"/>
    <w:rsid w:val="6755EAB6"/>
    <w:rsid w:val="684C5F69"/>
    <w:rsid w:val="688F3F86"/>
    <w:rsid w:val="68AB162D"/>
    <w:rsid w:val="68B04031"/>
    <w:rsid w:val="68E6D33A"/>
    <w:rsid w:val="69972C16"/>
    <w:rsid w:val="6CEA6EA9"/>
    <w:rsid w:val="6D6CC7F7"/>
    <w:rsid w:val="6D6F274B"/>
    <w:rsid w:val="6DA3B7DB"/>
    <w:rsid w:val="6E3697B5"/>
    <w:rsid w:val="6EAE0750"/>
    <w:rsid w:val="6EB0CED5"/>
    <w:rsid w:val="6F2A13FA"/>
    <w:rsid w:val="6F926776"/>
    <w:rsid w:val="6F96E7AA"/>
    <w:rsid w:val="70453B30"/>
    <w:rsid w:val="7049D7B1"/>
    <w:rsid w:val="715E158C"/>
    <w:rsid w:val="72F88CAE"/>
    <w:rsid w:val="74D51CE9"/>
    <w:rsid w:val="7578F8A4"/>
    <w:rsid w:val="75D73E06"/>
    <w:rsid w:val="760DA2E5"/>
    <w:rsid w:val="761F2A3D"/>
    <w:rsid w:val="76245451"/>
    <w:rsid w:val="774EB2E8"/>
    <w:rsid w:val="77C4ABF0"/>
    <w:rsid w:val="79770039"/>
    <w:rsid w:val="79CFEEC1"/>
    <w:rsid w:val="7AB3187A"/>
    <w:rsid w:val="7C4D1022"/>
    <w:rsid w:val="7CE9DB25"/>
    <w:rsid w:val="7D6E8597"/>
    <w:rsid w:val="7DBBBC6C"/>
    <w:rsid w:val="7DD5775B"/>
    <w:rsid w:val="7E218E8E"/>
    <w:rsid w:val="7E3C0A65"/>
    <w:rsid w:val="7E7A1409"/>
    <w:rsid w:val="7F7922E0"/>
    <w:rsid w:val="7F960282"/>
    <w:rsid w:val="7FC1FD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CBBF3"/>
  <w15:docId w15:val="{AE48B235-87DE-45F8-BC33-6209E581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AF5"/>
    <w:pPr>
      <w:spacing w:after="240"/>
      <w:jc w:val="both"/>
    </w:pPr>
    <w:rPr>
      <w:rFonts w:ascii="Courier New" w:hAnsi="Courier New"/>
      <w:sz w:val="24"/>
      <w:lang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4"/>
      </w:numPr>
      <w:spacing w:before="240"/>
      <w:outlineLvl w:val="0"/>
    </w:pPr>
    <w:rPr>
      <w:b/>
      <w:smallCaps/>
    </w:rPr>
  </w:style>
  <w:style w:type="paragraph" w:styleId="Heading2">
    <w:name w:val="heading 2"/>
    <w:basedOn w:val="Normal"/>
    <w:next w:val="Text2"/>
    <w:qFormat/>
    <w:pPr>
      <w:keepNext/>
      <w:numPr>
        <w:ilvl w:val="1"/>
        <w:numId w:val="4"/>
      </w:numPr>
      <w:outlineLvl w:val="1"/>
    </w:pPr>
    <w:rPr>
      <w:b/>
    </w:rPr>
  </w:style>
  <w:style w:type="paragraph" w:styleId="Heading3">
    <w:name w:val="heading 3"/>
    <w:basedOn w:val="Normal"/>
    <w:next w:val="Text3"/>
    <w:link w:val="Heading3Char"/>
    <w:qFormat/>
    <w:pPr>
      <w:keepNext/>
      <w:numPr>
        <w:ilvl w:val="2"/>
        <w:numId w:val="4"/>
      </w:numPr>
      <w:outlineLvl w:val="2"/>
    </w:pPr>
    <w:rPr>
      <w:i/>
    </w:rPr>
  </w:style>
  <w:style w:type="paragraph" w:styleId="Heading4">
    <w:name w:val="heading 4"/>
    <w:basedOn w:val="Normal"/>
    <w:next w:val="Text4"/>
    <w:qFormat/>
    <w:pPr>
      <w:keepNext/>
      <w:numPr>
        <w:ilvl w:val="3"/>
        <w:numId w:val="4"/>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5"/>
      </w:numPr>
    </w:pPr>
  </w:style>
  <w:style w:type="paragraph" w:styleId="ListBullet2">
    <w:name w:val="List Bullet 2"/>
    <w:basedOn w:val="Text2"/>
    <w:uiPriority w:val="99"/>
    <w:pPr>
      <w:numPr>
        <w:numId w:val="7"/>
      </w:numPr>
      <w:tabs>
        <w:tab w:val="clear" w:pos="2160"/>
      </w:tabs>
    </w:pPr>
  </w:style>
  <w:style w:type="paragraph" w:styleId="ListBullet3">
    <w:name w:val="List Bullet 3"/>
    <w:basedOn w:val="Text3"/>
    <w:pPr>
      <w:numPr>
        <w:numId w:val="8"/>
      </w:numPr>
      <w:tabs>
        <w:tab w:val="clear" w:pos="2302"/>
      </w:tabs>
    </w:pPr>
  </w:style>
  <w:style w:type="paragraph" w:styleId="ListBullet4">
    <w:name w:val="List Bullet 4"/>
    <w:basedOn w:val="Text4"/>
    <w:pPr>
      <w:numPr>
        <w:numId w:val="9"/>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4"/>
      </w:numPr>
    </w:pPr>
    <w:rPr>
      <w:rFonts w:ascii="Times New Roman" w:hAnsi="Times New Roman"/>
    </w:r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6"/>
      </w:numPr>
    </w:pPr>
  </w:style>
  <w:style w:type="paragraph" w:customStyle="1" w:styleId="ListDash">
    <w:name w:val="List Dash"/>
    <w:basedOn w:val="Normal"/>
    <w:link w:val="ListDashChar"/>
    <w:pPr>
      <w:numPr>
        <w:numId w:val="21"/>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9"/>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GB"/>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20"/>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uiPriority w:val="99"/>
    <w:rsid w:val="0092510C"/>
    <w:pPr>
      <w:spacing w:after="160" w:line="240" w:lineRule="exact"/>
      <w:jc w:val="left"/>
    </w:pPr>
    <w:rPr>
      <w:rFonts w:ascii="Tahoma" w:hAnsi="Tahoma"/>
      <w:sz w:val="20"/>
      <w:lang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qForma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qFormat/>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22"/>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3"/>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link w:val="Briefinglist1Char"/>
    <w:qFormat/>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4"/>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5"/>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 w:type="character" w:customStyle="1" w:styleId="Briefinglist1Char">
    <w:name w:val="Briefing list 1 Char"/>
    <w:link w:val="Briefinglist1"/>
    <w:qFormat/>
    <w:rsid w:val="009F2B2F"/>
    <w:rPr>
      <w:sz w:val="24"/>
      <w:szCs w:val="24"/>
    </w:rPr>
  </w:style>
  <w:style w:type="paragraph" w:customStyle="1" w:styleId="B0List">
    <w:name w:val="B0 List"/>
    <w:basedOn w:val="Normal"/>
    <w:rsid w:val="00D46C59"/>
    <w:pPr>
      <w:spacing w:after="120"/>
      <w:ind w:left="284" w:hanging="284"/>
    </w:pPr>
    <w:rPr>
      <w:rFonts w:ascii="Times New Roman" w:eastAsia="Calibri" w:hAnsi="Times New Roman"/>
      <w:szCs w:val="24"/>
      <w:lang w:eastAsia="en-US"/>
    </w:rPr>
  </w:style>
  <w:style w:type="character" w:styleId="Mention">
    <w:name w:val="Mention"/>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02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roparl.europa.eu/oeil/popups/ficheprocedure.do?lang=en&amp;reference=2016/2891(RS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9998F76B226B408389BD24B25049DA" ma:contentTypeVersion="6" ma:contentTypeDescription="Create a new document." ma:contentTypeScope="" ma:versionID="398574ba5d51fb78833149ce3d9df3a7">
  <xsd:schema xmlns:xsd="http://www.w3.org/2001/XMLSchema" xmlns:xs="http://www.w3.org/2001/XMLSchema" xmlns:p="http://schemas.microsoft.com/office/2006/metadata/properties" xmlns:ns2="0404e7c2-8d3a-4ada-a8b4-f0c307b12f88" xmlns:ns3="3d773fd8-5df6-4e26-b464-76be9c5c7a6f" targetNamespace="http://schemas.microsoft.com/office/2006/metadata/properties" ma:root="true" ma:fieldsID="ab7461111ce9ea2e660c0a6839e4beb3" ns2:_="" ns3:_="">
    <xsd:import namespace="0404e7c2-8d3a-4ada-a8b4-f0c307b12f88"/>
    <xsd:import namespace="3d773fd8-5df6-4e26-b464-76be9c5c7a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4e7c2-8d3a-4ada-a8b4-f0c307b12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773fd8-5df6-4e26-b464-76be9c5c7a6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59425-B64B-438E-BF7F-B63175A47CAA}">
  <ds:schemaRefs>
    <ds:schemaRef ds:uri="http://schemas.openxmlformats.org/officeDocument/2006/bibliography"/>
  </ds:schemaRefs>
</ds:datastoreItem>
</file>

<file path=customXml/itemProps2.xml><?xml version="1.0" encoding="utf-8"?>
<ds:datastoreItem xmlns:ds="http://schemas.openxmlformats.org/officeDocument/2006/customXml" ds:itemID="{3E1FFD00-87B6-4D93-A093-C0FC5C6AF4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BC40BC-786A-4DDE-8689-FC0FD08C8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4e7c2-8d3a-4ada-a8b4-f0c307b12f88"/>
    <ds:schemaRef ds:uri="3d773fd8-5df6-4e26-b464-76be9c5c7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580048-3FFC-4631-BDC9-C77D70228E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TEL.DOTM</Template>
  <TotalTime>8</TotalTime>
  <Pages>6</Pages>
  <Words>3034</Words>
  <Characters>16447</Characters>
  <Application>Microsoft Office Word</Application>
  <DocSecurity>0</DocSecurity>
  <PresentationFormat>Microsoft Word 8.0b</PresentationFormat>
  <Lines>249</Lines>
  <Paragraphs>42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dc:description/>
  <cp:lastModifiedBy>DELBAER Gerda (SG)</cp:lastModifiedBy>
  <cp:revision>3</cp:revision>
  <cp:lastPrinted>2017-11-25T14:32:00Z</cp:lastPrinted>
  <dcterms:created xsi:type="dcterms:W3CDTF">2024-06-06T13:26:00Z</dcterms:created>
  <dcterms:modified xsi:type="dcterms:W3CDTF">2024-06-11T08:34:00Z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ContentTypeId">
    <vt:lpwstr>0x0101009B9998F76B226B408389BD24B25049DA</vt:lpwstr>
  </property>
  <property fmtid="{D5CDD505-2E9C-101B-9397-08002B2CF9AE}" pid="14" name="_dlc_DocIdItemGuid">
    <vt:lpwstr>777ebf6e-53e8-4168-a02e-75078bc4ec80</vt:lpwstr>
  </property>
  <property fmtid="{D5CDD505-2E9C-101B-9397-08002B2CF9AE}" pid="15" name="MSIP_Label_6bd9ddd1-4d20-43f6-abfa-fc3c07406f94_Enabled">
    <vt:lpwstr>true</vt:lpwstr>
  </property>
  <property fmtid="{D5CDD505-2E9C-101B-9397-08002B2CF9AE}" pid="16" name="MSIP_Label_6bd9ddd1-4d20-43f6-abfa-fc3c07406f94_SetDate">
    <vt:lpwstr>2024-01-25T14:31:21Z</vt:lpwstr>
  </property>
  <property fmtid="{D5CDD505-2E9C-101B-9397-08002B2CF9AE}" pid="17" name="MSIP_Label_6bd9ddd1-4d20-43f6-abfa-fc3c07406f94_Method">
    <vt:lpwstr>Privileged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7e26f44d-34ca-4db4-a55c-51dc24186895</vt:lpwstr>
  </property>
  <property fmtid="{D5CDD505-2E9C-101B-9397-08002B2CF9AE}" pid="21" name="MSIP_Label_6bd9ddd1-4d20-43f6-abfa-fc3c07406f94_ContentBits">
    <vt:lpwstr>0</vt:lpwstr>
  </property>
</Properties>
</file>