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8458" w14:textId="77777777" w:rsidR="00F96E78" w:rsidRPr="00F96E78" w:rsidRDefault="00F96E78" w:rsidP="00F96E78">
      <w:pPr>
        <w:spacing w:after="600" w:line="240" w:lineRule="auto"/>
        <w:jc w:val="center"/>
        <w:rPr>
          <w:rFonts w:ascii="Times New Roman" w:eastAsia="Times New Roman" w:hAnsi="Times New Roman" w:cs="Times New Roman"/>
          <w:b/>
          <w:bCs/>
          <w:sz w:val="24"/>
          <w:szCs w:val="24"/>
          <w:lang w:val="en-GB" w:eastAsia="en-GB"/>
        </w:rPr>
      </w:pPr>
      <w:bookmarkStart w:id="0" w:name="Taiwan"/>
      <w:r w:rsidRPr="00F96E78">
        <w:rPr>
          <w:rFonts w:ascii="Times New Roman" w:eastAsia="Times New Roman" w:hAnsi="Times New Roman" w:cs="Times New Roman"/>
          <w:b/>
          <w:bCs/>
          <w:sz w:val="24"/>
          <w:szCs w:val="24"/>
          <w:lang w:val="en-GB" w:eastAsia="en-GB"/>
        </w:rPr>
        <w:t xml:space="preserve">Follow up to the European Parliament non-legislative resolution </w:t>
      </w:r>
      <w:bookmarkStart w:id="1" w:name="_Hlk146632301"/>
      <w:r w:rsidRPr="00F96E78">
        <w:rPr>
          <w:rFonts w:ascii="Times New Roman" w:eastAsia="Times New Roman" w:hAnsi="Times New Roman" w:cs="Times New Roman"/>
          <w:b/>
          <w:bCs/>
          <w:sz w:val="24"/>
          <w:szCs w:val="24"/>
          <w:lang w:val="en-GB" w:eastAsia="en-GB"/>
        </w:rPr>
        <w:t xml:space="preserve">on </w:t>
      </w:r>
      <w:bookmarkEnd w:id="1"/>
      <w:r w:rsidRPr="00F96E78">
        <w:rPr>
          <w:rFonts w:ascii="Times New Roman" w:eastAsia="Times New Roman" w:hAnsi="Times New Roman" w:cs="Times New Roman"/>
          <w:b/>
          <w:bCs/>
          <w:sz w:val="24"/>
          <w:szCs w:val="24"/>
          <w:lang w:val="en-GB" w:eastAsia="en-GB"/>
        </w:rPr>
        <w:t xml:space="preserve">EU-Taiwan trade and investment </w:t>
      </w:r>
      <w:proofErr w:type="gramStart"/>
      <w:r w:rsidRPr="00F96E78">
        <w:rPr>
          <w:rFonts w:ascii="Times New Roman" w:eastAsia="Times New Roman" w:hAnsi="Times New Roman" w:cs="Times New Roman"/>
          <w:b/>
          <w:bCs/>
          <w:sz w:val="24"/>
          <w:szCs w:val="24"/>
          <w:lang w:val="en-GB" w:eastAsia="en-GB"/>
        </w:rPr>
        <w:t>relations</w:t>
      </w:r>
      <w:proofErr w:type="gramEnd"/>
    </w:p>
    <w:bookmarkEnd w:id="0"/>
    <w:p w14:paraId="5ACAF377"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b/>
          <w:bCs/>
          <w:sz w:val="24"/>
          <w:szCs w:val="24"/>
          <w:lang w:val="en-GB"/>
        </w:rPr>
      </w:pPr>
      <w:r w:rsidRPr="00F96E78">
        <w:rPr>
          <w:rFonts w:ascii="Times New Roman" w:eastAsia="Times New Roman" w:hAnsi="Times New Roman" w:cs="Times New Roman"/>
          <w:b/>
          <w:bCs/>
          <w:sz w:val="24"/>
          <w:szCs w:val="24"/>
          <w:lang w:val="en-GB"/>
        </w:rPr>
        <w:t xml:space="preserve">Resolution tabled pursuant to Rule 105(2) of the European Parliament's Rules of </w:t>
      </w:r>
      <w:proofErr w:type="gramStart"/>
      <w:r w:rsidRPr="00F96E78">
        <w:rPr>
          <w:rFonts w:ascii="Times New Roman" w:eastAsia="Times New Roman" w:hAnsi="Times New Roman" w:cs="Times New Roman"/>
          <w:b/>
          <w:bCs/>
          <w:sz w:val="24"/>
          <w:szCs w:val="24"/>
          <w:lang w:val="en-GB"/>
        </w:rPr>
        <w:t>procedure</w:t>
      </w:r>
      <w:proofErr w:type="gramEnd"/>
      <w:r w:rsidRPr="00F96E78">
        <w:rPr>
          <w:rFonts w:ascii="Times New Roman" w:eastAsia="Times New Roman" w:hAnsi="Times New Roman" w:cs="Times New Roman"/>
          <w:b/>
          <w:bCs/>
          <w:sz w:val="24"/>
          <w:szCs w:val="24"/>
          <w:lang w:val="en-GB"/>
        </w:rPr>
        <w:t xml:space="preserve"> </w:t>
      </w:r>
    </w:p>
    <w:p w14:paraId="36EB11B8"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sz w:val="24"/>
          <w:szCs w:val="24"/>
          <w:lang w:val="en-GB"/>
        </w:rPr>
      </w:pPr>
      <w:r w:rsidRPr="00F96E78">
        <w:rPr>
          <w:rFonts w:ascii="Times New Roman" w:eastAsia="Times New Roman" w:hAnsi="Times New Roman" w:cs="Times New Roman"/>
          <w:b/>
          <w:bCs/>
          <w:sz w:val="24"/>
          <w:szCs w:val="24"/>
          <w:lang w:val="en-GB"/>
        </w:rPr>
        <w:t xml:space="preserve">Reference numbers: </w:t>
      </w:r>
      <w:r w:rsidRPr="00F96E78">
        <w:rPr>
          <w:rFonts w:ascii="Times New Roman" w:eastAsia="Times New Roman" w:hAnsi="Times New Roman" w:cs="Times New Roman"/>
          <w:sz w:val="24"/>
          <w:szCs w:val="24"/>
          <w:lang w:val="en-GB"/>
        </w:rPr>
        <w:t>2023/2829 (RSP) / B9-0498/2023 /</w:t>
      </w:r>
      <w:r w:rsidRPr="00F96E78">
        <w:rPr>
          <w:rFonts w:ascii="Times New Roman" w:eastAsia="Times New Roman" w:hAnsi="Times New Roman" w:cs="Times New Roman"/>
          <w:b/>
          <w:bCs/>
          <w:sz w:val="24"/>
          <w:szCs w:val="24"/>
          <w:lang w:val="en-GB"/>
        </w:rPr>
        <w:t xml:space="preserve"> </w:t>
      </w:r>
      <w:r w:rsidRPr="00F96E78">
        <w:rPr>
          <w:rFonts w:ascii="Times New Roman" w:eastAsia="Times New Roman" w:hAnsi="Times New Roman" w:cs="Times New Roman"/>
          <w:sz w:val="24"/>
          <w:szCs w:val="24"/>
          <w:lang w:val="en-GB"/>
        </w:rPr>
        <w:t>P9_</w:t>
      </w:r>
      <w:proofErr w:type="gramStart"/>
      <w:r w:rsidRPr="00F96E78">
        <w:rPr>
          <w:rFonts w:ascii="Times New Roman" w:eastAsia="Times New Roman" w:hAnsi="Times New Roman" w:cs="Times New Roman"/>
          <w:sz w:val="24"/>
          <w:szCs w:val="24"/>
          <w:lang w:val="en-GB"/>
        </w:rPr>
        <w:t>TA(</w:t>
      </w:r>
      <w:proofErr w:type="gramEnd"/>
      <w:r w:rsidRPr="00F96E78">
        <w:rPr>
          <w:rFonts w:ascii="Times New Roman" w:eastAsia="Times New Roman" w:hAnsi="Times New Roman" w:cs="Times New Roman"/>
          <w:sz w:val="24"/>
          <w:szCs w:val="24"/>
          <w:lang w:val="en-GB"/>
        </w:rPr>
        <w:t>2023)0472</w:t>
      </w:r>
    </w:p>
    <w:p w14:paraId="7313927D"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sz w:val="24"/>
          <w:szCs w:val="24"/>
          <w:lang w:val="en-GB"/>
        </w:rPr>
      </w:pPr>
      <w:r w:rsidRPr="00F96E78">
        <w:rPr>
          <w:rFonts w:ascii="Times New Roman" w:eastAsia="Times New Roman" w:hAnsi="Times New Roman" w:cs="Times New Roman"/>
          <w:b/>
          <w:bCs/>
          <w:sz w:val="24"/>
          <w:szCs w:val="24"/>
          <w:lang w:val="en-GB"/>
        </w:rPr>
        <w:t xml:space="preserve">Date of adoption of the resolution: </w:t>
      </w:r>
      <w:r w:rsidRPr="00F96E78">
        <w:rPr>
          <w:rFonts w:ascii="Times New Roman" w:eastAsia="Times New Roman" w:hAnsi="Times New Roman" w:cs="Times New Roman"/>
          <w:sz w:val="24"/>
          <w:szCs w:val="24"/>
          <w:lang w:val="en-GB"/>
        </w:rPr>
        <w:t>13 December 2023</w:t>
      </w:r>
    </w:p>
    <w:p w14:paraId="50E7ACA9"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b/>
          <w:bCs/>
          <w:sz w:val="24"/>
          <w:szCs w:val="24"/>
          <w:lang w:val="en-GB"/>
        </w:rPr>
      </w:pPr>
      <w:r w:rsidRPr="00F96E78">
        <w:rPr>
          <w:rFonts w:ascii="Times New Roman" w:eastAsia="Times New Roman" w:hAnsi="Times New Roman" w:cs="Times New Roman"/>
          <w:b/>
          <w:bCs/>
          <w:sz w:val="24"/>
          <w:szCs w:val="24"/>
          <w:lang w:val="en-GB"/>
        </w:rPr>
        <w:t>Competent Parliamentary Committee</w:t>
      </w:r>
      <w:r w:rsidRPr="00F96E78">
        <w:rPr>
          <w:rFonts w:ascii="Times New Roman" w:eastAsia="Calibri" w:hAnsi="Times New Roman" w:cs="Times New Roman"/>
          <w:b/>
          <w:bCs/>
          <w:sz w:val="24"/>
          <w:szCs w:val="24"/>
          <w:lang w:val="en-GB"/>
        </w:rPr>
        <w:t xml:space="preserve">: </w:t>
      </w:r>
      <w:r w:rsidRPr="00F96E78">
        <w:rPr>
          <w:rFonts w:ascii="Times New Roman" w:eastAsia="Times New Roman" w:hAnsi="Times New Roman" w:cs="Times New Roman"/>
          <w:sz w:val="24"/>
          <w:szCs w:val="24"/>
          <w:lang w:val="en-GB"/>
        </w:rPr>
        <w:t>Committee on International Trade (INTA)</w:t>
      </w:r>
    </w:p>
    <w:p w14:paraId="62D7B4EC"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b/>
          <w:bCs/>
          <w:sz w:val="24"/>
          <w:szCs w:val="24"/>
          <w:lang w:val="en-GB"/>
        </w:rPr>
      </w:pPr>
      <w:r w:rsidRPr="00F96E78">
        <w:rPr>
          <w:rFonts w:ascii="Times New Roman" w:eastAsia="Times New Roman" w:hAnsi="Times New Roman" w:cs="Times New Roman"/>
          <w:b/>
          <w:bCs/>
          <w:sz w:val="24"/>
          <w:szCs w:val="24"/>
          <w:lang w:val="en-GB"/>
        </w:rPr>
        <w:t xml:space="preserve">Brief analysis/assessment of the resolution and requests made in </w:t>
      </w:r>
      <w:proofErr w:type="gramStart"/>
      <w:r w:rsidRPr="00F96E78">
        <w:rPr>
          <w:rFonts w:ascii="Times New Roman" w:eastAsia="Times New Roman" w:hAnsi="Times New Roman" w:cs="Times New Roman"/>
          <w:b/>
          <w:bCs/>
          <w:sz w:val="24"/>
          <w:szCs w:val="24"/>
          <w:lang w:val="en-GB"/>
        </w:rPr>
        <w:t>it</w:t>
      </w:r>
      <w:proofErr w:type="gramEnd"/>
    </w:p>
    <w:p w14:paraId="0844A04C" w14:textId="77777777" w:rsidR="00F96E78" w:rsidRPr="00F96E78" w:rsidRDefault="00F96E78" w:rsidP="00F96E78">
      <w:pPr>
        <w:autoSpaceDE w:val="0"/>
        <w:autoSpaceDN w:val="0"/>
        <w:adjustRightInd w:val="0"/>
        <w:spacing w:after="120" w:line="240" w:lineRule="auto"/>
        <w:jc w:val="both"/>
        <w:rPr>
          <w:rFonts w:ascii="Times New Roman" w:eastAsia="Times New Roman" w:hAnsi="Times New Roman" w:cs="Times New Roman"/>
          <w:sz w:val="24"/>
          <w:szCs w:val="24"/>
          <w:lang w:val="en-GB" w:eastAsia="en-GB"/>
        </w:rPr>
      </w:pPr>
      <w:r w:rsidRPr="00F96E78">
        <w:rPr>
          <w:rFonts w:ascii="Times New Roman" w:eastAsia="Times New Roman" w:hAnsi="Times New Roman" w:cs="Times New Roman"/>
          <w:sz w:val="24"/>
          <w:szCs w:val="24"/>
          <w:lang w:val="en-GB" w:eastAsia="en-GB"/>
        </w:rPr>
        <w:t>The Parliament resolution is supportive of enhanced trade and investment relations with Taiwan. It emphasises the strategic importance of trade relations with Taiwan, including for the green and digital transitions due to Taiwan’s expertise in high-tech goods, and qualifies Taiwan as a “like-minded partner”. The resolution also welcomes “the agreed commitments in the second Trade and Investment Dialogue (TID) to foster bilateral trade relations and address key trade issues”, the organisation of the European Investment Forum, and EU-Taiwan alignment on sanctions against Russia.</w:t>
      </w:r>
    </w:p>
    <w:p w14:paraId="4BC63FED" w14:textId="77777777" w:rsidR="00F96E78" w:rsidRPr="00F96E78" w:rsidRDefault="00F96E78" w:rsidP="00F96E78">
      <w:pPr>
        <w:autoSpaceDE w:val="0"/>
        <w:autoSpaceDN w:val="0"/>
        <w:adjustRightInd w:val="0"/>
        <w:spacing w:after="120" w:line="240" w:lineRule="auto"/>
        <w:jc w:val="both"/>
        <w:rPr>
          <w:rFonts w:ascii="Times New Roman" w:eastAsia="Times New Roman" w:hAnsi="Times New Roman" w:cs="Times New Roman"/>
          <w:sz w:val="24"/>
          <w:szCs w:val="24"/>
          <w:lang w:val="en-GB" w:eastAsia="en-GB"/>
        </w:rPr>
      </w:pPr>
      <w:r w:rsidRPr="00F96E78">
        <w:rPr>
          <w:rFonts w:ascii="Times New Roman" w:eastAsia="Times New Roman" w:hAnsi="Times New Roman" w:cs="Times New Roman"/>
          <w:sz w:val="24"/>
          <w:szCs w:val="24"/>
          <w:lang w:val="en-GB" w:eastAsia="en-GB"/>
        </w:rPr>
        <w:t>The Parliament calls on the Commission to go “a step further than the TID” by launching negotiations on a bilateral investment agreement (BIA) and/ or a “resilient supply chain agreement” (RSCA). The resolution asks that work on an RSCA is undertaken “with a view to addressing the respective vulnerabilities in a mutually beneficial manner and aiming to preserve Taiwan’s security by strengthening its ‘silicon shield’”</w:t>
      </w:r>
      <w:r w:rsidRPr="00F96E78">
        <w:rPr>
          <w:rFonts w:ascii="Times New Roman" w:eastAsia="Times New Roman" w:hAnsi="Times New Roman" w:cs="Times New Roman"/>
          <w:sz w:val="24"/>
          <w:szCs w:val="24"/>
          <w:vertAlign w:val="superscript"/>
          <w:lang w:val="en-GB" w:eastAsia="en-GB"/>
        </w:rPr>
        <w:footnoteReference w:id="1"/>
      </w:r>
      <w:r w:rsidRPr="00F96E78">
        <w:rPr>
          <w:rFonts w:ascii="Times New Roman" w:eastAsia="Times New Roman" w:hAnsi="Times New Roman" w:cs="Times New Roman"/>
          <w:sz w:val="24"/>
          <w:szCs w:val="24"/>
          <w:lang w:val="en-GB" w:eastAsia="en-GB"/>
        </w:rPr>
        <w:t>.</w:t>
      </w:r>
    </w:p>
    <w:p w14:paraId="0F8F4968" w14:textId="77777777" w:rsidR="00F96E78" w:rsidRPr="00F96E78" w:rsidRDefault="00F96E78" w:rsidP="00F96E78">
      <w:pPr>
        <w:autoSpaceDE w:val="0"/>
        <w:autoSpaceDN w:val="0"/>
        <w:adjustRightInd w:val="0"/>
        <w:spacing w:after="120" w:line="240" w:lineRule="auto"/>
        <w:jc w:val="both"/>
        <w:rPr>
          <w:rFonts w:ascii="Times New Roman" w:eastAsia="Times New Roman" w:hAnsi="Times New Roman" w:cs="Times New Roman"/>
          <w:sz w:val="24"/>
          <w:szCs w:val="24"/>
          <w:lang w:val="en-GB" w:eastAsia="en-GB"/>
        </w:rPr>
      </w:pPr>
      <w:r w:rsidRPr="00F96E78">
        <w:rPr>
          <w:rFonts w:ascii="Times New Roman" w:eastAsia="Times New Roman" w:hAnsi="Times New Roman" w:cs="Times New Roman"/>
          <w:sz w:val="24"/>
          <w:szCs w:val="24"/>
          <w:lang w:val="en-GB" w:eastAsia="en-GB"/>
        </w:rPr>
        <w:t>In addition, there is a call on the Commission and/ or the European External Action Service (EEAS) to “develop a strategy for resilience”.</w:t>
      </w:r>
    </w:p>
    <w:p w14:paraId="06FFDA40" w14:textId="77777777" w:rsidR="00F96E78" w:rsidRPr="00F96E78" w:rsidRDefault="00F96E78" w:rsidP="00F96E78">
      <w:pPr>
        <w:autoSpaceDE w:val="0"/>
        <w:autoSpaceDN w:val="0"/>
        <w:adjustRightInd w:val="0"/>
        <w:spacing w:after="120" w:line="240" w:lineRule="auto"/>
        <w:jc w:val="both"/>
        <w:rPr>
          <w:rFonts w:ascii="Times New Roman" w:eastAsia="Times New Roman" w:hAnsi="Times New Roman" w:cs="Times New Roman"/>
          <w:sz w:val="24"/>
          <w:szCs w:val="24"/>
          <w:lang w:val="en-GB" w:eastAsia="en-GB"/>
        </w:rPr>
      </w:pPr>
      <w:r w:rsidRPr="00F96E78">
        <w:rPr>
          <w:rFonts w:ascii="Times New Roman" w:eastAsia="Times New Roman" w:hAnsi="Times New Roman" w:cs="Times New Roman"/>
          <w:sz w:val="24"/>
          <w:szCs w:val="24"/>
          <w:lang w:val="en-GB" w:eastAsia="en-GB"/>
        </w:rPr>
        <w:t>The Parliament “sees cooperation opportunities in the key field of critical infrastructure protection, as well as against economic coercion and for economic security”, and “calls for enhanced cooperation on digital trade, customs and cyber resilience, which are vital for safeguarding predictable and unhampered trade flows”. The resolution also calls on the Commission and Taiwan to expand cooperation in renewable energies and sustainable industries.</w:t>
      </w:r>
    </w:p>
    <w:p w14:paraId="206476F5" w14:textId="77777777" w:rsidR="00F96E78" w:rsidRPr="00F96E78" w:rsidRDefault="00F96E78" w:rsidP="00F96E78">
      <w:pPr>
        <w:autoSpaceDE w:val="0"/>
        <w:autoSpaceDN w:val="0"/>
        <w:adjustRightInd w:val="0"/>
        <w:spacing w:after="120" w:line="240" w:lineRule="auto"/>
        <w:jc w:val="both"/>
        <w:rPr>
          <w:rFonts w:ascii="Times New Roman" w:eastAsia="Times New Roman" w:hAnsi="Times New Roman" w:cs="Times New Roman"/>
          <w:sz w:val="24"/>
          <w:szCs w:val="24"/>
          <w:lang w:val="en-GB" w:eastAsia="en-GB"/>
        </w:rPr>
      </w:pPr>
      <w:r w:rsidRPr="00F96E78">
        <w:rPr>
          <w:rFonts w:ascii="Times New Roman" w:eastAsia="Times New Roman" w:hAnsi="Times New Roman" w:cs="Times New Roman"/>
          <w:sz w:val="24"/>
          <w:szCs w:val="24"/>
          <w:lang w:val="en-GB" w:eastAsia="en-GB"/>
        </w:rPr>
        <w:t>Finally, the resolution asks (1) the Commission and the Member States to “facilitate and encourage cultural and educational exchanges in order to promote scientific and academic collaborations”; (2) asks the Commission to “facilitate the participation of Taiwanese civil society representatives, companies and organisations in trade and economic cooperation”; and (3) urges the Commission and the EEAS to support Taiwan’s presence in multilateral and international fora.</w:t>
      </w:r>
    </w:p>
    <w:p w14:paraId="49346733" w14:textId="77777777" w:rsidR="00F96E78" w:rsidRPr="00F96E78" w:rsidRDefault="00F96E78" w:rsidP="00F96E78">
      <w:pPr>
        <w:numPr>
          <w:ilvl w:val="0"/>
          <w:numId w:val="1"/>
        </w:numPr>
        <w:spacing w:after="240" w:line="240" w:lineRule="auto"/>
        <w:ind w:left="567" w:hanging="567"/>
        <w:jc w:val="both"/>
        <w:rPr>
          <w:rFonts w:ascii="Times New Roman" w:eastAsia="Times New Roman" w:hAnsi="Times New Roman" w:cs="Times New Roman"/>
          <w:sz w:val="24"/>
          <w:szCs w:val="24"/>
          <w:lang w:val="en-GB"/>
        </w:rPr>
      </w:pPr>
      <w:r w:rsidRPr="00F96E78">
        <w:rPr>
          <w:rFonts w:ascii="Times New Roman" w:eastAsia="Times New Roman" w:hAnsi="Times New Roman" w:cs="Times New Roman"/>
          <w:b/>
          <w:bCs/>
          <w:sz w:val="24"/>
          <w:szCs w:val="24"/>
          <w:lang w:val="en-GB"/>
        </w:rPr>
        <w:lastRenderedPageBreak/>
        <w:t>Response to the requests and overview of the actions taken, or intended to be taken, by the Commission</w:t>
      </w:r>
      <w:r w:rsidRPr="00F96E78">
        <w:rPr>
          <w:rFonts w:ascii="Times New Roman" w:eastAsia="Times New Roman" w:hAnsi="Times New Roman" w:cs="Times New Roman"/>
          <w:sz w:val="24"/>
          <w:szCs w:val="24"/>
          <w:lang w:val="en-GB"/>
        </w:rPr>
        <w:t>:</w:t>
      </w:r>
    </w:p>
    <w:p w14:paraId="7A67F354" w14:textId="4E5523D2"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en-GB"/>
        </w:rPr>
        <w:t>The Commission welcomes the Parliament’s resolution. The Commission shares the same objective of continuing strong trade and investment relationship with Taiwan (</w:t>
      </w:r>
      <w:r w:rsidRPr="00F96E78">
        <w:rPr>
          <w:rFonts w:ascii="Times New Roman" w:eastAsia="Times New Roman" w:hAnsi="Times New Roman" w:cs="Times New Roman"/>
          <w:b/>
          <w:bCs/>
          <w:sz w:val="24"/>
          <w:szCs w:val="24"/>
          <w:lang w:val="en-GB" w:eastAsia="en-GB"/>
        </w:rPr>
        <w:t>paragraphs 1, 2, 5, 6, 7 and 8</w:t>
      </w:r>
      <w:r w:rsidRPr="00F96E78">
        <w:rPr>
          <w:rFonts w:ascii="Times New Roman" w:eastAsia="Times New Roman" w:hAnsi="Times New Roman" w:cs="Times New Roman"/>
          <w:sz w:val="24"/>
          <w:szCs w:val="24"/>
          <w:lang w:val="en-GB" w:eastAsia="en-GB"/>
        </w:rPr>
        <w:t xml:space="preserve">). </w:t>
      </w:r>
      <w:proofErr w:type="gramStart"/>
      <w:r w:rsidRPr="00F96E78">
        <w:rPr>
          <w:rFonts w:ascii="Times New Roman" w:eastAsia="Times New Roman" w:hAnsi="Times New Roman" w:cs="Times New Roman"/>
          <w:sz w:val="24"/>
          <w:szCs w:val="24"/>
          <w:lang w:val="en-GB" w:eastAsia="en-GB"/>
        </w:rPr>
        <w:t>With this in mind, the</w:t>
      </w:r>
      <w:proofErr w:type="gramEnd"/>
      <w:r w:rsidRPr="00F96E78">
        <w:rPr>
          <w:rFonts w:ascii="Times New Roman" w:eastAsia="Times New Roman" w:hAnsi="Times New Roman" w:cs="Times New Roman"/>
          <w:sz w:val="24"/>
          <w:szCs w:val="24"/>
          <w:lang w:val="en-GB" w:eastAsia="en-GB"/>
        </w:rPr>
        <w:t xml:space="preserve"> Commission has intensified its exchanges and multiplied its actions with a view to strengthening EU-Taiwan bilateral trade and investment ties and achieving a greater integration of the Union supply chains. As the resolution acknowledges, this has been done through the upgrade of the Trade and Investment Dialogue, co-chaired by DG Trade’s Director-General of the Directorate-General for Trade (DG TRADE), Sabine </w:t>
      </w:r>
      <w:proofErr w:type="spellStart"/>
      <w:r w:rsidRPr="00F96E78">
        <w:rPr>
          <w:rFonts w:ascii="Times New Roman" w:eastAsia="Times New Roman" w:hAnsi="Times New Roman" w:cs="Times New Roman"/>
          <w:sz w:val="24"/>
          <w:szCs w:val="24"/>
          <w:lang w:val="en-GB" w:eastAsia="en-GB"/>
        </w:rPr>
        <w:t>Weyand</w:t>
      </w:r>
      <w:proofErr w:type="spellEnd"/>
      <w:r w:rsidRPr="00F96E78">
        <w:rPr>
          <w:rFonts w:ascii="Times New Roman" w:eastAsia="Times New Roman" w:hAnsi="Times New Roman" w:cs="Times New Roman"/>
          <w:sz w:val="24"/>
          <w:szCs w:val="24"/>
          <w:lang w:val="en-GB" w:eastAsia="en-GB"/>
        </w:rPr>
        <w:t>, and Taiwan’s Minister of Economy, Wang Mei-</w:t>
      </w:r>
      <w:proofErr w:type="spellStart"/>
      <w:r w:rsidRPr="00F96E78">
        <w:rPr>
          <w:rFonts w:ascii="Times New Roman" w:eastAsia="Times New Roman" w:hAnsi="Times New Roman" w:cs="Times New Roman"/>
          <w:sz w:val="24"/>
          <w:szCs w:val="24"/>
          <w:lang w:val="en-GB" w:eastAsia="en-GB"/>
        </w:rPr>
        <w:t>hua</w:t>
      </w:r>
      <w:proofErr w:type="spellEnd"/>
      <w:r w:rsidRPr="00F96E78">
        <w:rPr>
          <w:rFonts w:ascii="Times New Roman" w:eastAsia="Times New Roman" w:hAnsi="Times New Roman" w:cs="Times New Roman"/>
          <w:sz w:val="24"/>
          <w:szCs w:val="24"/>
          <w:lang w:val="en-GB" w:eastAsia="en-GB"/>
        </w:rPr>
        <w:t xml:space="preserve">. In 2022, the Commission expanded the scope of the discussions from traditional market access topics, to </w:t>
      </w:r>
      <w:proofErr w:type="gramStart"/>
      <w:r w:rsidRPr="00F96E78">
        <w:rPr>
          <w:rFonts w:ascii="Times New Roman" w:eastAsia="Times New Roman" w:hAnsi="Times New Roman" w:cs="Times New Roman"/>
          <w:sz w:val="24"/>
          <w:szCs w:val="24"/>
          <w:lang w:val="en-GB" w:eastAsia="en-GB"/>
        </w:rPr>
        <w:t>cover also</w:t>
      </w:r>
      <w:proofErr w:type="gramEnd"/>
      <w:r w:rsidRPr="00F96E78">
        <w:rPr>
          <w:rFonts w:ascii="Times New Roman" w:eastAsia="Times New Roman" w:hAnsi="Times New Roman" w:cs="Times New Roman"/>
          <w:sz w:val="24"/>
          <w:szCs w:val="24"/>
          <w:lang w:val="en-GB" w:eastAsia="en-GB"/>
        </w:rPr>
        <w:t xml:space="preserve"> security-related aspects of trade (FDI screening, sanctions and export control of dual use goods), and research and innovation. In addition, the Commission set up a dedicated dialogue on semiconductors, which has been followed up through direct engagement with businesses and in the context of the export control and </w:t>
      </w:r>
      <w:r w:rsidRPr="002B4FAB">
        <w:rPr>
          <w:rFonts w:ascii="Times New Roman" w:eastAsia="Times New Roman" w:hAnsi="Times New Roman" w:cs="Times New Roman"/>
          <w:sz w:val="24"/>
          <w:szCs w:val="24"/>
          <w:lang w:val="en-IE" w:eastAsia="en-GB"/>
        </w:rPr>
        <w:t>sanctions dialogue.</w:t>
      </w:r>
      <w:r w:rsidRPr="002B4FAB">
        <w:rPr>
          <w:rFonts w:ascii="Times New Roman" w:eastAsia="Times New Roman" w:hAnsi="Times New Roman" w:cs="Times New Roman"/>
          <w:sz w:val="24"/>
          <w:szCs w:val="24"/>
          <w:lang w:val="en-IE" w:eastAsia="zh-CN"/>
        </w:rPr>
        <w:t xml:space="preserve"> </w:t>
      </w:r>
      <w:r w:rsidR="002B4FAB" w:rsidRPr="002B4FAB">
        <w:rPr>
          <w:rFonts w:ascii="Times New Roman" w:hAnsi="Times New Roman"/>
          <w:szCs w:val="24"/>
          <w:lang w:val="en-IE"/>
        </w:rPr>
        <w:t>Taiwan is a selected partner and active beneficiary of the Commission’s capacity building programme for the export dual-use goods and technologies (EUP2P programme), managed</w:t>
      </w:r>
      <w:r w:rsidR="002B4FAB">
        <w:rPr>
          <w:rFonts w:ascii="Times New Roman" w:hAnsi="Times New Roman"/>
          <w:szCs w:val="24"/>
        </w:rPr>
        <w:t xml:space="preserve"> by the </w:t>
      </w:r>
      <w:r w:rsidR="002B4FAB" w:rsidRPr="00E408A6">
        <w:rPr>
          <w:rFonts w:ascii="Times New Roman" w:hAnsi="Times New Roman"/>
          <w:szCs w:val="24"/>
        </w:rPr>
        <w:t xml:space="preserve">Service for Foreign Policy Instruments </w:t>
      </w:r>
      <w:r w:rsidR="002B4FAB">
        <w:rPr>
          <w:rFonts w:ascii="Times New Roman" w:hAnsi="Times New Roman"/>
          <w:szCs w:val="24"/>
        </w:rPr>
        <w:t>(FPI).</w:t>
      </w:r>
    </w:p>
    <w:p w14:paraId="00EEDBA0"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 xml:space="preserve">The 2023 TID took stock of the abovementioned work strands </w:t>
      </w:r>
      <w:proofErr w:type="gramStart"/>
      <w:r w:rsidRPr="00F96E78">
        <w:rPr>
          <w:rFonts w:ascii="Times New Roman" w:eastAsia="Times New Roman" w:hAnsi="Times New Roman" w:cs="Times New Roman"/>
          <w:sz w:val="24"/>
          <w:szCs w:val="24"/>
          <w:lang w:val="en-GB" w:eastAsia="zh-CN"/>
        </w:rPr>
        <w:t>and also</w:t>
      </w:r>
      <w:proofErr w:type="gramEnd"/>
      <w:r w:rsidRPr="00F96E78">
        <w:rPr>
          <w:rFonts w:ascii="Times New Roman" w:eastAsia="Times New Roman" w:hAnsi="Times New Roman" w:cs="Times New Roman"/>
          <w:sz w:val="24"/>
          <w:szCs w:val="24"/>
          <w:lang w:val="en-GB" w:eastAsia="zh-CN"/>
        </w:rPr>
        <w:t xml:space="preserve"> launched discussions on digital trade facilitation measures (</w:t>
      </w:r>
      <w:r w:rsidRPr="00F96E78">
        <w:rPr>
          <w:rFonts w:ascii="Times New Roman" w:eastAsia="Times New Roman" w:hAnsi="Times New Roman" w:cs="Times New Roman"/>
          <w:b/>
          <w:bCs/>
          <w:sz w:val="24"/>
          <w:szCs w:val="24"/>
          <w:lang w:val="en-GB" w:eastAsia="zh-CN"/>
        </w:rPr>
        <w:t>paragraphs 6, 7 and 11</w:t>
      </w:r>
      <w:r w:rsidRPr="00F96E78">
        <w:rPr>
          <w:rFonts w:ascii="Times New Roman" w:eastAsia="Times New Roman" w:hAnsi="Times New Roman" w:cs="Times New Roman"/>
          <w:sz w:val="24"/>
          <w:szCs w:val="24"/>
          <w:lang w:val="en-GB" w:eastAsia="zh-CN"/>
        </w:rPr>
        <w:t xml:space="preserve">), with a view to strengthening supply chain resiliency. </w:t>
      </w:r>
    </w:p>
    <w:p w14:paraId="666C3136"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Beyond trade, the discussions at the Industrial Policy Dialogue in June 2023 deepened cooperation across a broad range of areas, including the internationalisation of small and medium sized enterprises (SMEs), robotics, industrial skills, and research and innovation (</w:t>
      </w:r>
      <w:r w:rsidRPr="00F96E78">
        <w:rPr>
          <w:rFonts w:ascii="Times New Roman" w:eastAsia="Times New Roman" w:hAnsi="Times New Roman" w:cs="Times New Roman"/>
          <w:b/>
          <w:bCs/>
          <w:sz w:val="24"/>
          <w:szCs w:val="24"/>
          <w:lang w:val="en-GB" w:eastAsia="zh-CN"/>
        </w:rPr>
        <w:t>paragraphs</w:t>
      </w:r>
      <w:r w:rsidRPr="00F96E78">
        <w:rPr>
          <w:rFonts w:ascii="Times New Roman" w:eastAsia="Times New Roman" w:hAnsi="Times New Roman" w:cs="Times New Roman"/>
          <w:sz w:val="24"/>
          <w:szCs w:val="24"/>
          <w:lang w:val="en-GB" w:eastAsia="zh-CN"/>
        </w:rPr>
        <w:t xml:space="preserve"> </w:t>
      </w:r>
      <w:r w:rsidRPr="00F96E78">
        <w:rPr>
          <w:rFonts w:ascii="Times New Roman" w:eastAsia="Times New Roman" w:hAnsi="Times New Roman" w:cs="Times New Roman"/>
          <w:b/>
          <w:bCs/>
          <w:sz w:val="24"/>
          <w:szCs w:val="24"/>
          <w:lang w:val="en-GB" w:eastAsia="zh-CN"/>
        </w:rPr>
        <w:t>12 and 13</w:t>
      </w:r>
      <w:r w:rsidRPr="00F96E78">
        <w:rPr>
          <w:rFonts w:ascii="Times New Roman" w:eastAsia="Times New Roman" w:hAnsi="Times New Roman" w:cs="Times New Roman"/>
          <w:sz w:val="24"/>
          <w:szCs w:val="24"/>
          <w:lang w:val="en-GB" w:eastAsia="zh-CN"/>
        </w:rPr>
        <w:t>). Three strands of work are connected to these discussions:</w:t>
      </w:r>
    </w:p>
    <w:p w14:paraId="5FA8C546" w14:textId="77777777" w:rsidR="00F96E78" w:rsidRPr="00F96E78" w:rsidRDefault="00F96E78" w:rsidP="00F96E78">
      <w:pPr>
        <w:numPr>
          <w:ilvl w:val="0"/>
          <w:numId w:val="3"/>
        </w:numPr>
        <w:spacing w:after="120" w:line="240" w:lineRule="auto"/>
        <w:ind w:left="714" w:hanging="357"/>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 xml:space="preserve">First, both sides agreed to explore the expansion of the existing Commission’s Robotics Working Group to tackle topics such as artificial intelligence (AI) applications, </w:t>
      </w:r>
      <w:proofErr w:type="gramStart"/>
      <w:r w:rsidRPr="00F96E78">
        <w:rPr>
          <w:rFonts w:ascii="Times New Roman" w:eastAsia="Times New Roman" w:hAnsi="Times New Roman" w:cs="Times New Roman"/>
          <w:sz w:val="24"/>
          <w:szCs w:val="24"/>
          <w:lang w:val="en-GB" w:eastAsia="zh-CN"/>
        </w:rPr>
        <w:t>certification</w:t>
      </w:r>
      <w:proofErr w:type="gramEnd"/>
      <w:r w:rsidRPr="00F96E78">
        <w:rPr>
          <w:rFonts w:ascii="Times New Roman" w:eastAsia="Times New Roman" w:hAnsi="Times New Roman" w:cs="Times New Roman"/>
          <w:sz w:val="24"/>
          <w:szCs w:val="24"/>
          <w:lang w:val="en-GB" w:eastAsia="zh-CN"/>
        </w:rPr>
        <w:t xml:space="preserve"> and standardisation.</w:t>
      </w:r>
    </w:p>
    <w:p w14:paraId="68A4FFDE" w14:textId="77777777" w:rsidR="00F96E78" w:rsidRPr="00F96E78" w:rsidDel="00736EE7" w:rsidRDefault="00F96E78" w:rsidP="00F96E78">
      <w:pPr>
        <w:numPr>
          <w:ilvl w:val="0"/>
          <w:numId w:val="3"/>
        </w:numPr>
        <w:spacing w:after="120" w:line="240" w:lineRule="auto"/>
        <w:ind w:left="714" w:hanging="357"/>
        <w:jc w:val="both"/>
        <w:rPr>
          <w:rFonts w:ascii="Times New Roman" w:eastAsia="Times New Roman" w:hAnsi="Times New Roman" w:cs="Times New Roman"/>
          <w:sz w:val="24"/>
          <w:szCs w:val="24"/>
          <w:lang w:val="en-GB" w:eastAsia="zh-CN"/>
        </w:rPr>
      </w:pPr>
      <w:bookmarkStart w:id="2" w:name="_Hlk157013274"/>
      <w:r w:rsidRPr="00F96E78">
        <w:rPr>
          <w:rFonts w:ascii="Times New Roman" w:eastAsia="Times New Roman" w:hAnsi="Times New Roman" w:cs="Times New Roman"/>
          <w:sz w:val="24"/>
          <w:szCs w:val="24"/>
          <w:lang w:val="en-GB" w:eastAsia="zh-CN"/>
        </w:rPr>
        <w:t>Second, o</w:t>
      </w:r>
      <w:r w:rsidRPr="00F96E78" w:rsidDel="00736EE7">
        <w:rPr>
          <w:rFonts w:ascii="Times New Roman" w:eastAsia="Times New Roman" w:hAnsi="Times New Roman" w:cs="Times New Roman"/>
          <w:sz w:val="24"/>
          <w:szCs w:val="24"/>
          <w:lang w:val="en-GB" w:eastAsia="zh-CN"/>
        </w:rPr>
        <w:t>n</w:t>
      </w:r>
      <w:bookmarkStart w:id="3" w:name="_Hlk157015936"/>
      <w:r w:rsidRPr="00F96E78">
        <w:rPr>
          <w:rFonts w:ascii="Times New Roman" w:eastAsia="Times New Roman" w:hAnsi="Times New Roman" w:cs="Times New Roman"/>
          <w:sz w:val="24"/>
          <w:szCs w:val="24"/>
          <w:lang w:val="en-GB" w:eastAsia="zh-CN"/>
        </w:rPr>
        <w:t xml:space="preserve"> Research and Innovation, in line with the Global Approach to Research and Innovation and the EU strategy for cooperation in the Indo-Pacific, the Commission has launched a series of initiatives to increase the participation of Taiwan in the EU's key funding programme for research and innovation,</w:t>
      </w:r>
      <w:r w:rsidRPr="00F96E78">
        <w:rPr>
          <w:rFonts w:ascii="Times New Roman" w:eastAsia="Times New Roman" w:hAnsi="Times New Roman" w:cs="Times New Roman"/>
          <w:i/>
          <w:iCs/>
          <w:sz w:val="24"/>
          <w:szCs w:val="24"/>
          <w:lang w:val="en-GB" w:eastAsia="zh-CN"/>
        </w:rPr>
        <w:t xml:space="preserve"> </w:t>
      </w:r>
      <w:r w:rsidRPr="00F96E78">
        <w:rPr>
          <w:rFonts w:ascii="Times New Roman" w:eastAsia="Times New Roman" w:hAnsi="Times New Roman" w:cs="Times New Roman"/>
          <w:sz w:val="24"/>
          <w:szCs w:val="24"/>
          <w:lang w:val="en-GB" w:eastAsia="zh-CN"/>
        </w:rPr>
        <w:t>Horizon Europe, and to support technical cooperation among researchers and entities based in the EU and Taiwan</w:t>
      </w:r>
      <w:bookmarkEnd w:id="3"/>
      <w:r w:rsidRPr="00F96E78">
        <w:rPr>
          <w:rFonts w:ascii="Times New Roman" w:eastAsia="Times New Roman" w:hAnsi="Times New Roman" w:cs="Times New Roman"/>
          <w:sz w:val="24"/>
          <w:szCs w:val="24"/>
          <w:lang w:val="en-GB" w:eastAsia="zh-CN"/>
        </w:rPr>
        <w:t>.</w:t>
      </w:r>
    </w:p>
    <w:p w14:paraId="1CF8E801" w14:textId="55025A53" w:rsidR="00F96E78" w:rsidRPr="00F96E78" w:rsidRDefault="00F96E78" w:rsidP="00F96E78">
      <w:pPr>
        <w:numPr>
          <w:ilvl w:val="0"/>
          <w:numId w:val="3"/>
        </w:numPr>
        <w:spacing w:after="120" w:line="240" w:lineRule="auto"/>
        <w:ind w:left="714" w:hanging="357"/>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 xml:space="preserve">Third, work on SME internationalisation is supported by a Commission program that fosters exchange of knowledge and skills between Taiwanese and European SMEs: Erasmus for Young Entrepreneurs Global. This is an exchange programme which gives experienced entrepreneurs based in Taiwan the opportunity to collaborate with new entrepreneurs from the European Union for a period of up to 3 months. During the 3 months, entrepreneurs can exchange their expertise and can learn more about their respective markets. Through this programme, the Commission </w:t>
      </w:r>
      <w:proofErr w:type="gramStart"/>
      <w:r w:rsidRPr="00F96E78">
        <w:rPr>
          <w:rFonts w:ascii="Times New Roman" w:eastAsia="Times New Roman" w:hAnsi="Times New Roman" w:cs="Times New Roman"/>
          <w:sz w:val="24"/>
          <w:szCs w:val="24"/>
          <w:lang w:val="en-GB" w:eastAsia="zh-CN"/>
        </w:rPr>
        <w:t>is able to</w:t>
      </w:r>
      <w:proofErr w:type="gramEnd"/>
      <w:r w:rsidRPr="00F96E78">
        <w:rPr>
          <w:rFonts w:ascii="Times New Roman" w:eastAsia="Times New Roman" w:hAnsi="Times New Roman" w:cs="Times New Roman"/>
          <w:sz w:val="24"/>
          <w:szCs w:val="24"/>
          <w:lang w:val="en-GB" w:eastAsia="zh-CN"/>
        </w:rPr>
        <w:t xml:space="preserve"> facilitate the internationalization of European SMEs to markets outside of Europe which allows European entrepreneurs to learn new skills from non-EU experienced companies. The program has been running since 2021 and the current phase will end in March 2024.</w:t>
      </w:r>
      <w:bookmarkEnd w:id="2"/>
      <w:r w:rsidRPr="00F96E78">
        <w:rPr>
          <w:rFonts w:ascii="Times New Roman" w:eastAsia="Times New Roman" w:hAnsi="Times New Roman" w:cs="Times New Roman"/>
          <w:sz w:val="24"/>
          <w:szCs w:val="24"/>
          <w:lang w:val="en-GB" w:eastAsia="zh-CN"/>
        </w:rPr>
        <w:t xml:space="preserve"> </w:t>
      </w:r>
    </w:p>
    <w:p w14:paraId="13E9279D"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lastRenderedPageBreak/>
        <w:t>With respect to customs cooperation, there are exchanges between Taiwan’s authorities and the Directorate-General for Taxation and Customs Union (DG TAXUD) (</w:t>
      </w:r>
      <w:r w:rsidRPr="00F96E78">
        <w:rPr>
          <w:rFonts w:ascii="Times New Roman" w:eastAsia="Times New Roman" w:hAnsi="Times New Roman" w:cs="Times New Roman"/>
          <w:b/>
          <w:bCs/>
          <w:sz w:val="24"/>
          <w:szCs w:val="24"/>
          <w:lang w:val="en-GB" w:eastAsia="zh-CN"/>
        </w:rPr>
        <w:t>paragraph 11</w:t>
      </w:r>
      <w:r w:rsidRPr="00F96E78">
        <w:rPr>
          <w:rFonts w:ascii="Times New Roman" w:eastAsia="Times New Roman" w:hAnsi="Times New Roman" w:cs="Times New Roman"/>
          <w:sz w:val="24"/>
          <w:szCs w:val="24"/>
          <w:lang w:val="en-GB" w:eastAsia="zh-CN"/>
        </w:rPr>
        <w:t>). Moreover, there is an active engagement from DG TAXUD with Taiwan to discuss the Carbon Border Adjustment Mechanism with a view to ensuring a smooth implementation of reporting requirements (</w:t>
      </w:r>
      <w:r w:rsidRPr="00F96E78">
        <w:rPr>
          <w:rFonts w:ascii="Times New Roman" w:eastAsia="Times New Roman" w:hAnsi="Times New Roman" w:cs="Times New Roman"/>
          <w:b/>
          <w:bCs/>
          <w:sz w:val="24"/>
          <w:szCs w:val="24"/>
          <w:lang w:val="en-GB" w:eastAsia="zh-CN"/>
        </w:rPr>
        <w:t>paragraph 5</w:t>
      </w:r>
      <w:r w:rsidRPr="00F96E78">
        <w:rPr>
          <w:rFonts w:ascii="Times New Roman" w:eastAsia="Times New Roman" w:hAnsi="Times New Roman" w:cs="Times New Roman"/>
          <w:sz w:val="24"/>
          <w:szCs w:val="24"/>
          <w:lang w:val="en-GB" w:eastAsia="zh-CN"/>
        </w:rPr>
        <w:t>).</w:t>
      </w:r>
    </w:p>
    <w:p w14:paraId="72A15CD1"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bookmarkStart w:id="4" w:name="_Hlk157764722"/>
      <w:r w:rsidRPr="00F96E78">
        <w:rPr>
          <w:rFonts w:ascii="Times New Roman" w:eastAsia="Times New Roman" w:hAnsi="Times New Roman" w:cs="Times New Roman"/>
          <w:sz w:val="24"/>
          <w:szCs w:val="24"/>
          <w:lang w:val="en-GB" w:eastAsia="zh-CN"/>
        </w:rPr>
        <w:t>Furthermore, with respect to sustainability, the 5</w:t>
      </w:r>
      <w:r w:rsidRPr="00F96E78">
        <w:rPr>
          <w:rFonts w:ascii="Times New Roman" w:eastAsia="Times New Roman" w:hAnsi="Times New Roman" w:cs="Times New Roman"/>
          <w:sz w:val="24"/>
          <w:szCs w:val="24"/>
          <w:vertAlign w:val="superscript"/>
          <w:lang w:val="en-GB" w:eastAsia="zh-CN"/>
        </w:rPr>
        <w:t>th</w:t>
      </w:r>
      <w:r w:rsidRPr="00F96E78">
        <w:rPr>
          <w:rFonts w:ascii="Times New Roman" w:eastAsia="Times New Roman" w:hAnsi="Times New Roman" w:cs="Times New Roman"/>
          <w:sz w:val="24"/>
          <w:szCs w:val="24"/>
          <w:lang w:val="en-GB" w:eastAsia="zh-CN"/>
        </w:rPr>
        <w:t xml:space="preserve"> EU-Taiwan Labour Consultation on 29 and 30 June 2023 in Brussels, between Taiwan’s agencies and led by the Directorate-General for Employment, Social </w:t>
      </w:r>
      <w:proofErr w:type="gramStart"/>
      <w:r w:rsidRPr="00F96E78">
        <w:rPr>
          <w:rFonts w:ascii="Times New Roman" w:eastAsia="Times New Roman" w:hAnsi="Times New Roman" w:cs="Times New Roman"/>
          <w:sz w:val="24"/>
          <w:szCs w:val="24"/>
          <w:lang w:val="en-GB" w:eastAsia="zh-CN"/>
        </w:rPr>
        <w:t>Affairs</w:t>
      </w:r>
      <w:proofErr w:type="gramEnd"/>
      <w:r w:rsidRPr="00F96E78">
        <w:rPr>
          <w:rFonts w:ascii="Times New Roman" w:eastAsia="Times New Roman" w:hAnsi="Times New Roman" w:cs="Times New Roman"/>
          <w:sz w:val="24"/>
          <w:szCs w:val="24"/>
          <w:lang w:val="en-GB" w:eastAsia="zh-CN"/>
        </w:rPr>
        <w:t xml:space="preserve"> and Inclusion (DG EMPL), exchanged on the respective approaches to promoting decent work domestically and in global supply chains. The Commission may also enhance policy exchanges on the clean energy transition, notably the development of renewables, within the existing cooperation frameworks (</w:t>
      </w:r>
      <w:r w:rsidRPr="00F96E78">
        <w:rPr>
          <w:rFonts w:ascii="Times New Roman" w:eastAsia="Times New Roman" w:hAnsi="Times New Roman" w:cs="Times New Roman"/>
          <w:b/>
          <w:bCs/>
          <w:sz w:val="24"/>
          <w:szCs w:val="24"/>
          <w:lang w:val="en-GB" w:eastAsia="zh-CN"/>
        </w:rPr>
        <w:t>paragraph 5</w:t>
      </w:r>
      <w:r w:rsidRPr="00F96E78">
        <w:rPr>
          <w:rFonts w:ascii="Times New Roman" w:eastAsia="Times New Roman" w:hAnsi="Times New Roman" w:cs="Times New Roman"/>
          <w:sz w:val="24"/>
          <w:szCs w:val="24"/>
          <w:lang w:val="en-GB" w:eastAsia="zh-CN"/>
        </w:rPr>
        <w:t>).</w:t>
      </w:r>
      <w:bookmarkEnd w:id="4"/>
    </w:p>
    <w:p w14:paraId="3372B344"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Concerning critical infrastructure protection and cyber resilience (</w:t>
      </w:r>
      <w:r w:rsidRPr="00F96E78">
        <w:rPr>
          <w:rFonts w:ascii="Times New Roman" w:eastAsia="Times New Roman" w:hAnsi="Times New Roman" w:cs="Times New Roman"/>
          <w:b/>
          <w:bCs/>
          <w:sz w:val="24"/>
          <w:szCs w:val="24"/>
          <w:lang w:val="en-GB" w:eastAsia="zh-CN"/>
        </w:rPr>
        <w:t>paragraph 11</w:t>
      </w:r>
      <w:r w:rsidRPr="00F96E78">
        <w:rPr>
          <w:rFonts w:ascii="Times New Roman" w:eastAsia="Times New Roman" w:hAnsi="Times New Roman" w:cs="Times New Roman"/>
          <w:sz w:val="24"/>
          <w:szCs w:val="24"/>
          <w:lang w:val="en-GB" w:eastAsia="zh-CN"/>
        </w:rPr>
        <w:t>), representatives of Taiwan are regularly invited and participate in the annual Japan-US-EU Industrial Control Systems (ICS) Cybersecurity Week for the Indo-Pacific Region. The one-week program contributes to establishing a common understanding on ICS cybersecurity challenges and strengthening relationships, becoming a ground for further international cooperation in jointly addressing growing cybersecurity threats.</w:t>
      </w:r>
    </w:p>
    <w:p w14:paraId="5253FC90"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Cooperation in these areas both builds on and reinforces the Union’s existing supply chains and expands The Union’s trade and investment ecosystem into new areas.</w:t>
      </w:r>
    </w:p>
    <w:p w14:paraId="7B0CF760"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 xml:space="preserve">The Commission also notes that Taiwan has a rather developed personal data protection regime, with </w:t>
      </w:r>
      <w:proofErr w:type="gramStart"/>
      <w:r w:rsidRPr="00F96E78">
        <w:rPr>
          <w:rFonts w:ascii="Times New Roman" w:eastAsia="Times New Roman" w:hAnsi="Times New Roman" w:cs="Times New Roman"/>
          <w:sz w:val="24"/>
          <w:szCs w:val="24"/>
          <w:lang w:val="en-GB" w:eastAsia="zh-CN"/>
        </w:rPr>
        <w:t>a number of</w:t>
      </w:r>
      <w:proofErr w:type="gramEnd"/>
      <w:r w:rsidRPr="00F96E78">
        <w:rPr>
          <w:rFonts w:ascii="Times New Roman" w:eastAsia="Times New Roman" w:hAnsi="Times New Roman" w:cs="Times New Roman"/>
          <w:sz w:val="24"/>
          <w:szCs w:val="24"/>
          <w:lang w:val="en-GB" w:eastAsia="zh-CN"/>
        </w:rPr>
        <w:t xml:space="preserve"> similarities to that of the EU. Taiwan is in the process of establishing an independent data protection authority, which, once fully in place and operational, would make them a good candidate for a so-called adequacy decision. Those decisions recognize that a foreign jurisdiction offers a comparable level of data protection to that of the Union. When such a decision is adopted by the Commission, personal data can flow freely to that specific jurisdiction. This would facilitate cooperation on digital trade and contribute to enabling predictable and unhampered data free flows with trust (</w:t>
      </w:r>
      <w:r w:rsidRPr="00F96E78">
        <w:rPr>
          <w:rFonts w:ascii="Times New Roman" w:eastAsia="Times New Roman" w:hAnsi="Times New Roman" w:cs="Times New Roman"/>
          <w:b/>
          <w:bCs/>
          <w:sz w:val="24"/>
          <w:szCs w:val="24"/>
          <w:lang w:val="en-GB" w:eastAsia="zh-CN"/>
        </w:rPr>
        <w:t>paragraph 11</w:t>
      </w:r>
      <w:r w:rsidRPr="00F96E78">
        <w:rPr>
          <w:rFonts w:ascii="Times New Roman" w:eastAsia="Times New Roman" w:hAnsi="Times New Roman" w:cs="Times New Roman"/>
          <w:sz w:val="24"/>
          <w:szCs w:val="24"/>
          <w:lang w:val="en-GB" w:eastAsia="zh-CN"/>
        </w:rPr>
        <w:t>).</w:t>
      </w:r>
    </w:p>
    <w:p w14:paraId="3B7B20A0"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 xml:space="preserve">The Commission is committed to a continued result-driven collaboration with Taiwan in </w:t>
      </w:r>
      <w:proofErr w:type="gramStart"/>
      <w:r w:rsidRPr="00F96E78">
        <w:rPr>
          <w:rFonts w:ascii="Times New Roman" w:eastAsia="Times New Roman" w:hAnsi="Times New Roman" w:cs="Times New Roman"/>
          <w:sz w:val="24"/>
          <w:szCs w:val="24"/>
          <w:lang w:val="en-GB" w:eastAsia="zh-CN"/>
        </w:rPr>
        <w:t>all of</w:t>
      </w:r>
      <w:proofErr w:type="gramEnd"/>
      <w:r w:rsidRPr="00F96E78">
        <w:rPr>
          <w:rFonts w:ascii="Times New Roman" w:eastAsia="Times New Roman" w:hAnsi="Times New Roman" w:cs="Times New Roman"/>
          <w:sz w:val="24"/>
          <w:szCs w:val="24"/>
          <w:lang w:val="en-GB" w:eastAsia="zh-CN"/>
        </w:rPr>
        <w:t xml:space="preserve"> these areas. </w:t>
      </w:r>
    </w:p>
    <w:p w14:paraId="7D9F729D"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 xml:space="preserve">In addition to dialogues with Taiwan’s authorities, </w:t>
      </w:r>
      <w:proofErr w:type="gramStart"/>
      <w:r w:rsidRPr="00F96E78">
        <w:rPr>
          <w:rFonts w:ascii="Times New Roman" w:eastAsia="Times New Roman" w:hAnsi="Times New Roman" w:cs="Times New Roman"/>
          <w:sz w:val="24"/>
          <w:szCs w:val="24"/>
          <w:lang w:val="en-GB" w:eastAsia="zh-CN"/>
        </w:rPr>
        <w:t>in order to</w:t>
      </w:r>
      <w:proofErr w:type="gramEnd"/>
      <w:r w:rsidRPr="00F96E78">
        <w:rPr>
          <w:rFonts w:ascii="Times New Roman" w:eastAsia="Times New Roman" w:hAnsi="Times New Roman" w:cs="Times New Roman"/>
          <w:sz w:val="24"/>
          <w:szCs w:val="24"/>
          <w:lang w:val="en-GB" w:eastAsia="zh-CN"/>
        </w:rPr>
        <w:t xml:space="preserve"> strengthen the resiliency of the trade and investment relationship, the Commission organised two major business events in Taipei in 2023 (</w:t>
      </w:r>
      <w:r w:rsidRPr="00F96E78">
        <w:rPr>
          <w:rFonts w:ascii="Times New Roman" w:eastAsia="Times New Roman" w:hAnsi="Times New Roman" w:cs="Times New Roman"/>
          <w:b/>
          <w:bCs/>
          <w:sz w:val="24"/>
          <w:szCs w:val="24"/>
          <w:lang w:val="en-GB" w:eastAsia="zh-CN"/>
        </w:rPr>
        <w:t>paragraphs 5, 8, 12 and 13</w:t>
      </w:r>
      <w:r w:rsidRPr="00F96E78">
        <w:rPr>
          <w:rFonts w:ascii="Times New Roman" w:eastAsia="Times New Roman" w:hAnsi="Times New Roman" w:cs="Times New Roman"/>
          <w:sz w:val="24"/>
          <w:szCs w:val="24"/>
          <w:lang w:val="en-GB" w:eastAsia="zh-CN"/>
        </w:rPr>
        <w:t>).</w:t>
      </w:r>
    </w:p>
    <w:p w14:paraId="68FCDEBA"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First, the Commission organised the European Innovation Week from 29 May to 2 June 2023. It attracted over 1,600 participants in total. The EU delegation of over 150 people present in Taipei included over 11 European clusters from 13 EU Member States and COSME (programme for the Competitiveness of Enterprises and Small and Medium-sized Enterprises) countries, each representing hundreds of highly innovative SMEs and research institutes. Going forward, the aim is to organise the European Innovation Week every two years, with the next edition taking place in 2025.</w:t>
      </w:r>
    </w:p>
    <w:p w14:paraId="47F982C6" w14:textId="565075E4"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 xml:space="preserve">Second, the Commission organised the 4th European Investment Forum in Taipei on 12 October 2023, with a focus on semiconductors and the EU Chips Act. Top administration officials and industry representatives attended, including Taiwanese leader Tsai Ing-wen and </w:t>
      </w:r>
      <w:proofErr w:type="gramStart"/>
      <w:r w:rsidRPr="00F96E78">
        <w:rPr>
          <w:rFonts w:ascii="Times New Roman" w:eastAsia="Times New Roman" w:hAnsi="Times New Roman" w:cs="Times New Roman"/>
          <w:sz w:val="24"/>
          <w:szCs w:val="24"/>
          <w:lang w:val="en-GB" w:eastAsia="zh-CN"/>
        </w:rPr>
        <w:t>a number of</w:t>
      </w:r>
      <w:proofErr w:type="gramEnd"/>
      <w:r w:rsidRPr="00F96E78">
        <w:rPr>
          <w:rFonts w:ascii="Times New Roman" w:eastAsia="Times New Roman" w:hAnsi="Times New Roman" w:cs="Times New Roman"/>
          <w:sz w:val="24"/>
          <w:szCs w:val="24"/>
          <w:lang w:val="en-GB" w:eastAsia="zh-CN"/>
        </w:rPr>
        <w:t xml:space="preserve"> other high ranking Taiwanese officials.</w:t>
      </w:r>
    </w:p>
    <w:p w14:paraId="4A1AD3C6"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lastRenderedPageBreak/>
        <w:t>These events demonstrate that the Commission is taking a whole-of-Commission approach – in close cooperation with the EEAS and the European Economic and Trade Office (EETO) in Taipei – to strengthening mutual trade, the supply chain and investment partnership, and underline that the EU is already deepening its engagement with Taiwan across the board. The Commission believes that organising business-to-business events is a core part of boosting resilience. At a time of heightened geopolitical tensions, the Commission also believes it is one of the most effective ways of assisting the Taiwanese economy in concrete and useful ways.</w:t>
      </w:r>
    </w:p>
    <w:p w14:paraId="023B37B6"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The European Business and Regulatory Cooperation Programme (EBRC2), which is a FPI action adopted under the Partnership Instrument and steered by EETO, funded these and other events. Furthermore, increased emphasis on people-to-people exchanges under EU public diplomacy has also provided opportunities for engagement on migrant rights among representatives of EU and Taiwanese civil society (</w:t>
      </w:r>
      <w:r w:rsidRPr="00F96E78">
        <w:rPr>
          <w:rFonts w:ascii="Times New Roman" w:eastAsia="Times New Roman" w:hAnsi="Times New Roman" w:cs="Times New Roman"/>
          <w:b/>
          <w:sz w:val="24"/>
          <w:szCs w:val="24"/>
          <w:lang w:val="en-GB" w:eastAsia="zh-CN"/>
        </w:rPr>
        <w:t>paragraph 13</w:t>
      </w:r>
      <w:r w:rsidRPr="00F96E78">
        <w:rPr>
          <w:rFonts w:ascii="Times New Roman" w:eastAsia="Times New Roman" w:hAnsi="Times New Roman" w:cs="Times New Roman"/>
          <w:sz w:val="24"/>
          <w:szCs w:val="24"/>
          <w:lang w:val="en-GB" w:eastAsia="zh-CN"/>
        </w:rPr>
        <w:t>).</w:t>
      </w:r>
    </w:p>
    <w:p w14:paraId="34D5005C"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These are innovative forms of engagement that the Commission has developed with Taiwan with the objective to foster the resilience of the bilateral relations and the EU’s supply chains in key areas (</w:t>
      </w:r>
      <w:r w:rsidRPr="00F96E78">
        <w:rPr>
          <w:rFonts w:ascii="Times New Roman" w:eastAsia="Times New Roman" w:hAnsi="Times New Roman" w:cs="Times New Roman"/>
          <w:b/>
          <w:bCs/>
          <w:sz w:val="24"/>
          <w:szCs w:val="24"/>
          <w:lang w:val="en-GB" w:eastAsia="zh-CN"/>
        </w:rPr>
        <w:t>paragraphs 8, 9 and 10</w:t>
      </w:r>
      <w:r w:rsidRPr="00F96E78">
        <w:rPr>
          <w:rFonts w:ascii="Times New Roman" w:eastAsia="Times New Roman" w:hAnsi="Times New Roman" w:cs="Times New Roman"/>
          <w:sz w:val="24"/>
          <w:szCs w:val="24"/>
          <w:lang w:val="en-GB" w:eastAsia="zh-CN"/>
        </w:rPr>
        <w:t xml:space="preserve">). </w:t>
      </w:r>
    </w:p>
    <w:p w14:paraId="6A7B8896"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In parallel to these initiatives, The Commission continues to work on the most pressing market access issues, notably those related to offshore wind and agrifood (</w:t>
      </w:r>
      <w:r w:rsidRPr="00F96E78">
        <w:rPr>
          <w:rFonts w:ascii="Times New Roman" w:eastAsia="Times New Roman" w:hAnsi="Times New Roman" w:cs="Times New Roman"/>
          <w:b/>
          <w:bCs/>
          <w:sz w:val="24"/>
          <w:szCs w:val="24"/>
          <w:lang w:val="en-GB" w:eastAsia="zh-CN"/>
        </w:rPr>
        <w:t>paragraph 6</w:t>
      </w:r>
      <w:r w:rsidRPr="00F96E78">
        <w:rPr>
          <w:rFonts w:ascii="Times New Roman" w:eastAsia="Times New Roman" w:hAnsi="Times New Roman" w:cs="Times New Roman"/>
          <w:sz w:val="24"/>
          <w:szCs w:val="24"/>
          <w:lang w:val="en-GB" w:eastAsia="zh-CN"/>
        </w:rPr>
        <w:t xml:space="preserve">). </w:t>
      </w:r>
    </w:p>
    <w:p w14:paraId="2033D80F" w14:textId="77777777" w:rsidR="00F96E78" w:rsidRPr="00F96E78" w:rsidRDefault="00F96E78" w:rsidP="00F96E78">
      <w:pPr>
        <w:spacing w:after="120" w:line="240" w:lineRule="auto"/>
        <w:jc w:val="both"/>
        <w:rPr>
          <w:rFonts w:ascii="Times New Roman" w:eastAsia="Times New Roman" w:hAnsi="Times New Roman" w:cs="Times New Roman"/>
          <w:sz w:val="24"/>
          <w:szCs w:val="24"/>
          <w:lang w:val="en-GB" w:eastAsia="zh-CN"/>
        </w:rPr>
      </w:pPr>
      <w:r w:rsidRPr="00F96E78">
        <w:rPr>
          <w:rFonts w:ascii="Times New Roman" w:eastAsia="Times New Roman" w:hAnsi="Times New Roman" w:cs="Times New Roman"/>
          <w:sz w:val="24"/>
          <w:szCs w:val="24"/>
          <w:lang w:val="en-GB" w:eastAsia="zh-CN"/>
        </w:rPr>
        <w:t>Finally, in the framework of its One China Policy, the EU will continue to support Taiwan’s practical participation in specialized multilateral fora where statehood is not a requirement, especially where Taiwan’s technical competence and capacities bring an added value in areas related to the EU and global interests (</w:t>
      </w:r>
      <w:r w:rsidRPr="00F96E78">
        <w:rPr>
          <w:rFonts w:ascii="Times New Roman" w:eastAsia="Times New Roman" w:hAnsi="Times New Roman" w:cs="Times New Roman"/>
          <w:b/>
          <w:bCs/>
          <w:sz w:val="24"/>
          <w:szCs w:val="24"/>
          <w:lang w:val="en-GB" w:eastAsia="zh-CN"/>
        </w:rPr>
        <w:t>paragraph 14</w:t>
      </w:r>
      <w:r w:rsidRPr="00F96E78">
        <w:rPr>
          <w:rFonts w:ascii="Times New Roman" w:eastAsia="Times New Roman" w:hAnsi="Times New Roman" w:cs="Times New Roman"/>
          <w:sz w:val="24"/>
          <w:szCs w:val="24"/>
          <w:lang w:val="en-GB" w:eastAsia="zh-CN"/>
        </w:rPr>
        <w:t>).</w:t>
      </w:r>
    </w:p>
    <w:p w14:paraId="178E4F6D" w14:textId="6B5F9A0E" w:rsidR="00010A57" w:rsidRPr="00F96E78" w:rsidRDefault="00F96E78" w:rsidP="00F96E78">
      <w:pPr>
        <w:jc w:val="both"/>
      </w:pPr>
      <w:r w:rsidRPr="00F96E78">
        <w:rPr>
          <w:rFonts w:ascii="Times New Roman" w:eastAsia="Times New Roman" w:hAnsi="Times New Roman" w:cs="Times New Roman"/>
          <w:sz w:val="24"/>
          <w:szCs w:val="24"/>
          <w:lang w:val="en-GB" w:eastAsia="zh-CN"/>
        </w:rPr>
        <w:t>The Commission remains open to working with Taiwan and all relevant stakeholders, to deliver concrete benefits to both sides. The Commission looks forward to soon organizing the 2024 editions of the annual Trade and Industrial Policy Dialogues</w:t>
      </w:r>
      <w:r w:rsidR="007C2711">
        <w:rPr>
          <w:rFonts w:ascii="Times New Roman" w:eastAsia="Times New Roman" w:hAnsi="Times New Roman" w:cs="Times New Roman"/>
          <w:sz w:val="24"/>
          <w:szCs w:val="24"/>
          <w:lang w:val="en-GB" w:eastAsia="zh-CN"/>
        </w:rPr>
        <w:t>.</w:t>
      </w:r>
    </w:p>
    <w:sectPr w:rsidR="00010A57" w:rsidRPr="00F96E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E741" w14:textId="77777777" w:rsidR="00A119F6" w:rsidRDefault="00A119F6" w:rsidP="00F552FF">
      <w:pPr>
        <w:spacing w:after="0" w:line="240" w:lineRule="auto"/>
      </w:pPr>
      <w:r>
        <w:separator/>
      </w:r>
    </w:p>
  </w:endnote>
  <w:endnote w:type="continuationSeparator" w:id="0">
    <w:p w14:paraId="2A31B478" w14:textId="77777777" w:rsidR="00A119F6" w:rsidRDefault="00A119F6" w:rsidP="00F5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6AB2" w14:textId="77777777" w:rsidR="00C73616" w:rsidRDefault="00C73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447606"/>
      <w:docPartObj>
        <w:docPartGallery w:val="Page Numbers (Bottom of Page)"/>
        <w:docPartUnique/>
      </w:docPartObj>
    </w:sdtPr>
    <w:sdtEndPr>
      <w:rPr>
        <w:noProof/>
      </w:rPr>
    </w:sdtEndPr>
    <w:sdtContent>
      <w:p w14:paraId="509470C7" w14:textId="62CD9BFD" w:rsidR="00C73616" w:rsidRDefault="00C736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16EB4E" w14:textId="77777777" w:rsidR="00C73616" w:rsidRDefault="00C73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1918" w14:textId="77777777" w:rsidR="00C73616" w:rsidRDefault="00C7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B11C" w14:textId="77777777" w:rsidR="00A119F6" w:rsidRDefault="00A119F6" w:rsidP="00F552FF">
      <w:pPr>
        <w:spacing w:after="0" w:line="240" w:lineRule="auto"/>
      </w:pPr>
      <w:r>
        <w:separator/>
      </w:r>
    </w:p>
  </w:footnote>
  <w:footnote w:type="continuationSeparator" w:id="0">
    <w:p w14:paraId="1E030894" w14:textId="77777777" w:rsidR="00A119F6" w:rsidRDefault="00A119F6" w:rsidP="00F552FF">
      <w:pPr>
        <w:spacing w:after="0" w:line="240" w:lineRule="auto"/>
      </w:pPr>
      <w:r>
        <w:continuationSeparator/>
      </w:r>
    </w:p>
  </w:footnote>
  <w:footnote w:id="1">
    <w:p w14:paraId="5EAE3828" w14:textId="77777777" w:rsidR="00F96E78" w:rsidRPr="00AC2F6F" w:rsidRDefault="00F96E78" w:rsidP="00F96E78">
      <w:pPr>
        <w:pStyle w:val="FootnoteText"/>
        <w:spacing w:after="0"/>
        <w:ind w:left="357" w:hanging="357"/>
        <w:jc w:val="both"/>
        <w:rPr>
          <w:rFonts w:ascii="Times New Roman" w:hAnsi="Times New Roman"/>
          <w:lang w:val="en-US"/>
        </w:rPr>
      </w:pPr>
      <w:r w:rsidRPr="00F96E78">
        <w:rPr>
          <w:rStyle w:val="FootnoteReference"/>
          <w:rFonts w:ascii="Calibri" w:hAnsi="Calibri" w:cs="Calibri"/>
        </w:rPr>
        <w:footnoteRef/>
      </w:r>
      <w:r w:rsidRPr="00F96E78">
        <w:rPr>
          <w:rFonts w:ascii="Calibri" w:hAnsi="Calibri" w:cs="Calibri"/>
        </w:rPr>
        <w:t xml:space="preserve"> </w:t>
      </w:r>
      <w:r w:rsidRPr="00F96E78">
        <w:rPr>
          <w:rFonts w:ascii="Calibri" w:hAnsi="Calibri" w:cs="Calibri"/>
        </w:rPr>
        <w:tab/>
      </w:r>
      <w:r w:rsidRPr="00AC2F6F">
        <w:rPr>
          <w:rFonts w:ascii="Times New Roman" w:hAnsi="Times New Roman"/>
        </w:rPr>
        <w:t xml:space="preserve">Taiwan’s “silicon shield” refers to the idea that China would be deterred from invading or disrupting trade with Taiwan, because of the high reliance of China and the rest of the world on Taiwan’s advanced semiconductor exports.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671C" w14:textId="77777777" w:rsidR="00C73616" w:rsidRDefault="00C73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E765" w14:textId="77777777" w:rsidR="00C73616" w:rsidRDefault="00C73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0330" w14:textId="77777777" w:rsidR="00C73616" w:rsidRDefault="00C73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454F2"/>
    <w:multiLevelType w:val="hybridMultilevel"/>
    <w:tmpl w:val="4256544E"/>
    <w:lvl w:ilvl="0" w:tplc="BD6EA1EC">
      <w:start w:val="4"/>
      <w:numFmt w:val="bullet"/>
      <w:lvlText w:val="-"/>
      <w:lvlJc w:val="left"/>
      <w:pPr>
        <w:ind w:left="720" w:hanging="360"/>
      </w:pPr>
      <w:rPr>
        <w:rFonts w:ascii="Calibri" w:eastAsia="DengXi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1FA1BCB"/>
    <w:multiLevelType w:val="hybridMultilevel"/>
    <w:tmpl w:val="BA2E1486"/>
    <w:lvl w:ilvl="0" w:tplc="D402E43C">
      <w:start w:val="1"/>
      <w:numFmt w:val="decimal"/>
      <w:lvlText w:val="%1."/>
      <w:lvlJc w:val="left"/>
      <w:pPr>
        <w:ind w:left="720" w:hanging="360"/>
      </w:pPr>
      <w:rPr>
        <w:b/>
      </w:rPr>
    </w:lvl>
    <w:lvl w:ilvl="1" w:tplc="68ACEEBA">
      <w:start w:val="1"/>
      <w:numFmt w:val="lowerLetter"/>
      <w:lvlText w:val="%2."/>
      <w:lvlJc w:val="left"/>
      <w:pPr>
        <w:ind w:left="1440" w:hanging="360"/>
      </w:pPr>
    </w:lvl>
    <w:lvl w:ilvl="2" w:tplc="E324722E">
      <w:start w:val="1"/>
      <w:numFmt w:val="lowerRoman"/>
      <w:lvlText w:val="%3."/>
      <w:lvlJc w:val="right"/>
      <w:pPr>
        <w:ind w:left="2160" w:hanging="180"/>
      </w:pPr>
    </w:lvl>
    <w:lvl w:ilvl="3" w:tplc="CE74C876">
      <w:start w:val="1"/>
      <w:numFmt w:val="decimal"/>
      <w:lvlText w:val="%4."/>
      <w:lvlJc w:val="left"/>
      <w:pPr>
        <w:ind w:left="2880" w:hanging="360"/>
      </w:pPr>
    </w:lvl>
    <w:lvl w:ilvl="4" w:tplc="E176052E">
      <w:start w:val="1"/>
      <w:numFmt w:val="lowerLetter"/>
      <w:lvlText w:val="%5."/>
      <w:lvlJc w:val="left"/>
      <w:pPr>
        <w:ind w:left="3600" w:hanging="360"/>
      </w:pPr>
    </w:lvl>
    <w:lvl w:ilvl="5" w:tplc="FE583E5E">
      <w:start w:val="1"/>
      <w:numFmt w:val="lowerRoman"/>
      <w:lvlText w:val="%6."/>
      <w:lvlJc w:val="right"/>
      <w:pPr>
        <w:ind w:left="4320" w:hanging="180"/>
      </w:pPr>
    </w:lvl>
    <w:lvl w:ilvl="6" w:tplc="E642390A">
      <w:start w:val="1"/>
      <w:numFmt w:val="decimal"/>
      <w:lvlText w:val="%7."/>
      <w:lvlJc w:val="left"/>
      <w:pPr>
        <w:ind w:left="5040" w:hanging="360"/>
      </w:pPr>
    </w:lvl>
    <w:lvl w:ilvl="7" w:tplc="83E2FDF8">
      <w:start w:val="1"/>
      <w:numFmt w:val="lowerLetter"/>
      <w:lvlText w:val="%8."/>
      <w:lvlJc w:val="left"/>
      <w:pPr>
        <w:ind w:left="5760" w:hanging="360"/>
      </w:pPr>
    </w:lvl>
    <w:lvl w:ilvl="8" w:tplc="D122870C">
      <w:start w:val="1"/>
      <w:numFmt w:val="lowerRoman"/>
      <w:lvlText w:val="%9."/>
      <w:lvlJc w:val="right"/>
      <w:pPr>
        <w:ind w:left="6480" w:hanging="180"/>
      </w:pPr>
    </w:lvl>
  </w:abstractNum>
  <w:abstractNum w:abstractNumId="2" w15:restartNumberingAfterBreak="0">
    <w:nsid w:val="5E966500"/>
    <w:multiLevelType w:val="hybridMultilevel"/>
    <w:tmpl w:val="0A3ABD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62094680">
    <w:abstractNumId w:val="1"/>
  </w:num>
  <w:num w:numId="2" w16cid:durableId="458761204">
    <w:abstractNumId w:val="0"/>
  </w:num>
  <w:num w:numId="3" w16cid:durableId="2071804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6C"/>
    <w:rsid w:val="00010A57"/>
    <w:rsid w:val="000232A8"/>
    <w:rsid w:val="00031E43"/>
    <w:rsid w:val="000369A7"/>
    <w:rsid w:val="000635C6"/>
    <w:rsid w:val="00072A68"/>
    <w:rsid w:val="00085203"/>
    <w:rsid w:val="000A797E"/>
    <w:rsid w:val="000B4EE5"/>
    <w:rsid w:val="000C3122"/>
    <w:rsid w:val="000D4E49"/>
    <w:rsid w:val="000D5809"/>
    <w:rsid w:val="00137FE3"/>
    <w:rsid w:val="00157A29"/>
    <w:rsid w:val="00192D63"/>
    <w:rsid w:val="001B04DB"/>
    <w:rsid w:val="0020766C"/>
    <w:rsid w:val="0027413B"/>
    <w:rsid w:val="00296B34"/>
    <w:rsid w:val="002B4FAB"/>
    <w:rsid w:val="0035493D"/>
    <w:rsid w:val="003639E8"/>
    <w:rsid w:val="0037559F"/>
    <w:rsid w:val="004224DA"/>
    <w:rsid w:val="00422D31"/>
    <w:rsid w:val="00444FA3"/>
    <w:rsid w:val="00490EE7"/>
    <w:rsid w:val="004C005A"/>
    <w:rsid w:val="004D12CD"/>
    <w:rsid w:val="004D42F2"/>
    <w:rsid w:val="004E0BEB"/>
    <w:rsid w:val="004E5529"/>
    <w:rsid w:val="00520799"/>
    <w:rsid w:val="00527683"/>
    <w:rsid w:val="00561F92"/>
    <w:rsid w:val="00590D5C"/>
    <w:rsid w:val="005A308E"/>
    <w:rsid w:val="005A61B4"/>
    <w:rsid w:val="00606BE9"/>
    <w:rsid w:val="006253F5"/>
    <w:rsid w:val="006660B1"/>
    <w:rsid w:val="006B5141"/>
    <w:rsid w:val="006D09CC"/>
    <w:rsid w:val="006E68C0"/>
    <w:rsid w:val="00720EF7"/>
    <w:rsid w:val="00736EE7"/>
    <w:rsid w:val="00752C7F"/>
    <w:rsid w:val="0075430F"/>
    <w:rsid w:val="007558F2"/>
    <w:rsid w:val="0076620C"/>
    <w:rsid w:val="007C1DE6"/>
    <w:rsid w:val="007C2711"/>
    <w:rsid w:val="007F71C5"/>
    <w:rsid w:val="008A02E5"/>
    <w:rsid w:val="008B516D"/>
    <w:rsid w:val="008C6374"/>
    <w:rsid w:val="008F0F20"/>
    <w:rsid w:val="00902533"/>
    <w:rsid w:val="00911F52"/>
    <w:rsid w:val="00961CCD"/>
    <w:rsid w:val="009710E0"/>
    <w:rsid w:val="009872FF"/>
    <w:rsid w:val="00995571"/>
    <w:rsid w:val="009B6CED"/>
    <w:rsid w:val="009D4574"/>
    <w:rsid w:val="009D77AD"/>
    <w:rsid w:val="00A119F6"/>
    <w:rsid w:val="00A44B84"/>
    <w:rsid w:val="00A81C6F"/>
    <w:rsid w:val="00AB09D7"/>
    <w:rsid w:val="00AC2F6F"/>
    <w:rsid w:val="00B02AC9"/>
    <w:rsid w:val="00B02B4C"/>
    <w:rsid w:val="00B266D2"/>
    <w:rsid w:val="00B67A03"/>
    <w:rsid w:val="00B77441"/>
    <w:rsid w:val="00BF616C"/>
    <w:rsid w:val="00C06EEC"/>
    <w:rsid w:val="00C66BEA"/>
    <w:rsid w:val="00C73616"/>
    <w:rsid w:val="00C9079D"/>
    <w:rsid w:val="00CC79FC"/>
    <w:rsid w:val="00D37A2F"/>
    <w:rsid w:val="00D93166"/>
    <w:rsid w:val="00D9582D"/>
    <w:rsid w:val="00DC08FE"/>
    <w:rsid w:val="00E00DC7"/>
    <w:rsid w:val="00E02EF2"/>
    <w:rsid w:val="00E408A6"/>
    <w:rsid w:val="00E707F2"/>
    <w:rsid w:val="00E9070E"/>
    <w:rsid w:val="00F013EF"/>
    <w:rsid w:val="00F33144"/>
    <w:rsid w:val="00F552FF"/>
    <w:rsid w:val="00F56BD0"/>
    <w:rsid w:val="00F64F53"/>
    <w:rsid w:val="00F66EED"/>
    <w:rsid w:val="00F83EB3"/>
    <w:rsid w:val="00F96E78"/>
    <w:rsid w:val="00FA3A62"/>
    <w:rsid w:val="00FB243D"/>
    <w:rsid w:val="00FF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751A5"/>
  <w15:chartTrackingRefBased/>
  <w15:docId w15:val="{89B4E669-80F6-4FCB-B2A6-7A04CE97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6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66C"/>
    <w:pPr>
      <w:ind w:left="720"/>
      <w:contextualSpacing/>
    </w:pPr>
  </w:style>
  <w:style w:type="character" w:styleId="CommentReference">
    <w:name w:val="annotation reference"/>
    <w:basedOn w:val="DefaultParagraphFont"/>
    <w:uiPriority w:val="99"/>
    <w:semiHidden/>
    <w:unhideWhenUsed/>
    <w:rsid w:val="00192D63"/>
    <w:rPr>
      <w:sz w:val="16"/>
      <w:szCs w:val="16"/>
    </w:rPr>
  </w:style>
  <w:style w:type="paragraph" w:styleId="CommentText">
    <w:name w:val="annotation text"/>
    <w:basedOn w:val="Normal"/>
    <w:link w:val="CommentTextChar"/>
    <w:uiPriority w:val="99"/>
    <w:unhideWhenUsed/>
    <w:rsid w:val="00192D63"/>
    <w:pPr>
      <w:spacing w:line="240" w:lineRule="auto"/>
    </w:pPr>
    <w:rPr>
      <w:sz w:val="20"/>
      <w:szCs w:val="20"/>
    </w:rPr>
  </w:style>
  <w:style w:type="character" w:customStyle="1" w:styleId="CommentTextChar">
    <w:name w:val="Comment Text Char"/>
    <w:basedOn w:val="DefaultParagraphFont"/>
    <w:link w:val="CommentText"/>
    <w:uiPriority w:val="99"/>
    <w:rsid w:val="00192D63"/>
    <w:rPr>
      <w:kern w:val="0"/>
      <w:sz w:val="20"/>
      <w:szCs w:val="20"/>
      <w14:ligatures w14:val="none"/>
    </w:rPr>
  </w:style>
  <w:style w:type="paragraph" w:styleId="FootnoteText">
    <w:name w:val="footnote text"/>
    <w:basedOn w:val="Normal"/>
    <w:link w:val="FootnoteTextChar"/>
    <w:rsid w:val="00F552FF"/>
    <w:pPr>
      <w:spacing w:after="240" w:line="240" w:lineRule="auto"/>
    </w:pPr>
    <w:rPr>
      <w:rFonts w:ascii="Arial" w:eastAsia="Times New Roman" w:hAnsi="Arial" w:cs="Times New Roman"/>
      <w:sz w:val="20"/>
      <w:szCs w:val="20"/>
      <w:lang w:val="en-GB" w:eastAsia="en-GB"/>
    </w:rPr>
  </w:style>
  <w:style w:type="character" w:customStyle="1" w:styleId="FootnoteTextChar">
    <w:name w:val="Footnote Text Char"/>
    <w:basedOn w:val="DefaultParagraphFont"/>
    <w:link w:val="FootnoteText"/>
    <w:rsid w:val="00F552FF"/>
    <w:rPr>
      <w:rFonts w:ascii="Arial" w:eastAsia="Times New Roman" w:hAnsi="Arial" w:cs="Times New Roman"/>
      <w:kern w:val="0"/>
      <w:sz w:val="20"/>
      <w:szCs w:val="20"/>
      <w:lang w:val="en-GB" w:eastAsia="en-GB"/>
      <w14:ligatures w14:val="none"/>
    </w:rPr>
  </w:style>
  <w:style w:type="character" w:styleId="FootnoteReference">
    <w:name w:val="footnote reference"/>
    <w:aliases w:val="Footnote symbol,Footnote,RSC_WP (footnote reference),number,Footnote reference number,note TESI,-E Fußnotenzeichen,SUPERS,Times 10 Point,Exposant 3 Point,Fußnotenzeichen, Exposant 3 Point,Footnote number,Footnote Reference Number,fr,o"/>
    <w:link w:val="FootnotesymbolCarZchn"/>
    <w:uiPriority w:val="99"/>
    <w:qFormat/>
    <w:rsid w:val="00F552FF"/>
    <w:rPr>
      <w:rFonts w:ascii="Arial" w:hAnsi="Arial"/>
      <w:b/>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F552FF"/>
    <w:pPr>
      <w:spacing w:line="240" w:lineRule="exact"/>
      <w:jc w:val="both"/>
    </w:pPr>
    <w:rPr>
      <w:rFonts w:ascii="Arial" w:hAnsi="Arial"/>
      <w:b/>
      <w:kern w:val="2"/>
      <w:vertAlign w:val="superscript"/>
      <w14:ligatures w14:val="standardContextual"/>
    </w:rPr>
  </w:style>
  <w:style w:type="paragraph" w:styleId="CommentSubject">
    <w:name w:val="annotation subject"/>
    <w:basedOn w:val="CommentText"/>
    <w:next w:val="CommentText"/>
    <w:link w:val="CommentSubjectChar"/>
    <w:uiPriority w:val="99"/>
    <w:semiHidden/>
    <w:unhideWhenUsed/>
    <w:rsid w:val="004E0BEB"/>
    <w:rPr>
      <w:b/>
      <w:bCs/>
    </w:rPr>
  </w:style>
  <w:style w:type="character" w:customStyle="1" w:styleId="CommentSubjectChar">
    <w:name w:val="Comment Subject Char"/>
    <w:basedOn w:val="CommentTextChar"/>
    <w:link w:val="CommentSubject"/>
    <w:uiPriority w:val="99"/>
    <w:semiHidden/>
    <w:rsid w:val="004E0BEB"/>
    <w:rPr>
      <w:b/>
      <w:bCs/>
      <w:kern w:val="0"/>
      <w:sz w:val="20"/>
      <w:szCs w:val="20"/>
      <w14:ligatures w14:val="none"/>
    </w:rPr>
  </w:style>
  <w:style w:type="paragraph" w:styleId="Revision">
    <w:name w:val="Revision"/>
    <w:hidden/>
    <w:uiPriority w:val="99"/>
    <w:semiHidden/>
    <w:rsid w:val="004E0BEB"/>
    <w:pPr>
      <w:spacing w:after="0" w:line="240" w:lineRule="auto"/>
    </w:pPr>
    <w:rPr>
      <w:kern w:val="0"/>
      <w14:ligatures w14:val="none"/>
    </w:rPr>
  </w:style>
  <w:style w:type="paragraph" w:styleId="Header">
    <w:name w:val="header"/>
    <w:basedOn w:val="Normal"/>
    <w:link w:val="HeaderChar"/>
    <w:uiPriority w:val="99"/>
    <w:unhideWhenUsed/>
    <w:rsid w:val="00C73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616"/>
    <w:rPr>
      <w:kern w:val="0"/>
      <w14:ligatures w14:val="none"/>
    </w:rPr>
  </w:style>
  <w:style w:type="paragraph" w:styleId="Footer">
    <w:name w:val="footer"/>
    <w:basedOn w:val="Normal"/>
    <w:link w:val="FooterChar"/>
    <w:uiPriority w:val="99"/>
    <w:unhideWhenUsed/>
    <w:rsid w:val="00C73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61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28654">
      <w:bodyDiv w:val="1"/>
      <w:marLeft w:val="0"/>
      <w:marRight w:val="0"/>
      <w:marTop w:val="0"/>
      <w:marBottom w:val="0"/>
      <w:divBdr>
        <w:top w:val="none" w:sz="0" w:space="0" w:color="auto"/>
        <w:left w:val="none" w:sz="0" w:space="0" w:color="auto"/>
        <w:bottom w:val="none" w:sz="0" w:space="0" w:color="auto"/>
        <w:right w:val="none" w:sz="0" w:space="0" w:color="auto"/>
      </w:divBdr>
    </w:div>
    <w:div w:id="1160999724">
      <w:bodyDiv w:val="1"/>
      <w:marLeft w:val="0"/>
      <w:marRight w:val="0"/>
      <w:marTop w:val="0"/>
      <w:marBottom w:val="0"/>
      <w:divBdr>
        <w:top w:val="none" w:sz="0" w:space="0" w:color="auto"/>
        <w:left w:val="none" w:sz="0" w:space="0" w:color="auto"/>
        <w:bottom w:val="none" w:sz="0" w:space="0" w:color="auto"/>
        <w:right w:val="none" w:sz="0" w:space="0" w:color="auto"/>
      </w:divBdr>
    </w:div>
    <w:div w:id="20247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52CBB-D214-4BF7-B801-18EE3D5F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1695</Words>
  <Characters>9837</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GUSTAFSSON Marcus (TRADE)</dc:creator>
  <cp:keywords/>
  <dc:description/>
  <cp:lastModifiedBy>ALMEIDA Maria Jose (SG)</cp:lastModifiedBy>
  <cp:revision>7</cp:revision>
  <dcterms:created xsi:type="dcterms:W3CDTF">2024-03-15T16:42:00Z</dcterms:created>
  <dcterms:modified xsi:type="dcterms:W3CDTF">2024-03-21T17:03:00Z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2024-01-25T19:43:31Z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e3f89d4d-89e5-421b-bde2-f029f9b90c6c</vt:lpwstr>
  </property>
  <property fmtid="{D5CDD505-2E9C-101B-9397-08002B2CF9AE}" pid="8" name="MSIP_Label_6bd9ddd1-4d20-43f6-abfa-fc3c07406f94_ContentBits">
    <vt:lpwstr>0</vt:lpwstr>
  </property>
</Properties>
</file>