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8458" w14:textId="77777777" w:rsidR="00F96E78" w:rsidRPr="00F96E78" w:rsidRDefault="00F96E78" w:rsidP="00F96E78">
      <w:pPr>
        <w:spacing w:after="600" w:line="240" w:lineRule="auto"/>
        <w:jc w:val="center"/>
        <w:rPr>
          <w:rFonts w:ascii="Times New Roman" w:eastAsia="Times New Roman" w:hAnsi="Times New Roman" w:cs="Times New Roman"/>
          <w:b/>
          <w:bCs/>
          <w:sz w:val="24"/>
          <w:szCs w:val="24"/>
        </w:rPr>
      </w:pPr>
      <w:bookmarkStart w:id="0" w:name="Taiwan"/>
      <w:r>
        <w:rPr>
          <w:rFonts w:ascii="Times New Roman" w:hAnsi="Times New Roman"/>
          <w:b/>
          <w:sz w:val="24"/>
        </w:rPr>
        <w:t xml:space="preserve">Suite donnée à la résolution non législative du Parlement européen </w:t>
      </w:r>
      <w:bookmarkStart w:id="1" w:name="_Hlk146632301"/>
      <w:r>
        <w:rPr>
          <w:rFonts w:ascii="Times New Roman" w:hAnsi="Times New Roman"/>
          <w:b/>
          <w:sz w:val="24"/>
        </w:rPr>
        <w:t xml:space="preserve">sur </w:t>
      </w:r>
      <w:bookmarkEnd w:id="1"/>
      <w:r>
        <w:rPr>
          <w:rFonts w:ascii="Times New Roman" w:hAnsi="Times New Roman"/>
          <w:b/>
          <w:sz w:val="24"/>
        </w:rPr>
        <w:t>les relations commerciales et d'investissement entre l'Union européenne et Taïwan</w:t>
      </w:r>
    </w:p>
    <w:bookmarkEnd w:id="0"/>
    <w:p w14:paraId="5ACAF377"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b/>
          <w:bCs/>
          <w:sz w:val="24"/>
          <w:szCs w:val="24"/>
        </w:rPr>
      </w:pPr>
      <w:r>
        <w:rPr>
          <w:rFonts w:ascii="Times New Roman" w:hAnsi="Times New Roman"/>
          <w:b/>
          <w:sz w:val="24"/>
        </w:rPr>
        <w:t xml:space="preserve">Résolution présentée conformément à l’article 105, paragraphe 2, du règlement intérieur du Parlement européen </w:t>
      </w:r>
    </w:p>
    <w:p w14:paraId="36EB11B8"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sz w:val="24"/>
          <w:szCs w:val="24"/>
        </w:rPr>
      </w:pPr>
      <w:r>
        <w:rPr>
          <w:rFonts w:ascii="Times New Roman" w:hAnsi="Times New Roman"/>
          <w:b/>
          <w:sz w:val="24"/>
        </w:rPr>
        <w:t xml:space="preserve">Numéros de référence: </w:t>
      </w:r>
      <w:r>
        <w:rPr>
          <w:rFonts w:ascii="Times New Roman" w:hAnsi="Times New Roman"/>
          <w:sz w:val="24"/>
        </w:rPr>
        <w:t>2023/2829 (RSP) / B9-0498/2023 /</w:t>
      </w:r>
      <w:r>
        <w:rPr>
          <w:rFonts w:ascii="Times New Roman" w:hAnsi="Times New Roman"/>
          <w:b/>
          <w:sz w:val="24"/>
        </w:rPr>
        <w:t xml:space="preserve"> </w:t>
      </w:r>
      <w:r>
        <w:rPr>
          <w:rFonts w:ascii="Times New Roman" w:hAnsi="Times New Roman"/>
          <w:sz w:val="24"/>
        </w:rPr>
        <w:t>P9_TA(2023)0472</w:t>
      </w:r>
    </w:p>
    <w:p w14:paraId="7313927D"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sz w:val="24"/>
          <w:szCs w:val="24"/>
        </w:rPr>
      </w:pPr>
      <w:r>
        <w:rPr>
          <w:rFonts w:ascii="Times New Roman" w:hAnsi="Times New Roman"/>
          <w:b/>
          <w:sz w:val="24"/>
        </w:rPr>
        <w:t xml:space="preserve">Date d'adoption de la résolution: </w:t>
      </w:r>
      <w:r>
        <w:rPr>
          <w:rFonts w:ascii="Times New Roman" w:hAnsi="Times New Roman"/>
          <w:sz w:val="24"/>
        </w:rPr>
        <w:t>13 décembre 2023</w:t>
      </w:r>
    </w:p>
    <w:p w14:paraId="50E7ACA9"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b/>
          <w:bCs/>
          <w:sz w:val="24"/>
          <w:szCs w:val="24"/>
        </w:rPr>
      </w:pPr>
      <w:r>
        <w:rPr>
          <w:rFonts w:ascii="Times New Roman" w:hAnsi="Times New Roman"/>
          <w:b/>
          <w:sz w:val="24"/>
        </w:rPr>
        <w:t xml:space="preserve">Commission parlementaire compétente: </w:t>
      </w:r>
      <w:r>
        <w:rPr>
          <w:rFonts w:ascii="Times New Roman" w:hAnsi="Times New Roman"/>
          <w:sz w:val="24"/>
        </w:rPr>
        <w:t>commission du commerce international (INTA)</w:t>
      </w:r>
    </w:p>
    <w:p w14:paraId="62D7B4EC"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b/>
          <w:bCs/>
          <w:sz w:val="24"/>
          <w:szCs w:val="24"/>
        </w:rPr>
      </w:pPr>
      <w:r>
        <w:rPr>
          <w:rFonts w:ascii="Times New Roman" w:hAnsi="Times New Roman"/>
          <w:b/>
          <w:sz w:val="24"/>
        </w:rPr>
        <w:t>Analyse/évaluation succincte de la résolution et des demandes qu’elle contient:</w:t>
      </w:r>
    </w:p>
    <w:p w14:paraId="0844A04C" w14:textId="77777777" w:rsidR="00F96E78" w:rsidRPr="00F96E78" w:rsidRDefault="00F96E78" w:rsidP="00F96E78">
      <w:pPr>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hAnsi="Times New Roman"/>
          <w:sz w:val="24"/>
        </w:rPr>
        <w:t>Dans sa résolution, le Parlement soutient l’amélioration des relations commerciales et d’investissement avec Taïwan. Il met l’accent sur l’importance stratégique des relations commerciales avec Taïwan, notamment en ce qui concerne les transitions écologique et numérique de par l’expertise de Taïwan dans les produits de haute technologie, et qualifie Taïwan de «partenaire partageant les mêmes valeurs». Il salue le fait que, «dans le cadre du deuxième dialogue sur le commerce et les investissements, les deux parties se soient engagées à promouvoir les relations commerciales bilatérales et à aborder des questions commerciales clés», ainsi que l’organisation du Forum d’investissement de l’Union européenne et la coopération visant à harmoniser les sanctions imposées par l’Union européenne et Taïwan à la Russie.</w:t>
      </w:r>
    </w:p>
    <w:p w14:paraId="4BC63FED" w14:textId="77777777" w:rsidR="00F96E78" w:rsidRPr="00F96E78" w:rsidRDefault="00F96E78" w:rsidP="00F96E78">
      <w:pPr>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hAnsi="Times New Roman"/>
          <w:sz w:val="24"/>
        </w:rPr>
        <w:t>La Parlement demande à la Commission d’aller «au-delà du dialogue sur le commerce et les investissements» par la conclusion d’un accord bilatéral d’investissement et/ou «d’un accord sur les chaînes d’approvisionnement résilientes». Il demande également à ce que le travail pour un accord sur les chaînes d’approvisionnement résilientes soit entrepris «afin de remédier aux vulnérabilités respectives de manière mutuellement avantageuse et de protéger la sécurité de Taïwan en renforçant son “bouclier technologique”»</w:t>
      </w:r>
      <w:r w:rsidRPr="00F96E78">
        <w:rPr>
          <w:rFonts w:ascii="Times New Roman" w:eastAsia="Times New Roman" w:hAnsi="Times New Roman" w:cs="Times New Roman"/>
          <w:sz w:val="24"/>
          <w:szCs w:val="24"/>
          <w:vertAlign w:val="superscript"/>
          <w:lang w:val="en-GB" w:eastAsia="en-GB"/>
        </w:rPr>
        <w:footnoteReference w:id="1"/>
      </w:r>
      <w:r>
        <w:rPr>
          <w:rFonts w:ascii="Times New Roman" w:hAnsi="Times New Roman"/>
          <w:sz w:val="24"/>
        </w:rPr>
        <w:t>.</w:t>
      </w:r>
    </w:p>
    <w:p w14:paraId="0F8F4968" w14:textId="77777777" w:rsidR="00F96E78" w:rsidRPr="00F96E78" w:rsidRDefault="00F96E78" w:rsidP="00F96E78">
      <w:pPr>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hAnsi="Times New Roman"/>
          <w:sz w:val="24"/>
        </w:rPr>
        <w:t>De plus, le Parlement presse la Commission et/ou le Service européen pour l'action extérieure (SEAE) à «élaborer une stratégie de résilience».</w:t>
      </w:r>
    </w:p>
    <w:p w14:paraId="06FFDA40" w14:textId="77777777" w:rsidR="00F96E78" w:rsidRPr="00F96E78" w:rsidRDefault="00F96E78" w:rsidP="00F96E78">
      <w:pPr>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hAnsi="Times New Roman"/>
          <w:sz w:val="24"/>
        </w:rPr>
        <w:t>Le Parlement «considère que des possibilités de coopération existent dans le domaine clé de la protection des infrastructures critiques tout comme dans le domaine de la lutte contre la coercition économique et de la sécurité économique» et «appelle à une coopération renforcée dans le domaine du commerce numérique, des douanes et de la cyberrésilience, essentiels à la protection d’échanges commerciaux prévisibles et sans entraves». Il invite également la Commission et Taïwan à renforcer leur coopération dans des domaines tels que les énergies renouvelables et les industries durables.</w:t>
      </w:r>
    </w:p>
    <w:p w14:paraId="206476F5" w14:textId="77777777" w:rsidR="00F96E78" w:rsidRPr="00F96E78" w:rsidRDefault="00F96E78" w:rsidP="00F96E78">
      <w:pPr>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Enfin, dans sa résolution, le Parlement i) invite la Commission et les États membres «à faciliter et à encourager les échanges culturels et éducatifs afin de promouvoir la collaboration scientifique et universitaire»; ii) invite la Commission à «faciliter la participation des représentants de la société </w:t>
      </w:r>
      <w:r>
        <w:rPr>
          <w:rFonts w:ascii="Times New Roman" w:hAnsi="Times New Roman"/>
          <w:sz w:val="24"/>
        </w:rPr>
        <w:lastRenderedPageBreak/>
        <w:t>civile, d’entreprises et d’organisations taïwanais à la coopération commerciale et économique»; et iii) demande instamment à la Commission et au SEAE de soutenir la présence de Taïwan au sein des enceintes multilatérales et internationales.</w:t>
      </w:r>
    </w:p>
    <w:p w14:paraId="49346733"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sz w:val="24"/>
          <w:szCs w:val="24"/>
        </w:rPr>
      </w:pPr>
      <w:r>
        <w:rPr>
          <w:rFonts w:ascii="Times New Roman" w:hAnsi="Times New Roman"/>
          <w:b/>
          <w:sz w:val="24"/>
        </w:rPr>
        <w:t>Réponse à ces demandes et aperçu des mesures que la Commission a prises ou envisage de prendre:</w:t>
      </w:r>
    </w:p>
    <w:p w14:paraId="7A67F354" w14:textId="4E5523D2"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La Commission salue la résolution du Parlement. Elle partage le même objectif, à savoir, poursuivre des relations commerciales et d’investissement étroites avec Taïwan (</w:t>
      </w:r>
      <w:r>
        <w:rPr>
          <w:rFonts w:ascii="Times New Roman" w:hAnsi="Times New Roman"/>
          <w:b/>
          <w:sz w:val="24"/>
        </w:rPr>
        <w:t>paragraphes 1, 2, 5, 6, 7 et 8</w:t>
      </w:r>
      <w:r>
        <w:rPr>
          <w:rFonts w:ascii="Times New Roman" w:hAnsi="Times New Roman"/>
          <w:sz w:val="24"/>
        </w:rPr>
        <w:t>). Dans cette perspective, la Commission a intensifié ses échanges et multiplié ses actions en vue de renforcer les liens commerciaux et en matière d’investissements entre l’UE et Taïwan et de parvenir à une meilleure intégration des chaînes d’approvisionnement de l’Union. Comme le Parlement le précise dans sa résolution, cela s’est fait grâce à l’amélioration du dialogue sur le commerce et les investissements, coprésidé par M</w:t>
      </w:r>
      <w:r>
        <w:rPr>
          <w:rFonts w:ascii="Times New Roman" w:hAnsi="Times New Roman"/>
          <w:sz w:val="24"/>
          <w:vertAlign w:val="superscript"/>
        </w:rPr>
        <w:t>me</w:t>
      </w:r>
      <w:r>
        <w:rPr>
          <w:rFonts w:ascii="Times New Roman" w:hAnsi="Times New Roman"/>
          <w:sz w:val="24"/>
        </w:rPr>
        <w:t xml:space="preserve"> Sabine Weyand, directrice générale de la directrice générale du commerce (DG TRADE), et M</w:t>
      </w:r>
      <w:r>
        <w:rPr>
          <w:rFonts w:ascii="Times New Roman" w:hAnsi="Times New Roman"/>
          <w:sz w:val="24"/>
          <w:vertAlign w:val="superscript"/>
        </w:rPr>
        <w:t>me</w:t>
      </w:r>
      <w:r>
        <w:rPr>
          <w:rFonts w:ascii="Times New Roman" w:hAnsi="Times New Roman"/>
          <w:sz w:val="24"/>
        </w:rPr>
        <w:t xml:space="preserve"> Wang Mei-hua, ministre de l’économie taïwanaise. En 2022, la Commission a élargi le champ des discussions sur des sujets traditionnels d’accès au marché pour également couvrir les aspects relatifs à la sécurité des échanges [filtrage des investissements directs étrangers (IDE), sanctions et contrôle des exportations de biens à double usage] et à la recherche et à l’innovation. De plus, la Commission a établi un dialogue consacré aux semi-conducteurs, qui a fait l’objet d’un suivi dans le cadre de contacts directs avec les entreprises et du dialogue relatif aux contrôles des exportations et aux sanctions. </w:t>
      </w:r>
      <w:r>
        <w:rPr>
          <w:rFonts w:ascii="Times New Roman" w:hAnsi="Times New Roman"/>
        </w:rPr>
        <w:t>Taïwan est un des partenaires et bénéficiaires actifs du programme de renforcement des capacités pour l’exportation de biens et de technologies à double usage (programme EUP2P), géré par le service des instruments de politique étrangère (IPE).</w:t>
      </w:r>
    </w:p>
    <w:p w14:paraId="00EEDBA0"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Le dialogue 2023 sur le commerce et les investissements a fait le point sur les axes de travail susmentionnés et a également engagé des discussions concernant des mesures facilitant le commerce numérique (</w:t>
      </w:r>
      <w:r>
        <w:rPr>
          <w:rFonts w:ascii="Times New Roman" w:hAnsi="Times New Roman"/>
          <w:b/>
          <w:sz w:val="24"/>
        </w:rPr>
        <w:t>paragraphes 6, 7 et 11</w:t>
      </w:r>
      <w:r>
        <w:rPr>
          <w:rFonts w:ascii="Times New Roman" w:hAnsi="Times New Roman"/>
          <w:sz w:val="24"/>
        </w:rPr>
        <w:t xml:space="preserve">), en vue de renforcer la résilience des chaînes d’approvisionnement. </w:t>
      </w:r>
    </w:p>
    <w:p w14:paraId="666C3136"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Au-delà du commerce, les discussions concernant le dialogue de juin 2023 sur la politique industrielle ont renforcé la coopération dans un large éventail de domaines, notamment en ce qui concerne l’internalisation des petites et moyennes entreprises (PME), la robotique, les compétences industrielles et la recherche et l’innovation (</w:t>
      </w:r>
      <w:r>
        <w:rPr>
          <w:rFonts w:ascii="Times New Roman" w:hAnsi="Times New Roman"/>
          <w:b/>
          <w:sz w:val="24"/>
        </w:rPr>
        <w:t>paragraphes 12 et 13</w:t>
      </w:r>
      <w:r>
        <w:rPr>
          <w:rFonts w:ascii="Times New Roman" w:hAnsi="Times New Roman"/>
          <w:sz w:val="24"/>
        </w:rPr>
        <w:t>). Trois axes de travail sont liés à ces discussions.</w:t>
      </w:r>
    </w:p>
    <w:p w14:paraId="5FA8C546" w14:textId="77777777" w:rsidR="00F96E78" w:rsidRPr="00F96E78" w:rsidRDefault="00F96E78" w:rsidP="00F96E78">
      <w:pPr>
        <w:numPr>
          <w:ilvl w:val="0"/>
          <w:numId w:val="3"/>
        </w:numPr>
        <w:spacing w:after="120" w:line="240" w:lineRule="auto"/>
        <w:ind w:left="714" w:hanging="357"/>
        <w:jc w:val="both"/>
        <w:rPr>
          <w:rFonts w:ascii="Times New Roman" w:eastAsia="Times New Roman" w:hAnsi="Times New Roman" w:cs="Times New Roman"/>
          <w:sz w:val="24"/>
          <w:szCs w:val="24"/>
        </w:rPr>
      </w:pPr>
      <w:r>
        <w:rPr>
          <w:rFonts w:ascii="Times New Roman" w:hAnsi="Times New Roman"/>
          <w:sz w:val="24"/>
        </w:rPr>
        <w:t>Premièrement, les parties ont accepté d’envisager l’élargissement de l’actuel groupe de travail de la Commission sur la robotique pour aborder des sujets tels que les applications d’intelligence artificielle (IA) ainsi que la certification et la normalisation dans ce même domaine.</w:t>
      </w:r>
    </w:p>
    <w:p w14:paraId="68A4FFDE" w14:textId="77777777" w:rsidR="00F96E78" w:rsidRPr="00F96E78" w:rsidDel="00736EE7" w:rsidRDefault="00F96E78" w:rsidP="00F96E78">
      <w:pPr>
        <w:numPr>
          <w:ilvl w:val="0"/>
          <w:numId w:val="3"/>
        </w:numPr>
        <w:spacing w:after="120" w:line="240" w:lineRule="auto"/>
        <w:ind w:left="714" w:hanging="357"/>
        <w:jc w:val="both"/>
        <w:rPr>
          <w:rFonts w:ascii="Times New Roman" w:eastAsia="Times New Roman" w:hAnsi="Times New Roman" w:cs="Times New Roman"/>
          <w:sz w:val="24"/>
          <w:szCs w:val="24"/>
        </w:rPr>
      </w:pPr>
      <w:bookmarkStart w:id="2" w:name="_Hlk157013274"/>
      <w:r>
        <w:rPr>
          <w:rFonts w:ascii="Times New Roman" w:hAnsi="Times New Roman"/>
          <w:sz w:val="24"/>
        </w:rPr>
        <w:t>Deuxièmement, en ce qui concerne la</w:t>
      </w:r>
      <w:bookmarkStart w:id="3" w:name="_Hlk157015936"/>
      <w:r>
        <w:rPr>
          <w:rFonts w:ascii="Times New Roman" w:hAnsi="Times New Roman"/>
          <w:sz w:val="24"/>
        </w:rPr>
        <w:t xml:space="preserve"> recherche et l’innovation, conformément à l’approche globale de la recherche et de l’innovation et à la stratégie de l’UE pour la coopération dans la région indo-pacifique, la Commission a lancé une série d’initiatives pour accroître la participation de Taïwan à Horizon Europe, le principal programme de financement de l’Union pour la recherche et l’innovation, et pour soutenir la coopération technique entre les chercheurs et les entités établies dans l’Union et à Taïwan</w:t>
      </w:r>
      <w:bookmarkEnd w:id="3"/>
      <w:r>
        <w:rPr>
          <w:rFonts w:ascii="Times New Roman" w:hAnsi="Times New Roman"/>
          <w:sz w:val="24"/>
        </w:rPr>
        <w:t>.</w:t>
      </w:r>
    </w:p>
    <w:p w14:paraId="1CF8E801" w14:textId="55025A53" w:rsidR="00F96E78" w:rsidRPr="00F96E78" w:rsidRDefault="00F96E78" w:rsidP="00F96E78">
      <w:pPr>
        <w:numPr>
          <w:ilvl w:val="0"/>
          <w:numId w:val="3"/>
        </w:numPr>
        <w:spacing w:after="120" w:line="240" w:lineRule="auto"/>
        <w:ind w:left="714" w:hanging="357"/>
        <w:jc w:val="both"/>
        <w:rPr>
          <w:rFonts w:ascii="Times New Roman" w:eastAsia="Times New Roman" w:hAnsi="Times New Roman" w:cs="Times New Roman"/>
          <w:sz w:val="24"/>
          <w:szCs w:val="24"/>
        </w:rPr>
      </w:pPr>
      <w:r>
        <w:rPr>
          <w:rFonts w:ascii="Times New Roman" w:hAnsi="Times New Roman"/>
          <w:sz w:val="24"/>
        </w:rPr>
        <w:t xml:space="preserve">Troisièmement, le travail sur l’internalisation des PME est soutenu par un programme de la Commission qui favorise l’échange de connaissances et de compétences entre les PME </w:t>
      </w:r>
      <w:r>
        <w:rPr>
          <w:rFonts w:ascii="Times New Roman" w:hAnsi="Times New Roman"/>
          <w:sz w:val="24"/>
        </w:rPr>
        <w:lastRenderedPageBreak/>
        <w:t>taïwanaises et européennes: Erasmus monde pour jeunes entrepreneurs. Il s’agit d'un programme d’échange qui offre la possibilité aux entrepreneurs expérimentés établis à Taïwan de collaborer avec des jeunes entrepreneurs de l’Union européenne pour une période inférieure ou égale à trois mois. Pendant ces trois mois, les entrepreneurs peuvent échanger leur expertise et en apprendre plus sur leurs marchés respectifs. Grâce à ce programme, la Commission peut faciliter l’internalisation des PME européennes aux marchés extérieurs à l’Europe, ce qui permet aux entrepreneurs européens d’acquérir de nouvelles compétences d’entreprises non européennes expérimentées. Ce programme est en cours depuis 2021 et la phase actuelle prendra fin en mars 2024.</w:t>
      </w:r>
      <w:bookmarkEnd w:id="2"/>
      <w:r>
        <w:rPr>
          <w:rFonts w:ascii="Times New Roman" w:hAnsi="Times New Roman"/>
          <w:sz w:val="24"/>
        </w:rPr>
        <w:t xml:space="preserve"> </w:t>
      </w:r>
    </w:p>
    <w:p w14:paraId="13E9279D"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En ce qui concerne la coopération douanière, la direction générale de la fiscalité et de l’union douanière (DG TAXUD) entretient des échanges avec les autorités taïwanaises (</w:t>
      </w:r>
      <w:r>
        <w:rPr>
          <w:rFonts w:ascii="Times New Roman" w:hAnsi="Times New Roman"/>
          <w:b/>
          <w:sz w:val="24"/>
        </w:rPr>
        <w:t>paragraphe 11</w:t>
      </w:r>
      <w:r>
        <w:rPr>
          <w:rFonts w:ascii="Times New Roman" w:hAnsi="Times New Roman"/>
          <w:sz w:val="24"/>
        </w:rPr>
        <w:t>). En outre, la DG TAXUD participe activement avec Taïwan à l’examen du mécanisme d’ajustement carbone aux frontières en vue d’assurer la mise en œuvre harmonieuse des obligations de déclaration (</w:t>
      </w:r>
      <w:r>
        <w:rPr>
          <w:rFonts w:ascii="Times New Roman" w:hAnsi="Times New Roman"/>
          <w:b/>
          <w:sz w:val="24"/>
        </w:rPr>
        <w:t>paragraphe 5</w:t>
      </w:r>
      <w:r>
        <w:rPr>
          <w:rFonts w:ascii="Times New Roman" w:hAnsi="Times New Roman"/>
          <w:sz w:val="24"/>
        </w:rPr>
        <w:t>).</w:t>
      </w:r>
    </w:p>
    <w:p w14:paraId="72A15CD1"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bookmarkStart w:id="4" w:name="_Hlk157764722"/>
      <w:r>
        <w:rPr>
          <w:rFonts w:ascii="Times New Roman" w:hAnsi="Times New Roman"/>
          <w:sz w:val="24"/>
        </w:rPr>
        <w:t>De plus, en ce qui concerne la durabilité, lors de la 5</w:t>
      </w:r>
      <w:r>
        <w:rPr>
          <w:rFonts w:ascii="Times New Roman" w:hAnsi="Times New Roman"/>
          <w:sz w:val="24"/>
          <w:vertAlign w:val="superscript"/>
        </w:rPr>
        <w:t>e</w:t>
      </w:r>
      <w:r>
        <w:rPr>
          <w:rFonts w:ascii="Times New Roman" w:hAnsi="Times New Roman"/>
          <w:sz w:val="24"/>
        </w:rPr>
        <w:t xml:space="preserve"> consultation UE-Taïwan dans le domaine du travail entre les agences taïwanaises du 29 et 30 juin 2023 à Bruxelles, dirigée par le directeur général de la direction générale de l’emploi, des affaires sociales et de l’inclusion (DG EMPL), les participants ont échangé sur les approches respectives pour promouvoir un travail décent au niveau national et dans les chaînes d’approvisionnement mondiales. La Commission peut également multiplier les échanges sur les politiques à mener pour la transition vers une énergie propre, notamment concernant le développement des énergies renouvelables, au titre des cadres de coopération actuels (</w:t>
      </w:r>
      <w:r>
        <w:rPr>
          <w:rFonts w:ascii="Times New Roman" w:hAnsi="Times New Roman"/>
          <w:b/>
          <w:sz w:val="24"/>
        </w:rPr>
        <w:t>paragraphe 5</w:t>
      </w:r>
      <w:r>
        <w:rPr>
          <w:rFonts w:ascii="Times New Roman" w:hAnsi="Times New Roman"/>
          <w:sz w:val="24"/>
        </w:rPr>
        <w:t>).</w:t>
      </w:r>
      <w:bookmarkEnd w:id="4"/>
    </w:p>
    <w:p w14:paraId="3372B344"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Concernant la protection des infrastructures critiques et la cyberrésilience (</w:t>
      </w:r>
      <w:r>
        <w:rPr>
          <w:rFonts w:ascii="Times New Roman" w:hAnsi="Times New Roman"/>
          <w:b/>
          <w:sz w:val="24"/>
        </w:rPr>
        <w:t>paragraphe 11</w:t>
      </w:r>
      <w:r>
        <w:rPr>
          <w:rFonts w:ascii="Times New Roman" w:hAnsi="Times New Roman"/>
          <w:sz w:val="24"/>
        </w:rPr>
        <w:t>), les représentants taïwanais sont régulièrement invités et participent à la semaine de la cybersécurité des systèmes de contrôle industriel entre le Japon, les États-Unis et l’UE pour la région indo-pacifique, qui se tient chaque année. Ce programme d’une semaine contribue à établir une compréhension commune des défis de la cybersécurité des systèmes de contrôle industriels et à renforcer les relations pour construire la base d’une plus grande coopération internationale afin de faire face conjointement aux menaces croissantes en matière de cybersécurité.</w:t>
      </w:r>
    </w:p>
    <w:p w14:paraId="5253FC90"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La coopération dans ces domaines s’appuie sur les chaînes d’approvisionnement actuelles de l’Union, les renforce et étend l’écosystème d’échanges et d’investissements de l’Union à de nouveaux domaines.</w:t>
      </w:r>
    </w:p>
    <w:p w14:paraId="7B0CF760"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La Commission note également que Taïwan dispose d’un régime de protection des données à caractère personnel assez développé, qui présente un certain nombre de similitudes avec celui de l’UE. Taïwan est en train d’établir une autorité indépendante pour la protection des données qui, une fois en place et opérationnelle, fera du pays un bon candidat pour une décision dite d’adéquation. Les décisions d'adéquation reconnaissent qu’une juridiction étrangère dispose d’un niveau de protection des données comparable à celui de l’Union. Lorsqu’une telle décision est adoptée par la Commission, les données à caractère personnel peuvent circuler librement dans la juridiction en question. Une telle décision faciliterait la coopération en matière de commerce numérique et contribuerait à la libre circulation des données de manière sûre, prévisible et sans entrave (</w:t>
      </w:r>
      <w:r>
        <w:rPr>
          <w:rFonts w:ascii="Times New Roman" w:hAnsi="Times New Roman"/>
          <w:b/>
          <w:sz w:val="24"/>
        </w:rPr>
        <w:t>paragraphe 11</w:t>
      </w:r>
      <w:r>
        <w:rPr>
          <w:rFonts w:ascii="Times New Roman" w:hAnsi="Times New Roman"/>
          <w:sz w:val="24"/>
        </w:rPr>
        <w:t>).</w:t>
      </w:r>
    </w:p>
    <w:p w14:paraId="3B7B20A0"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La Commission est déterminée à poursuivre la collaboration axée sur les résultats avec Taïwan dans tous ces domaines. </w:t>
      </w:r>
    </w:p>
    <w:p w14:paraId="7D9F729D"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lastRenderedPageBreak/>
        <w:t>Outre les dialogues avec les autorités taïwanaises, dans le but de renforcer la résilience des relations en matière de commerce et d’investissements, la Commission a organisé deux évènements commerciaux majeurs à Taipei en 2023 (</w:t>
      </w:r>
      <w:r>
        <w:rPr>
          <w:rFonts w:ascii="Times New Roman" w:hAnsi="Times New Roman"/>
          <w:b/>
          <w:sz w:val="24"/>
        </w:rPr>
        <w:t>paragraphes 5, 8, 12 et 13</w:t>
      </w:r>
      <w:r>
        <w:rPr>
          <w:rFonts w:ascii="Times New Roman" w:hAnsi="Times New Roman"/>
          <w:sz w:val="24"/>
        </w:rPr>
        <w:t>).</w:t>
      </w:r>
    </w:p>
    <w:p w14:paraId="68FCDEBA"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Premièrement, la Commission a organisé la Semaine européenne de l’innovation du 29 mai au 2 juin 2023, qui a attiré au total plus de 1 600 participants. La délégation de l’UE, comprenant plus de 150 personnes présentes à Taipei, comptait plus de 11 groupes européens de 13 États membres de l’UE et membres du programme pour la compétitivité des entreprises et pour les petites et moyennes entreprises (COSME), représentants tous des centaines de PME et d’instituts de recherche hautement innovants. À l’avenir, l’objectif est d’organiser la Semaine européenne de l’innovation tous les deux ans. La prochaine édition aura lieu en 2025.</w:t>
      </w:r>
    </w:p>
    <w:p w14:paraId="47F982C6" w14:textId="565075E4"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Deuxièmement, la Commission a organisé le 4</w:t>
      </w:r>
      <w:r>
        <w:rPr>
          <w:rFonts w:ascii="Times New Roman" w:hAnsi="Times New Roman"/>
          <w:sz w:val="24"/>
          <w:vertAlign w:val="superscript"/>
        </w:rPr>
        <w:t>e</w:t>
      </w:r>
      <w:r>
        <w:rPr>
          <w:rFonts w:ascii="Times New Roman" w:hAnsi="Times New Roman"/>
          <w:sz w:val="24"/>
        </w:rPr>
        <w:t xml:space="preserve"> Forum européen d’investissement le 12 octobre 2023 à Taipei, principalement axé sur les semi-conducteurs et sur le règlement européen sur les semi-conducteurs, auquel ont participé des hauts fonctionnaires et des représentants du secteur de l’industrie, notamment Tsai Ing-wen, la présidente de Taïwan, ainsi que de nombreux autres hauts fonctionnaires taïwanais.</w:t>
      </w:r>
    </w:p>
    <w:p w14:paraId="4A1AD3C6"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Ces évènements montrent que la Commission adopte une approche englobant l’ensemble de la Commission – en coopération étroite avec le SEAE et le Bureau européen de représentation économique et commerciale à Taipei – pour renforcer les échanges commerciaux mutuels, les chaînes d’approvisionnement et les partenariats d’investissement, et soulignent le fait que l’Union intensifie d’ores et déjà ses relations avec Taïwan de manière générale. La Commission estime qu’organiser des évènements interentreprises constitue un élément essentiel au renforcement de la résilience. Dans un contexte caractérisé par d’intenses tensions géopolitiques, la Commission estime également que ces événements constituent une des façons les plus efficaces d'aider l’économie taïwanaise de manière concrète et utile.</w:t>
      </w:r>
    </w:p>
    <w:p w14:paraId="023B37B6"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Ces événements ainsi que d’autres manifestations ont été financés par le programme européen pour la coopération réglementaire et entre entreprises (EBRC 2), qui est un IPE adopté dans le cadre de l’instrument de partenariat et dirigé par le Bureau européen de représentation économique et commerciale. De plus, le fait que l’accent ait davantage été mis sur les échanges interpersonnels au sein de la diplomatie publique de l’UE a également offert des possibilités de collaboration sur les droits des migrants entre les représentants de la société civile européenne et taïwanaise (</w:t>
      </w:r>
      <w:r>
        <w:rPr>
          <w:rFonts w:ascii="Times New Roman" w:hAnsi="Times New Roman"/>
          <w:b/>
          <w:sz w:val="24"/>
        </w:rPr>
        <w:t>paragraphe 13</w:t>
      </w:r>
      <w:r>
        <w:rPr>
          <w:rFonts w:ascii="Times New Roman" w:hAnsi="Times New Roman"/>
          <w:sz w:val="24"/>
        </w:rPr>
        <w:t>).</w:t>
      </w:r>
    </w:p>
    <w:p w14:paraId="34D5005C"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Ce sont des formes de participation innovantes que la Commission a développées avec Taïwan dans le but de favoriser la résilience des relations bilatérales et des chaînes d’approvisionnement de l’Union dans des domaines clés (</w:t>
      </w:r>
      <w:r>
        <w:rPr>
          <w:rFonts w:ascii="Times New Roman" w:hAnsi="Times New Roman"/>
          <w:b/>
          <w:bCs/>
          <w:sz w:val="24"/>
        </w:rPr>
        <w:t>paragraphes 8, 9 et 10</w:t>
      </w:r>
      <w:r>
        <w:rPr>
          <w:rFonts w:ascii="Times New Roman" w:hAnsi="Times New Roman"/>
          <w:sz w:val="24"/>
        </w:rPr>
        <w:t xml:space="preserve">). </w:t>
      </w:r>
    </w:p>
    <w:p w14:paraId="6A7B8896"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En parallèle de ces initiatives, la Commission continue de travailler sur les problèmes d’accès aux marchés les plus urgents, notamment en ce qui concerne l’éolien en mer et les produits agroalimentaires (</w:t>
      </w:r>
      <w:r>
        <w:rPr>
          <w:rFonts w:ascii="Times New Roman" w:hAnsi="Times New Roman"/>
          <w:b/>
          <w:bCs/>
          <w:sz w:val="24"/>
        </w:rPr>
        <w:t>paragraphe 6</w:t>
      </w:r>
      <w:r>
        <w:rPr>
          <w:rFonts w:ascii="Times New Roman" w:hAnsi="Times New Roman"/>
          <w:sz w:val="24"/>
        </w:rPr>
        <w:t xml:space="preserve">). </w:t>
      </w:r>
    </w:p>
    <w:p w14:paraId="2033D80F" w14:textId="77777777" w:rsidR="00F96E78" w:rsidRPr="00F96E78" w:rsidRDefault="00F96E78" w:rsidP="00F96E78">
      <w:pPr>
        <w:spacing w:after="120" w:line="240" w:lineRule="auto"/>
        <w:jc w:val="both"/>
        <w:rPr>
          <w:rFonts w:ascii="Times New Roman" w:eastAsia="Times New Roman" w:hAnsi="Times New Roman" w:cs="Times New Roman"/>
          <w:sz w:val="24"/>
          <w:szCs w:val="24"/>
        </w:rPr>
      </w:pPr>
      <w:r>
        <w:rPr>
          <w:rFonts w:ascii="Times New Roman" w:hAnsi="Times New Roman"/>
          <w:sz w:val="24"/>
        </w:rPr>
        <w:t>Enfin, dans le cadre de sa politique d’une seule Chine, l’UE continuera de soutenir la participation pratique de Taïwan dans les enceintes multilatérales spécialisées où le statut d’État n’est pas une condition nécessaire, notamment lorsque les compétences et les capacités techniques de Taïwan apportent une valeur ajoutée dans des domaines liés aux intérêts européens et mondiaux (</w:t>
      </w:r>
      <w:r>
        <w:rPr>
          <w:rFonts w:ascii="Times New Roman" w:hAnsi="Times New Roman"/>
          <w:b/>
          <w:bCs/>
          <w:sz w:val="24"/>
        </w:rPr>
        <w:t>paragraphe 14</w:t>
      </w:r>
      <w:r>
        <w:rPr>
          <w:rFonts w:ascii="Times New Roman" w:hAnsi="Times New Roman"/>
          <w:sz w:val="24"/>
        </w:rPr>
        <w:t>).</w:t>
      </w:r>
    </w:p>
    <w:p w14:paraId="178E4F6D" w14:textId="6B5F9A0E" w:rsidR="00010A57" w:rsidRPr="00F96E78" w:rsidRDefault="00F96E78" w:rsidP="00F96E78">
      <w:pPr>
        <w:jc w:val="both"/>
      </w:pPr>
      <w:r>
        <w:rPr>
          <w:rFonts w:ascii="Times New Roman" w:hAnsi="Times New Roman"/>
          <w:sz w:val="24"/>
        </w:rPr>
        <w:lastRenderedPageBreak/>
        <w:t>La Commission reste disposée à travailler avec Taïwan et avec toutes les parties prenantes pertinentes pour apporter des avantages concrets aux deux parties. La Commission se réjouit par avance d’organiser prochainement l’édition 2024 des dialogues annuels sur les politiques commerciales et industrielles.</w:t>
      </w:r>
    </w:p>
    <w:sectPr w:rsidR="00010A57" w:rsidRPr="00F96E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E741" w14:textId="77777777" w:rsidR="00A119F6" w:rsidRDefault="00A119F6" w:rsidP="00F552FF">
      <w:pPr>
        <w:spacing w:after="0" w:line="240" w:lineRule="auto"/>
      </w:pPr>
      <w:r>
        <w:separator/>
      </w:r>
    </w:p>
  </w:endnote>
  <w:endnote w:type="continuationSeparator" w:id="0">
    <w:p w14:paraId="2A31B478" w14:textId="77777777" w:rsidR="00A119F6" w:rsidRDefault="00A119F6" w:rsidP="00F5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6AB2" w14:textId="77777777" w:rsidR="00C73616" w:rsidRDefault="00C73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447606"/>
      <w:docPartObj>
        <w:docPartGallery w:val="Page Numbers (Bottom of Page)"/>
        <w:docPartUnique/>
      </w:docPartObj>
    </w:sdtPr>
    <w:sdtEndPr>
      <w:rPr>
        <w:noProof/>
      </w:rPr>
    </w:sdtEndPr>
    <w:sdtContent>
      <w:p w14:paraId="509470C7" w14:textId="62CD9BFD" w:rsidR="00C73616" w:rsidRDefault="00C73616">
        <w:pPr>
          <w:pStyle w:val="Footer"/>
          <w:jc w:val="center"/>
        </w:pPr>
        <w:r>
          <w:fldChar w:fldCharType="begin"/>
        </w:r>
        <w:r>
          <w:instrText xml:space="preserve"> PAGE   \* MERGEFORMAT </w:instrText>
        </w:r>
        <w:r>
          <w:fldChar w:fldCharType="separate"/>
        </w:r>
        <w:r>
          <w:t>2</w:t>
        </w:r>
        <w:r>
          <w:fldChar w:fldCharType="end"/>
        </w:r>
      </w:p>
    </w:sdtContent>
  </w:sdt>
  <w:p w14:paraId="1816EB4E" w14:textId="77777777" w:rsidR="00C73616" w:rsidRDefault="00C73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1918" w14:textId="77777777" w:rsidR="00C73616" w:rsidRDefault="00C7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B11C" w14:textId="77777777" w:rsidR="00A119F6" w:rsidRDefault="00A119F6" w:rsidP="00F552FF">
      <w:pPr>
        <w:spacing w:after="0" w:line="240" w:lineRule="auto"/>
      </w:pPr>
      <w:r>
        <w:separator/>
      </w:r>
    </w:p>
  </w:footnote>
  <w:footnote w:type="continuationSeparator" w:id="0">
    <w:p w14:paraId="1E030894" w14:textId="77777777" w:rsidR="00A119F6" w:rsidRDefault="00A119F6" w:rsidP="00F552FF">
      <w:pPr>
        <w:spacing w:after="0" w:line="240" w:lineRule="auto"/>
      </w:pPr>
      <w:r>
        <w:continuationSeparator/>
      </w:r>
    </w:p>
  </w:footnote>
  <w:footnote w:id="1">
    <w:p w14:paraId="5EAE3828" w14:textId="77777777" w:rsidR="00F96E78" w:rsidRPr="00AC2F6F" w:rsidRDefault="00F96E78" w:rsidP="00F96E78">
      <w:pPr>
        <w:pStyle w:val="FootnoteText"/>
        <w:spacing w:after="0"/>
        <w:ind w:left="357" w:hanging="357"/>
        <w:jc w:val="both"/>
        <w:rPr>
          <w:rFonts w:ascii="Times New Roman" w:hAnsi="Times New Roman"/>
        </w:rPr>
      </w:pPr>
      <w:r>
        <w:rPr>
          <w:rStyle w:val="FootnoteReference"/>
          <w:rFonts w:ascii="Calibri" w:hAnsi="Calibri" w:cs="Calibri"/>
        </w:rPr>
        <w:footnoteRef/>
      </w:r>
      <w:r>
        <w:rPr>
          <w:rFonts w:ascii="Calibri" w:hAnsi="Calibri"/>
        </w:rPr>
        <w:t xml:space="preserve"> </w:t>
      </w:r>
      <w:r>
        <w:rPr>
          <w:rFonts w:ascii="Calibri" w:hAnsi="Calibri"/>
        </w:rPr>
        <w:tab/>
      </w:r>
      <w:r>
        <w:rPr>
          <w:rFonts w:ascii="Times New Roman" w:hAnsi="Times New Roman"/>
        </w:rPr>
        <w:t xml:space="preserve">Le «bouclier technologique» de Taïwan fait référence à l’idée que la Chine serait dissuadée d’envahir Taïwan ou de perturber ses échanges commerciaux avec l'île en raison de la forte dépendance de la Chine et du reste du monde pour les exportations de semi-conducteurs avancés en provenance de Taïwan.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671C" w14:textId="77777777" w:rsidR="00C73616" w:rsidRDefault="00C73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E765" w14:textId="77777777" w:rsidR="00C73616" w:rsidRDefault="00C73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0330" w14:textId="77777777" w:rsidR="00C73616" w:rsidRDefault="00C73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454F2"/>
    <w:multiLevelType w:val="hybridMultilevel"/>
    <w:tmpl w:val="4256544E"/>
    <w:lvl w:ilvl="0" w:tplc="BD6EA1EC">
      <w:start w:val="4"/>
      <w:numFmt w:val="bullet"/>
      <w:lvlText w:val="-"/>
      <w:lvlJc w:val="left"/>
      <w:pPr>
        <w:ind w:left="720" w:hanging="360"/>
      </w:pPr>
      <w:rPr>
        <w:rFonts w:ascii="Calibri" w:eastAsia="DengXi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1FA1BCB"/>
    <w:multiLevelType w:val="hybridMultilevel"/>
    <w:tmpl w:val="BA2E1486"/>
    <w:lvl w:ilvl="0" w:tplc="D402E43C">
      <w:start w:val="1"/>
      <w:numFmt w:val="decimal"/>
      <w:lvlText w:val="%1."/>
      <w:lvlJc w:val="left"/>
      <w:pPr>
        <w:ind w:left="720" w:hanging="360"/>
      </w:pPr>
      <w:rPr>
        <w:b/>
      </w:rPr>
    </w:lvl>
    <w:lvl w:ilvl="1" w:tplc="68ACEEBA">
      <w:start w:val="1"/>
      <w:numFmt w:val="lowerLetter"/>
      <w:lvlText w:val="%2."/>
      <w:lvlJc w:val="left"/>
      <w:pPr>
        <w:ind w:left="1440" w:hanging="360"/>
      </w:pPr>
    </w:lvl>
    <w:lvl w:ilvl="2" w:tplc="E324722E">
      <w:start w:val="1"/>
      <w:numFmt w:val="lowerRoman"/>
      <w:lvlText w:val="%3."/>
      <w:lvlJc w:val="right"/>
      <w:pPr>
        <w:ind w:left="2160" w:hanging="180"/>
      </w:pPr>
    </w:lvl>
    <w:lvl w:ilvl="3" w:tplc="CE74C876">
      <w:start w:val="1"/>
      <w:numFmt w:val="decimal"/>
      <w:lvlText w:val="%4."/>
      <w:lvlJc w:val="left"/>
      <w:pPr>
        <w:ind w:left="2880" w:hanging="360"/>
      </w:pPr>
    </w:lvl>
    <w:lvl w:ilvl="4" w:tplc="E176052E">
      <w:start w:val="1"/>
      <w:numFmt w:val="lowerLetter"/>
      <w:lvlText w:val="%5."/>
      <w:lvlJc w:val="left"/>
      <w:pPr>
        <w:ind w:left="3600" w:hanging="360"/>
      </w:pPr>
    </w:lvl>
    <w:lvl w:ilvl="5" w:tplc="FE583E5E">
      <w:start w:val="1"/>
      <w:numFmt w:val="lowerRoman"/>
      <w:lvlText w:val="%6."/>
      <w:lvlJc w:val="right"/>
      <w:pPr>
        <w:ind w:left="4320" w:hanging="180"/>
      </w:pPr>
    </w:lvl>
    <w:lvl w:ilvl="6" w:tplc="E642390A">
      <w:start w:val="1"/>
      <w:numFmt w:val="decimal"/>
      <w:lvlText w:val="%7."/>
      <w:lvlJc w:val="left"/>
      <w:pPr>
        <w:ind w:left="5040" w:hanging="360"/>
      </w:pPr>
    </w:lvl>
    <w:lvl w:ilvl="7" w:tplc="83E2FDF8">
      <w:start w:val="1"/>
      <w:numFmt w:val="lowerLetter"/>
      <w:lvlText w:val="%8."/>
      <w:lvlJc w:val="left"/>
      <w:pPr>
        <w:ind w:left="5760" w:hanging="360"/>
      </w:pPr>
    </w:lvl>
    <w:lvl w:ilvl="8" w:tplc="D122870C">
      <w:start w:val="1"/>
      <w:numFmt w:val="lowerRoman"/>
      <w:lvlText w:val="%9."/>
      <w:lvlJc w:val="right"/>
      <w:pPr>
        <w:ind w:left="6480" w:hanging="180"/>
      </w:pPr>
    </w:lvl>
  </w:abstractNum>
  <w:abstractNum w:abstractNumId="2" w15:restartNumberingAfterBreak="0">
    <w:nsid w:val="5E966500"/>
    <w:multiLevelType w:val="hybridMultilevel"/>
    <w:tmpl w:val="0A3ABD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62094680">
    <w:abstractNumId w:val="1"/>
  </w:num>
  <w:num w:numId="2" w16cid:durableId="458761204">
    <w:abstractNumId w:val="0"/>
  </w:num>
  <w:num w:numId="3" w16cid:durableId="2071804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6C"/>
    <w:rsid w:val="00010A57"/>
    <w:rsid w:val="000232A8"/>
    <w:rsid w:val="00031E43"/>
    <w:rsid w:val="000369A7"/>
    <w:rsid w:val="000635C6"/>
    <w:rsid w:val="00072A68"/>
    <w:rsid w:val="00085203"/>
    <w:rsid w:val="000A797E"/>
    <w:rsid w:val="000B4EE5"/>
    <w:rsid w:val="000C3122"/>
    <w:rsid w:val="000D4E49"/>
    <w:rsid w:val="000D5809"/>
    <w:rsid w:val="00137FE3"/>
    <w:rsid w:val="00157A29"/>
    <w:rsid w:val="00192D63"/>
    <w:rsid w:val="001B04DB"/>
    <w:rsid w:val="0020766C"/>
    <w:rsid w:val="0027413B"/>
    <w:rsid w:val="00296B34"/>
    <w:rsid w:val="002B4FAB"/>
    <w:rsid w:val="0033301F"/>
    <w:rsid w:val="0035493D"/>
    <w:rsid w:val="003639E8"/>
    <w:rsid w:val="0037559F"/>
    <w:rsid w:val="004224DA"/>
    <w:rsid w:val="00422D31"/>
    <w:rsid w:val="00444FA3"/>
    <w:rsid w:val="00490EE7"/>
    <w:rsid w:val="004C005A"/>
    <w:rsid w:val="004D12CD"/>
    <w:rsid w:val="004D42F2"/>
    <w:rsid w:val="004E0BEB"/>
    <w:rsid w:val="004E5529"/>
    <w:rsid w:val="00520799"/>
    <w:rsid w:val="00527683"/>
    <w:rsid w:val="00561F92"/>
    <w:rsid w:val="00590D5C"/>
    <w:rsid w:val="005A308E"/>
    <w:rsid w:val="005A61B4"/>
    <w:rsid w:val="00606BE9"/>
    <w:rsid w:val="006253F5"/>
    <w:rsid w:val="006660B1"/>
    <w:rsid w:val="006B5141"/>
    <w:rsid w:val="006D09CC"/>
    <w:rsid w:val="006E68C0"/>
    <w:rsid w:val="00720EF7"/>
    <w:rsid w:val="00736EE7"/>
    <w:rsid w:val="00752C7F"/>
    <w:rsid w:val="0075430F"/>
    <w:rsid w:val="007558F2"/>
    <w:rsid w:val="0076620C"/>
    <w:rsid w:val="007C1DE6"/>
    <w:rsid w:val="007C2711"/>
    <w:rsid w:val="007F71C5"/>
    <w:rsid w:val="008A02E5"/>
    <w:rsid w:val="008B516D"/>
    <w:rsid w:val="008C6374"/>
    <w:rsid w:val="008F0F20"/>
    <w:rsid w:val="00902533"/>
    <w:rsid w:val="00911F52"/>
    <w:rsid w:val="00961CCD"/>
    <w:rsid w:val="009710E0"/>
    <w:rsid w:val="009872FF"/>
    <w:rsid w:val="00995571"/>
    <w:rsid w:val="009B6CED"/>
    <w:rsid w:val="009D4574"/>
    <w:rsid w:val="009D77AD"/>
    <w:rsid w:val="00A119F6"/>
    <w:rsid w:val="00A44B84"/>
    <w:rsid w:val="00A81C6F"/>
    <w:rsid w:val="00AB09D7"/>
    <w:rsid w:val="00AC2F6F"/>
    <w:rsid w:val="00B02AC9"/>
    <w:rsid w:val="00B02B4C"/>
    <w:rsid w:val="00B266D2"/>
    <w:rsid w:val="00B67A03"/>
    <w:rsid w:val="00B77441"/>
    <w:rsid w:val="00BF616C"/>
    <w:rsid w:val="00C06EEC"/>
    <w:rsid w:val="00C66BEA"/>
    <w:rsid w:val="00C73616"/>
    <w:rsid w:val="00C9079D"/>
    <w:rsid w:val="00CC79FC"/>
    <w:rsid w:val="00D37A2F"/>
    <w:rsid w:val="00D93166"/>
    <w:rsid w:val="00D9582D"/>
    <w:rsid w:val="00DC08FE"/>
    <w:rsid w:val="00E00DC7"/>
    <w:rsid w:val="00E02EF2"/>
    <w:rsid w:val="00E408A6"/>
    <w:rsid w:val="00E707F2"/>
    <w:rsid w:val="00E9070E"/>
    <w:rsid w:val="00F013EF"/>
    <w:rsid w:val="00F33144"/>
    <w:rsid w:val="00F552FF"/>
    <w:rsid w:val="00F56BD0"/>
    <w:rsid w:val="00F64F53"/>
    <w:rsid w:val="00F66EED"/>
    <w:rsid w:val="00F83EB3"/>
    <w:rsid w:val="00F96E78"/>
    <w:rsid w:val="00FA3A62"/>
    <w:rsid w:val="00FB243D"/>
    <w:rsid w:val="00FF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751A5"/>
  <w15:chartTrackingRefBased/>
  <w15:docId w15:val="{89B4E669-80F6-4FCB-B2A6-7A04CE97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6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66C"/>
    <w:pPr>
      <w:ind w:left="720"/>
      <w:contextualSpacing/>
    </w:pPr>
  </w:style>
  <w:style w:type="character" w:styleId="CommentReference">
    <w:name w:val="annotation reference"/>
    <w:basedOn w:val="DefaultParagraphFont"/>
    <w:uiPriority w:val="99"/>
    <w:semiHidden/>
    <w:unhideWhenUsed/>
    <w:rsid w:val="00192D63"/>
    <w:rPr>
      <w:sz w:val="16"/>
      <w:szCs w:val="16"/>
    </w:rPr>
  </w:style>
  <w:style w:type="paragraph" w:styleId="CommentText">
    <w:name w:val="annotation text"/>
    <w:basedOn w:val="Normal"/>
    <w:link w:val="CommentTextChar"/>
    <w:uiPriority w:val="99"/>
    <w:unhideWhenUsed/>
    <w:rsid w:val="00192D63"/>
    <w:pPr>
      <w:spacing w:line="240" w:lineRule="auto"/>
    </w:pPr>
    <w:rPr>
      <w:sz w:val="20"/>
      <w:szCs w:val="20"/>
    </w:rPr>
  </w:style>
  <w:style w:type="character" w:customStyle="1" w:styleId="CommentTextChar">
    <w:name w:val="Comment Text Char"/>
    <w:basedOn w:val="DefaultParagraphFont"/>
    <w:link w:val="CommentText"/>
    <w:uiPriority w:val="99"/>
    <w:rsid w:val="00192D63"/>
    <w:rPr>
      <w:kern w:val="0"/>
      <w:sz w:val="20"/>
      <w:szCs w:val="20"/>
      <w14:ligatures w14:val="none"/>
    </w:rPr>
  </w:style>
  <w:style w:type="paragraph" w:styleId="FootnoteText">
    <w:name w:val="footnote text"/>
    <w:basedOn w:val="Normal"/>
    <w:link w:val="FootnoteTextChar"/>
    <w:rsid w:val="00F552FF"/>
    <w:pPr>
      <w:spacing w:after="24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F552FF"/>
    <w:rPr>
      <w:rFonts w:ascii="Arial" w:eastAsia="Times New Roman" w:hAnsi="Arial" w:cs="Times New Roman"/>
      <w:kern w:val="0"/>
      <w:sz w:val="20"/>
      <w:szCs w:val="20"/>
      <w:lang w:val="fr-FR" w:eastAsia="en-GB"/>
      <w14:ligatures w14:val="none"/>
    </w:rPr>
  </w:style>
  <w:style w:type="character" w:styleId="FootnoteReference">
    <w:name w:val="footnote reference"/>
    <w:aliases w:val="Footnote symbol,Footnote,RSC_WP (footnote reference),number,Footnote reference number,note TESI,-E Fußnotenzeichen,SUPERS,Times 10 Point,Exposant 3 Point,Fußnotenzeichen, Exposant 3 Point,Footnote number,Footnote Reference Number,fr,o"/>
    <w:link w:val="FootnotesymbolCarZchn"/>
    <w:uiPriority w:val="99"/>
    <w:qFormat/>
    <w:rsid w:val="00F552FF"/>
    <w:rPr>
      <w:rFonts w:ascii="Arial" w:hAnsi="Arial"/>
      <w:b/>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F552FF"/>
    <w:pPr>
      <w:spacing w:line="240" w:lineRule="exact"/>
      <w:jc w:val="both"/>
    </w:pPr>
    <w:rPr>
      <w:rFonts w:ascii="Arial" w:hAnsi="Arial"/>
      <w:b/>
      <w:kern w:val="2"/>
      <w:vertAlign w:val="superscript"/>
      <w14:ligatures w14:val="standardContextual"/>
    </w:rPr>
  </w:style>
  <w:style w:type="paragraph" w:styleId="CommentSubject">
    <w:name w:val="annotation subject"/>
    <w:basedOn w:val="CommentText"/>
    <w:next w:val="CommentText"/>
    <w:link w:val="CommentSubjectChar"/>
    <w:uiPriority w:val="99"/>
    <w:semiHidden/>
    <w:unhideWhenUsed/>
    <w:rsid w:val="004E0BEB"/>
    <w:rPr>
      <w:b/>
      <w:bCs/>
    </w:rPr>
  </w:style>
  <w:style w:type="character" w:customStyle="1" w:styleId="CommentSubjectChar">
    <w:name w:val="Comment Subject Char"/>
    <w:basedOn w:val="CommentTextChar"/>
    <w:link w:val="CommentSubject"/>
    <w:uiPriority w:val="99"/>
    <w:semiHidden/>
    <w:rsid w:val="004E0BEB"/>
    <w:rPr>
      <w:b/>
      <w:bCs/>
      <w:kern w:val="0"/>
      <w:sz w:val="20"/>
      <w:szCs w:val="20"/>
      <w14:ligatures w14:val="none"/>
    </w:rPr>
  </w:style>
  <w:style w:type="paragraph" w:styleId="Revision">
    <w:name w:val="Revision"/>
    <w:hidden/>
    <w:uiPriority w:val="99"/>
    <w:semiHidden/>
    <w:rsid w:val="004E0BEB"/>
    <w:pPr>
      <w:spacing w:after="0" w:line="240" w:lineRule="auto"/>
    </w:pPr>
    <w:rPr>
      <w:kern w:val="0"/>
      <w14:ligatures w14:val="none"/>
    </w:rPr>
  </w:style>
  <w:style w:type="paragraph" w:styleId="Header">
    <w:name w:val="header"/>
    <w:basedOn w:val="Normal"/>
    <w:link w:val="HeaderChar"/>
    <w:uiPriority w:val="99"/>
    <w:unhideWhenUsed/>
    <w:rsid w:val="00C73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616"/>
    <w:rPr>
      <w:kern w:val="0"/>
      <w14:ligatures w14:val="none"/>
    </w:rPr>
  </w:style>
  <w:style w:type="paragraph" w:styleId="Footer">
    <w:name w:val="footer"/>
    <w:basedOn w:val="Normal"/>
    <w:link w:val="FooterChar"/>
    <w:uiPriority w:val="99"/>
    <w:unhideWhenUsed/>
    <w:rsid w:val="00C73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61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28654">
      <w:bodyDiv w:val="1"/>
      <w:marLeft w:val="0"/>
      <w:marRight w:val="0"/>
      <w:marTop w:val="0"/>
      <w:marBottom w:val="0"/>
      <w:divBdr>
        <w:top w:val="none" w:sz="0" w:space="0" w:color="auto"/>
        <w:left w:val="none" w:sz="0" w:space="0" w:color="auto"/>
        <w:bottom w:val="none" w:sz="0" w:space="0" w:color="auto"/>
        <w:right w:val="none" w:sz="0" w:space="0" w:color="auto"/>
      </w:divBdr>
    </w:div>
    <w:div w:id="1160999724">
      <w:bodyDiv w:val="1"/>
      <w:marLeft w:val="0"/>
      <w:marRight w:val="0"/>
      <w:marTop w:val="0"/>
      <w:marBottom w:val="0"/>
      <w:divBdr>
        <w:top w:val="none" w:sz="0" w:space="0" w:color="auto"/>
        <w:left w:val="none" w:sz="0" w:space="0" w:color="auto"/>
        <w:bottom w:val="none" w:sz="0" w:space="0" w:color="auto"/>
        <w:right w:val="none" w:sz="0" w:space="0" w:color="auto"/>
      </w:divBdr>
    </w:div>
    <w:div w:id="20247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52CBB-D214-4BF7-B801-18EE3D5F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2063</Words>
  <Characters>12032</Characters>
  <Application>Microsoft Office Word</Application>
  <DocSecurity>0</DocSecurity>
  <Lines>169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GUSTAFSSON Marcus (TRADE)</dc:creator>
  <cp:keywords/>
  <dc:description/>
  <cp:lastModifiedBy>DELBAER Gerda (SG)</cp:lastModifiedBy>
  <cp:revision>2</cp:revision>
  <dcterms:created xsi:type="dcterms:W3CDTF">2024-04-15T07:03:00Z</dcterms:created>
  <dcterms:modified xsi:type="dcterms:W3CDTF">2024-04-15T07:03:00Z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2024-01-25T19:43:31Z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e3f89d4d-89e5-421b-bde2-f029f9b90c6c</vt:lpwstr>
  </property>
  <property fmtid="{D5CDD505-2E9C-101B-9397-08002B2CF9AE}" pid="8" name="MSIP_Label_6bd9ddd1-4d20-43f6-abfa-fc3c07406f94_ContentBits">
    <vt:lpwstr>0</vt:lpwstr>
  </property>
</Properties>
</file>