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82390" w14:textId="77777777" w:rsidR="00416A0F" w:rsidRPr="0063486E" w:rsidRDefault="3DA98939" w:rsidP="000B06E0">
      <w:pPr>
        <w:pStyle w:val="ATHeading2"/>
        <w:spacing w:before="0" w:after="600"/>
        <w:jc w:val="center"/>
        <w:rPr>
          <w:sz w:val="24"/>
          <w:szCs w:val="24"/>
        </w:rPr>
      </w:pPr>
      <w:bookmarkStart w:id="0" w:name="SME"/>
      <w:r>
        <w:rPr>
          <w:sz w:val="24"/>
        </w:rPr>
        <w:t>Suite donnée à la résolution non législative du Parlement européen</w:t>
      </w:r>
      <w:r w:rsidRPr="00210CB7">
        <w:rPr>
          <w:sz w:val="24"/>
        </w:rPr>
        <w:t xml:space="preserve"> </w:t>
      </w:r>
      <w:bookmarkStart w:id="1" w:name="title"/>
      <w:r w:rsidRPr="00210CB7">
        <w:rPr>
          <w:sz w:val="24"/>
        </w:rPr>
        <w:t>sur la</w:t>
      </w:r>
      <w:r>
        <w:t xml:space="preserve"> </w:t>
      </w:r>
      <w:r>
        <w:rPr>
          <w:sz w:val="24"/>
        </w:rPr>
        <w:t>coopération au développement de l’Union en faveur de l’accès à l’énergie dans les pays en développement</w:t>
      </w:r>
      <w:r>
        <w:t xml:space="preserve"> </w:t>
      </w:r>
      <w:bookmarkEnd w:id="1"/>
    </w:p>
    <w:bookmarkEnd w:id="0"/>
    <w:p w14:paraId="1298E41E" w14:textId="1D51A94C" w:rsidR="00F42613" w:rsidRPr="000B06E0" w:rsidRDefault="00F42613" w:rsidP="00F42613">
      <w:pPr>
        <w:numPr>
          <w:ilvl w:val="0"/>
          <w:numId w:val="2"/>
        </w:numPr>
        <w:ind w:left="567" w:hanging="567"/>
        <w:rPr>
          <w:rFonts w:ascii="Times New Roman" w:hAnsi="Times New Roman"/>
          <w:bCs/>
          <w:szCs w:val="24"/>
        </w:rPr>
      </w:pPr>
      <w:r>
        <w:rPr>
          <w:rFonts w:ascii="Times New Roman" w:hAnsi="Times New Roman"/>
          <w:b/>
        </w:rPr>
        <w:t xml:space="preserve">Rapporteure: </w:t>
      </w:r>
      <w:r>
        <w:rPr>
          <w:rFonts w:ascii="Times New Roman" w:hAnsi="Times New Roman"/>
        </w:rPr>
        <w:t>Caroline ROOSE (Verts/ALE/FR)</w:t>
      </w:r>
    </w:p>
    <w:p w14:paraId="0E740E18" w14:textId="5F04C50F" w:rsidR="00F42613" w:rsidRPr="0063486E" w:rsidRDefault="00F42613" w:rsidP="00F42613">
      <w:pPr>
        <w:numPr>
          <w:ilvl w:val="0"/>
          <w:numId w:val="2"/>
        </w:numPr>
        <w:ind w:left="567" w:hanging="567"/>
        <w:rPr>
          <w:rFonts w:ascii="Times New Roman" w:hAnsi="Times New Roman"/>
          <w:szCs w:val="24"/>
        </w:rPr>
      </w:pPr>
      <w:r>
        <w:rPr>
          <w:rFonts w:ascii="Times New Roman" w:hAnsi="Times New Roman"/>
          <w:b/>
        </w:rPr>
        <w:t xml:space="preserve">Numéros de référence: </w:t>
      </w:r>
      <w:r>
        <w:rPr>
          <w:rFonts w:ascii="Times New Roman" w:hAnsi="Times New Roman"/>
        </w:rPr>
        <w:t xml:space="preserve">2023/2073 (INI) / A9-0441/2023 / P9_TA(2024)0031 </w:t>
      </w:r>
    </w:p>
    <w:p w14:paraId="154D753B" w14:textId="5508BC45" w:rsidR="00F42613" w:rsidRPr="0063486E" w:rsidRDefault="00F42613" w:rsidP="00F42613">
      <w:pPr>
        <w:numPr>
          <w:ilvl w:val="0"/>
          <w:numId w:val="2"/>
        </w:numPr>
        <w:ind w:left="567" w:hanging="567"/>
        <w:rPr>
          <w:rFonts w:ascii="Times New Roman" w:hAnsi="Times New Roman"/>
          <w:szCs w:val="24"/>
        </w:rPr>
      </w:pPr>
      <w:r>
        <w:rPr>
          <w:rFonts w:ascii="Times New Roman" w:hAnsi="Times New Roman"/>
          <w:b/>
        </w:rPr>
        <w:t xml:space="preserve">Date d'adoption de la résolution: </w:t>
      </w:r>
      <w:r>
        <w:rPr>
          <w:rFonts w:ascii="Times New Roman" w:hAnsi="Times New Roman"/>
        </w:rPr>
        <w:t>17 janvier 2024</w:t>
      </w:r>
    </w:p>
    <w:p w14:paraId="579708FC" w14:textId="027AB9E8" w:rsidR="00F42613" w:rsidRPr="0063486E" w:rsidRDefault="00F42613" w:rsidP="00F42613">
      <w:pPr>
        <w:widowControl w:val="0"/>
        <w:numPr>
          <w:ilvl w:val="0"/>
          <w:numId w:val="2"/>
        </w:numPr>
        <w:ind w:left="567" w:hanging="567"/>
        <w:rPr>
          <w:rFonts w:ascii="Times New Roman" w:hAnsi="Times New Roman"/>
          <w:szCs w:val="24"/>
        </w:rPr>
      </w:pPr>
      <w:bookmarkStart w:id="2" w:name="_Hlk152762992"/>
      <w:r>
        <w:rPr>
          <w:rFonts w:ascii="Times New Roman" w:hAnsi="Times New Roman"/>
          <w:b/>
        </w:rPr>
        <w:t>Commission parlementaire compétente:</w:t>
      </w:r>
      <w:r>
        <w:rPr>
          <w:rFonts w:ascii="Times New Roman" w:hAnsi="Times New Roman"/>
        </w:rPr>
        <w:t xml:space="preserve"> commission du développement (DEVE)</w:t>
      </w:r>
    </w:p>
    <w:bookmarkEnd w:id="2"/>
    <w:p w14:paraId="5840A05C" w14:textId="77777777" w:rsidR="00F42613" w:rsidRPr="0063486E" w:rsidRDefault="00F42613" w:rsidP="00F42613">
      <w:pPr>
        <w:widowControl w:val="0"/>
        <w:numPr>
          <w:ilvl w:val="0"/>
          <w:numId w:val="2"/>
        </w:numPr>
        <w:ind w:left="567" w:hanging="567"/>
        <w:rPr>
          <w:rFonts w:ascii="Times New Roman" w:hAnsi="Times New Roman"/>
          <w:szCs w:val="24"/>
        </w:rPr>
      </w:pPr>
      <w:r>
        <w:rPr>
          <w:rFonts w:ascii="Times New Roman" w:hAnsi="Times New Roman"/>
          <w:b/>
        </w:rPr>
        <w:t>Analyse/évaluation succincte de la résolution et des demandes qu’elle contient:</w:t>
      </w:r>
      <w:r>
        <w:rPr>
          <w:rFonts w:ascii="Times New Roman" w:hAnsi="Times New Roman"/>
        </w:rPr>
        <w:t xml:space="preserve"> </w:t>
      </w:r>
    </w:p>
    <w:p w14:paraId="0A496D71" w14:textId="46CA6E12" w:rsidR="00416A0F" w:rsidRPr="0063486E" w:rsidRDefault="00416A0F" w:rsidP="000B06E0">
      <w:pPr>
        <w:spacing w:after="120"/>
        <w:rPr>
          <w:rFonts w:ascii="Times New Roman" w:hAnsi="Times New Roman"/>
        </w:rPr>
      </w:pPr>
      <w:r>
        <w:rPr>
          <w:rFonts w:ascii="Times New Roman" w:hAnsi="Times New Roman"/>
        </w:rPr>
        <w:t>La résolution du Parlement européen rappelle que l’accès à une énergie universelle, abordable et durable est un droit humain fondamental et une condition préalable à la réalisation des objectifs de développement durable. Elle invite l’Union à fournir et à faciliter des financements publics et privés pour soutenir un avenir neutre en carbone et le développement des énergies renouvelables. La résolution souligne la nécessité d’un approvisionnement énergétique stable et de prix abordables, en particulier dans les pays en développement, et invite l’Union à favoriser l’accès aux énergies renouvelables grâce à un soutien stratégique et à des transferts de technologies. Elle traite également l’incidence de la précarité énergétique sur les femmes et les filles, les conséquences sanitaires et environnementales des émissions de bois de chauffage des ménages et la nécessité d’un accès à des combustibles de cuisson propres.</w:t>
      </w:r>
    </w:p>
    <w:p w14:paraId="6E4E60C9" w14:textId="040D38D1" w:rsidR="001431F9" w:rsidRPr="0063486E" w:rsidRDefault="00416A0F" w:rsidP="000B06E0">
      <w:pPr>
        <w:spacing w:after="120"/>
        <w:rPr>
          <w:rFonts w:ascii="Times New Roman" w:hAnsi="Times New Roman"/>
          <w:szCs w:val="24"/>
        </w:rPr>
      </w:pPr>
      <w:r>
        <w:rPr>
          <w:rFonts w:ascii="Times New Roman" w:hAnsi="Times New Roman"/>
        </w:rPr>
        <w:t>La résolution souligne le rôle crucial de l’hydrogène vert dans la décarbonation du système énergétique et insiste sur la nécessité d’assurer la cohérence des politiques au service du développement durable. En outre, elle demande une augmentation de l’aide publique au développement consacrée au secteur de l’énergie et un soutien aux pays en développement dans leur adaptation au changement climatique. Dans l’ensemble, la résolution invite instamment l’UE à accorder la priorité aux énergies renouvelables et à soutenir la transition énergétique dans les pays en développement, tout en garantissant la durabilité sociale et environnementale, les droits de l’homme, ainsi qu’à la cohérence des politiques au service du développement durable.</w:t>
      </w:r>
    </w:p>
    <w:p w14:paraId="1ABAE65D" w14:textId="55850A1F" w:rsidR="00F42613" w:rsidRPr="0063486E" w:rsidRDefault="00F42613" w:rsidP="000B06E0">
      <w:pPr>
        <w:widowControl w:val="0"/>
        <w:numPr>
          <w:ilvl w:val="0"/>
          <w:numId w:val="2"/>
        </w:numPr>
        <w:ind w:left="567" w:hanging="567"/>
        <w:rPr>
          <w:rFonts w:ascii="Times New Roman" w:hAnsi="Times New Roman"/>
          <w:b/>
          <w:bCs/>
          <w:szCs w:val="24"/>
        </w:rPr>
      </w:pPr>
      <w:r>
        <w:rPr>
          <w:rFonts w:ascii="Times New Roman" w:hAnsi="Times New Roman"/>
          <w:b/>
        </w:rPr>
        <w:t>Réponse à ces demandes et aperçu des mesures que la Commission a prises ou envisage de prendre:</w:t>
      </w:r>
    </w:p>
    <w:p w14:paraId="567ABD7B" w14:textId="79075E78" w:rsidR="24058E43" w:rsidRPr="0063486E" w:rsidRDefault="08811DE4" w:rsidP="000B06E0">
      <w:pPr>
        <w:spacing w:after="120"/>
        <w:rPr>
          <w:rFonts w:ascii="Times New Roman" w:hAnsi="Times New Roman"/>
        </w:rPr>
      </w:pPr>
      <w:r>
        <w:rPr>
          <w:rFonts w:ascii="Times New Roman" w:hAnsi="Times New Roman"/>
        </w:rPr>
        <w:t>La Commission convient que le renforcement de l’accès et de l’électrification fondée sur les énergies renouvelables est un élément clé pour promouvoir une transition énergétique durable et juste (</w:t>
      </w:r>
      <w:r>
        <w:rPr>
          <w:rFonts w:ascii="Times New Roman" w:hAnsi="Times New Roman"/>
          <w:b/>
        </w:rPr>
        <w:t>paragraphes 3, 13, 18 et 38</w:t>
      </w:r>
      <w:r>
        <w:rPr>
          <w:rFonts w:ascii="Times New Roman" w:hAnsi="Times New Roman"/>
        </w:rPr>
        <w:t>). Grâce à la stratégie «Global Gateway» et à l’aide d’une approche «Équipe Europe», l’UE continuera d’œuvrer à garantir l’accès à une énergie propre et abordable, en veillant à ce que l’accès à une énergie durable réponde à la demande énergétique croissante, dans le monde entier, conformément à l’objectif de développement durable (ODD) 7.</w:t>
      </w:r>
    </w:p>
    <w:p w14:paraId="379CE79F" w14:textId="276B4660" w:rsidR="2A6C24A7" w:rsidRPr="0063486E" w:rsidRDefault="7596B48D" w:rsidP="000B06E0">
      <w:pPr>
        <w:spacing w:after="120"/>
        <w:rPr>
          <w:rFonts w:ascii="Times New Roman" w:hAnsi="Times New Roman"/>
        </w:rPr>
      </w:pPr>
      <w:r>
        <w:rPr>
          <w:rFonts w:ascii="Times New Roman" w:hAnsi="Times New Roman"/>
        </w:rPr>
        <w:t>La Commission est déterminée à intégrer l’égalité de genre dans le secteur de l’énergie et, de manière générale, dans toutes les actions de développement, et à ériger en priorité l’accès à une cuisson propre aux niveaux national, régional et continental (</w:t>
      </w:r>
      <w:r>
        <w:rPr>
          <w:rFonts w:ascii="Times New Roman" w:hAnsi="Times New Roman"/>
          <w:b/>
        </w:rPr>
        <w:t>paragraphes 7 et 11</w:t>
      </w:r>
      <w:r>
        <w:rPr>
          <w:rFonts w:ascii="Times New Roman" w:hAnsi="Times New Roman"/>
        </w:rPr>
        <w:t xml:space="preserve">). Des progrès significatifs ont été accomplis, comme en témoignent les programmes spécifiques visant à encourager la participation des femmes à la chaîne de valeur énergétique, à accroître </w:t>
      </w:r>
      <w:r>
        <w:rPr>
          <w:rFonts w:ascii="Times New Roman" w:hAnsi="Times New Roman"/>
        </w:rPr>
        <w:lastRenderedPageBreak/>
        <w:t>leurs capacités techniques et commerciales et à renforcer leur rôle d’entrepreneures dans le domaine de l’énergie grâce à plusieurs actions en cours dans le cadre de l’initiative UE-Afrique pour l’énergie verte.</w:t>
      </w:r>
    </w:p>
    <w:p w14:paraId="6DC37B2B" w14:textId="2AC00C85" w:rsidR="2E020ABF" w:rsidRPr="0063486E" w:rsidRDefault="7BFD4AF1" w:rsidP="000B06E0">
      <w:pPr>
        <w:spacing w:after="120"/>
        <w:rPr>
          <w:rFonts w:ascii="Times New Roman" w:hAnsi="Times New Roman"/>
        </w:rPr>
      </w:pPr>
      <w:r>
        <w:rPr>
          <w:rFonts w:ascii="Times New Roman" w:hAnsi="Times New Roman"/>
        </w:rPr>
        <w:t>La Commission est déterminée à intégrer les droits de l’homme, y compris les droits des peuples autochtones, dans toutes les dimensions des politiques extérieures, de la coopération et du commerce de l’UE, ainsi que dans ses dialogues politiques avec les pays tiers et les organisations régionales, ainsi que dans les enceintes multilatérales telles que les Nations unies. L’approche du développement fondée sur les droits qui englobe tous les droits de l’homme, telle que mise en pratique par la Commission, est un vecteur essentiel d’intégration et de soutien aux peuples autochtones dans le cadre de l’action extérieure. Dans le cadre du troisième plan d’action de l’UE en faveur des droits de l’homme et de la démocratie pour la période 2020-2024, l’UE a renouvelé son engagement à soutenir les peuples autochtones en encourageant leur participation aux processus pertinents en matière de droits de l’homme et de développement et en défendant le principe du consentement préalable, libre et éclairé dans toutes les décisions les concernant, conformément à la déclaration des Nations unies sur les droits des peuples autochtones. La Commission est déterminée à garantir, de manière significative et systématique, la pleine participation et le consentement préalable, libre et éclairé des populations autochtones à l’identification et à la formulation de l’ensemble des programmes (</w:t>
      </w:r>
      <w:r>
        <w:rPr>
          <w:rFonts w:ascii="Times New Roman" w:hAnsi="Times New Roman"/>
          <w:b/>
        </w:rPr>
        <w:t>paragraphe 21</w:t>
      </w:r>
      <w:r>
        <w:rPr>
          <w:rFonts w:ascii="Times New Roman" w:hAnsi="Times New Roman"/>
        </w:rPr>
        <w:t>).</w:t>
      </w:r>
    </w:p>
    <w:p w14:paraId="2EEB3322" w14:textId="1A6F7006" w:rsidR="29303D17" w:rsidRPr="0063486E" w:rsidRDefault="1154D87F" w:rsidP="000B06E0">
      <w:pPr>
        <w:spacing w:after="120"/>
        <w:rPr>
          <w:rFonts w:ascii="Times New Roman" w:hAnsi="Times New Roman"/>
          <w:b/>
          <w:bCs/>
        </w:rPr>
      </w:pPr>
      <w:r>
        <w:rPr>
          <w:rFonts w:ascii="Times New Roman" w:hAnsi="Times New Roman"/>
        </w:rPr>
        <w:t>La Commission est résolue à améliorer la transparence des rapports et s’engage à rendre compte des progrès accomplis en matière d’accès à l’énergie et de développement d’un environnement favorable, comme en témoigne l’activité en cours visant à améliorer le cadre de résultats du programme «l’Europe dans le monde» (GERF). Au cours de la période 2014-2020, près de 30 millions de personnes ont obtenu un nouvel accès ou un accès amélioré à l’énergie grâce aux programmes financés par l’UE, dont la plupart en Afrique, et plus de 31 000 MW de capacités de production à partir d’énergies renouvelables ont été installés. Actuellement, la Commission recueille des données consolidées sur toutes les interventions de l’UE dans le monde (</w:t>
      </w:r>
      <w:r>
        <w:rPr>
          <w:rFonts w:ascii="Times New Roman" w:hAnsi="Times New Roman"/>
          <w:b/>
        </w:rPr>
        <w:t>paragraphe 19</w:t>
      </w:r>
      <w:r>
        <w:rPr>
          <w:rFonts w:ascii="Times New Roman" w:hAnsi="Times New Roman"/>
        </w:rPr>
        <w:t>).</w:t>
      </w:r>
    </w:p>
    <w:p w14:paraId="4D287CF4" w14:textId="4029677A" w:rsidR="0ED5C6DB" w:rsidRPr="0063486E" w:rsidRDefault="1043578A" w:rsidP="000B06E0">
      <w:pPr>
        <w:spacing w:after="120"/>
        <w:rPr>
          <w:rFonts w:ascii="Times New Roman" w:eastAsiaTheme="minorEastAsia" w:hAnsi="Times New Roman"/>
        </w:rPr>
      </w:pPr>
      <w:r>
        <w:rPr>
          <w:rFonts w:ascii="Times New Roman" w:hAnsi="Times New Roman"/>
        </w:rPr>
        <w:t>La Commission est déterminée à promouvoir et à partager les valeurs du pacte vert pour l’Europe dans ses partenariats internationaux (</w:t>
      </w:r>
      <w:r>
        <w:rPr>
          <w:rFonts w:ascii="Times New Roman" w:hAnsi="Times New Roman"/>
          <w:b/>
        </w:rPr>
        <w:t>paragraphes 28 et 33</w:t>
      </w:r>
      <w:r>
        <w:rPr>
          <w:rFonts w:ascii="Times New Roman" w:hAnsi="Times New Roman"/>
        </w:rPr>
        <w:t>) et a accompli des progrès significatifs pour aider les pays partenaires à s’engager eux-mêmes dans une transition écologique (conformément à la mise en œuvre de l’accord de Paris), comme en témoigne le fait que les 33 projets de production d’électricité relevant de la stratégie «Global Gateway» recourent tous aux énergies renouvelables uniquement. L’accélération de la transition énergétique mondiale est une priorité pour l’UE: en 2023, outre de nombreuses interventions en cours ou nouvellement lancées dans ce domaine, l’UE a participé à la mise en œuvre de quatre partenariats distincts pour une transition énergétique juste (JETP) avec l’Afrique du Sud, le Viêt Nam, l’Indonésie et le Sénégal, en s’efforçant de fournir un soutien et de susciter de l’ambition en faveur de transitions énergétiques justes.</w:t>
      </w:r>
    </w:p>
    <w:p w14:paraId="10643FB2" w14:textId="24AD0596" w:rsidR="16A25262" w:rsidRPr="0063486E" w:rsidRDefault="7C6EC002" w:rsidP="000B06E0">
      <w:pPr>
        <w:spacing w:after="120"/>
        <w:rPr>
          <w:rFonts w:ascii="Times New Roman" w:eastAsiaTheme="minorEastAsia" w:hAnsi="Times New Roman"/>
        </w:rPr>
      </w:pPr>
      <w:r>
        <w:rPr>
          <w:rFonts w:ascii="Times New Roman" w:hAnsi="Times New Roman"/>
        </w:rPr>
        <w:t>Dans le cadre de son approche globale, l’UE apporte un soutien stratégique, juridique, réglementaire, financier et technique afin de créer un environnement favorable et de maximiser les avantages du déploiement de la chaîne de valeur de l’hydrogène vert dans les pays en développement, comme en témoigne le fait qu’il existe déjà 6 projets phares dans le domaine de l’hydrogène au titre de «Global Gateway» dans le monde entier (</w:t>
      </w:r>
      <w:r>
        <w:rPr>
          <w:rFonts w:ascii="Times New Roman" w:hAnsi="Times New Roman"/>
          <w:b/>
        </w:rPr>
        <w:t>paragraphe 37</w:t>
      </w:r>
      <w:r>
        <w:rPr>
          <w:rFonts w:ascii="Times New Roman" w:hAnsi="Times New Roman"/>
        </w:rPr>
        <w:t xml:space="preserve">). L’hydrogène renouvelable devrait jouer un rôle clé dans la sécurité énergétique et dans la décarbonation des secteurs pour lesquels la réduction des émissions s’avère difficile, avec des avantages mutuels pour l’UE et nos pays partenaires. L’UE est active en Amérique latine, en Afrique et en Asie. Citons comme exemples la stratégie et la feuille de route pour l’hydrogène </w:t>
      </w:r>
      <w:r>
        <w:rPr>
          <w:rFonts w:ascii="Times New Roman" w:hAnsi="Times New Roman"/>
        </w:rPr>
        <w:lastRenderedPageBreak/>
        <w:t xml:space="preserve">vert </w:t>
      </w:r>
      <w:r>
        <w:rPr>
          <w:rFonts w:ascii="Times New Roman" w:hAnsi="Times New Roman"/>
          <w:color w:val="000000" w:themeColor="text1"/>
        </w:rPr>
        <w:t>au Kenya, qui ont été élaborées dans le cadre du mécanisme mondial d’assistance technique de l’UE pour l’énergie durable et ont été lancées</w:t>
      </w:r>
      <w:r>
        <w:rPr>
          <w:rFonts w:ascii="Times New Roman" w:hAnsi="Times New Roman"/>
        </w:rPr>
        <w:t xml:space="preserve"> lors du sommet africain sur le climat en septembre 2023. Parmi les autres exemples d’initiatives «Équipe Europe» dans le cadre de la stratégie «Global Gateway» sur l’hydrogène renouvelable en Afrique figurent des projets en Mauritanie, en Namibie et en Afrique du Sud. En outre, en 2023, l’UE a signé des protocoles d’accord avec l’Argentine et l’Uruguay en vue de développer la coopération en matière d’hydrogène renouvelable.</w:t>
      </w:r>
    </w:p>
    <w:p w14:paraId="7036359D" w14:textId="28135C16" w:rsidR="63E01A42" w:rsidRPr="0063486E" w:rsidRDefault="23A5B420" w:rsidP="000B06E0">
      <w:pPr>
        <w:spacing w:after="120"/>
        <w:rPr>
          <w:rFonts w:ascii="Times New Roman" w:hAnsi="Times New Roman"/>
          <w:szCs w:val="24"/>
        </w:rPr>
      </w:pPr>
      <w:bookmarkStart w:id="3" w:name="_Hlk160137236"/>
      <w:r>
        <w:rPr>
          <w:rFonts w:ascii="Times New Roman" w:hAnsi="Times New Roman"/>
        </w:rPr>
        <w:t>La Commission est déterminée à simplifier l’accès au financement pour une transition énergétique juste pour les pays en développement et à fournir des solutions innovantes pour accélérer la transition écologique (</w:t>
      </w:r>
      <w:r>
        <w:rPr>
          <w:rFonts w:ascii="Times New Roman" w:hAnsi="Times New Roman"/>
          <w:b/>
        </w:rPr>
        <w:t>paragraphe 51</w:t>
      </w:r>
      <w:r>
        <w:rPr>
          <w:rFonts w:ascii="Times New Roman" w:hAnsi="Times New Roman"/>
        </w:rPr>
        <w:t>). Dans ce contexte, la Commission a chargé un groupe d’experts à haut niveau d’étudier des moyens innovants de mobiliser des capitaux privés en faveur d’investissements durables dans les pays à revenu faible et intermédiaire, le rapport final et les recommandations stratégiques devant être présentés début 2024. Dans le cadre de ses travaux, le groupe d’experts à haut niveau a examiné le potentiel et les limites des conversions de dettes en investissements en faveur de la nature et du climat. La Commission analysera les recommandations du groupe d’experts à haut niveau sur cet instrument et évaluera son potentiel. En novembre 2023, la Commission a approuvé une garantie de 150 millions d’euros de la Banque européenne d’investissement au gouvernement de la Barbade pour une opération de conversion de dette qui est pleinement conforme aux priorités de la stratégie «Global Gateway». Les enseignements tirés de cette opération seront également pris en considération lors de l’évaluation du potentiel de futures conversions de dettes.</w:t>
      </w:r>
      <w:bookmarkEnd w:id="3"/>
    </w:p>
    <w:p w14:paraId="25C2EBCB" w14:textId="6DD1D121" w:rsidR="76D4528B" w:rsidRPr="0063486E" w:rsidRDefault="1EB76703" w:rsidP="000B06E0">
      <w:pPr>
        <w:spacing w:after="120"/>
        <w:rPr>
          <w:rFonts w:ascii="Times New Roman" w:hAnsi="Times New Roman"/>
        </w:rPr>
      </w:pPr>
      <w:r>
        <w:rPr>
          <w:rFonts w:ascii="Times New Roman" w:hAnsi="Times New Roman"/>
        </w:rPr>
        <w:t>La Commission convient de la nécessité d’accroître l’aide publique au développement consacrée au secteur de l’énergie dans les pays africains présentant les taux d’accès les plus bas, en mettant en œuvre des mécanismes financiers adaptés aux circonstances et en veillant à l’adaptation au changement climatique (</w:t>
      </w:r>
      <w:r>
        <w:rPr>
          <w:rFonts w:ascii="Times New Roman" w:hAnsi="Times New Roman"/>
          <w:b/>
        </w:rPr>
        <w:t>paragraphes 53 et 49</w:t>
      </w:r>
      <w:r>
        <w:rPr>
          <w:rFonts w:ascii="Times New Roman" w:hAnsi="Times New Roman"/>
        </w:rPr>
        <w:t>).</w:t>
      </w:r>
    </w:p>
    <w:p w14:paraId="3DE91D8F" w14:textId="7B810523" w:rsidR="5F659CA2" w:rsidRPr="0063486E" w:rsidRDefault="1043578A" w:rsidP="000B06E0">
      <w:pPr>
        <w:spacing w:after="120"/>
        <w:rPr>
          <w:rFonts w:ascii="Times New Roman" w:hAnsi="Times New Roman"/>
        </w:rPr>
      </w:pPr>
      <w:r>
        <w:rPr>
          <w:rFonts w:ascii="Times New Roman" w:hAnsi="Times New Roman"/>
        </w:rPr>
        <w:t>La Commission convient que le fait d’orienter les investissements vers le segment de la distribution, en particulier l’électrification rurale, et de donner la priorité aux systèmes d’énergie renouvelable décentralisés, à petite échelle et hors réseau lorsque ces solutions sont plus appropriées que l’extension du réseau pour permettre aux populations rurales d’accéder à l’électricité, est un élément clé pour parvenir à un accès universel d’ici à 2030, et est déterminée à coordonner les investissements entre les différents acteurs, comme en témoignent les initiatives «Équipe Europe» dans les pays partenaires (</w:t>
      </w:r>
      <w:r>
        <w:rPr>
          <w:rFonts w:ascii="Times New Roman" w:hAnsi="Times New Roman"/>
          <w:b/>
          <w:bCs/>
        </w:rPr>
        <w:t>paragraphe 56</w:t>
      </w:r>
      <w:r>
        <w:rPr>
          <w:rFonts w:ascii="Times New Roman" w:hAnsi="Times New Roman"/>
        </w:rPr>
        <w:t>).</w:t>
      </w:r>
    </w:p>
    <w:p w14:paraId="66A53302" w14:textId="6313DDED" w:rsidR="76312C74" w:rsidRPr="0063486E" w:rsidRDefault="4DC7DA83" w:rsidP="000B06E0">
      <w:pPr>
        <w:spacing w:after="120"/>
        <w:rPr>
          <w:rFonts w:ascii="Times New Roman" w:hAnsi="Times New Roman"/>
        </w:rPr>
      </w:pPr>
      <w:r>
        <w:rPr>
          <w:rFonts w:ascii="Times New Roman" w:hAnsi="Times New Roman"/>
        </w:rPr>
        <w:t>La Commission est attachée à l’évaluation des risques en matière de droits de l’homme et a mis en place un cadre interne de gestion des risques pour tous les pays tiers bénéficiant d’une aide au développement de l’UE. Le cadre accorde une attention particulière au risque politique, qui englobe les droits de l’homme et les libertés fondamentales, l’égalité, l’inclusion et la non-discrimination, ainsi que la démocratie et l’état de droit. En outre, la Commission a adopté, le 30 juin 2021, une boîte à outils actualisée concernant l’«approche fondée sur les droits de l’homme» [SWD(2021) 179 final]. Elle s’applique à l’identification et à la formulation d’actions ainsi qu’à leur mise en œuvre, y compris le suivi et l’évaluation. Ces outils de suivi permettent à la Commission de suspendre toute intervention de l’UE en cas de graves préoccupations concernant les valeurs fondamentales et de suspendre ou de résilier les conventions de financement si le pays partenaire ne respecte pas les principes du droit international, les principes de la démocratie, de l’état de droit, de bonne gouvernance, ou de respect des droits de l’homme et des libertés fondamentales (</w:t>
      </w:r>
      <w:r>
        <w:rPr>
          <w:rFonts w:ascii="Times New Roman" w:hAnsi="Times New Roman"/>
          <w:b/>
        </w:rPr>
        <w:t>paragraphe 56</w:t>
      </w:r>
      <w:r>
        <w:rPr>
          <w:rFonts w:ascii="Times New Roman" w:hAnsi="Times New Roman"/>
        </w:rPr>
        <w:t>).</w:t>
      </w:r>
    </w:p>
    <w:sectPr w:rsidR="76312C74" w:rsidRPr="0063486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58F14" w14:textId="77777777" w:rsidR="00581C24" w:rsidRDefault="00581C24" w:rsidP="00F42613">
      <w:pPr>
        <w:spacing w:after="0"/>
      </w:pPr>
      <w:r>
        <w:separator/>
      </w:r>
    </w:p>
  </w:endnote>
  <w:endnote w:type="continuationSeparator" w:id="0">
    <w:p w14:paraId="11416D96" w14:textId="77777777" w:rsidR="00581C24" w:rsidRDefault="00581C24" w:rsidP="00F42613">
      <w:pPr>
        <w:spacing w:after="0"/>
      </w:pPr>
      <w:r>
        <w:continuationSeparator/>
      </w:r>
    </w:p>
  </w:endnote>
  <w:endnote w:type="continuationNotice" w:id="1">
    <w:p w14:paraId="5D1A22C8" w14:textId="77777777" w:rsidR="00581C24" w:rsidRDefault="00581C2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696BC" w14:textId="77777777" w:rsidR="00581C24" w:rsidRDefault="00581C24" w:rsidP="00F42613">
      <w:pPr>
        <w:spacing w:after="0"/>
      </w:pPr>
      <w:r>
        <w:separator/>
      </w:r>
    </w:p>
  </w:footnote>
  <w:footnote w:type="continuationSeparator" w:id="0">
    <w:p w14:paraId="5FBB4EFD" w14:textId="77777777" w:rsidR="00581C24" w:rsidRDefault="00581C24" w:rsidP="00F42613">
      <w:pPr>
        <w:spacing w:after="0"/>
      </w:pPr>
      <w:r>
        <w:continuationSeparator/>
      </w:r>
    </w:p>
  </w:footnote>
  <w:footnote w:type="continuationNotice" w:id="1">
    <w:p w14:paraId="2EC777A9" w14:textId="77777777" w:rsidR="00581C24" w:rsidRDefault="00581C2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73D2"/>
    <w:multiLevelType w:val="hybridMultilevel"/>
    <w:tmpl w:val="C66A48E8"/>
    <w:lvl w:ilvl="0" w:tplc="492C7160">
      <w:start w:val="1"/>
      <w:numFmt w:val="decimal"/>
      <w:lvlText w:val="%1."/>
      <w:lvlJc w:val="left"/>
      <w:pPr>
        <w:ind w:left="720" w:hanging="720"/>
      </w:pPr>
      <w:rPr>
        <w:rFonts w:hint="default"/>
        <w:b/>
        <w:i w:val="0"/>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6207B488"/>
    <w:multiLevelType w:val="hybridMultilevel"/>
    <w:tmpl w:val="CA42D854"/>
    <w:lvl w:ilvl="0" w:tplc="B568D1C2">
      <w:start w:val="1"/>
      <w:numFmt w:val="bullet"/>
      <w:lvlText w:val=""/>
      <w:lvlJc w:val="left"/>
      <w:pPr>
        <w:ind w:left="720" w:hanging="360"/>
      </w:pPr>
      <w:rPr>
        <w:rFonts w:ascii="Symbol" w:hAnsi="Symbol" w:hint="default"/>
      </w:rPr>
    </w:lvl>
    <w:lvl w:ilvl="1" w:tplc="9EA0D95A">
      <w:start w:val="1"/>
      <w:numFmt w:val="bullet"/>
      <w:lvlText w:val="o"/>
      <w:lvlJc w:val="left"/>
      <w:pPr>
        <w:ind w:left="1440" w:hanging="360"/>
      </w:pPr>
      <w:rPr>
        <w:rFonts w:ascii="Courier New" w:hAnsi="Courier New" w:hint="default"/>
      </w:rPr>
    </w:lvl>
    <w:lvl w:ilvl="2" w:tplc="D41CB0E2">
      <w:start w:val="1"/>
      <w:numFmt w:val="bullet"/>
      <w:lvlText w:val=""/>
      <w:lvlJc w:val="left"/>
      <w:pPr>
        <w:ind w:left="2160" w:hanging="360"/>
      </w:pPr>
      <w:rPr>
        <w:rFonts w:ascii="Wingdings" w:hAnsi="Wingdings" w:hint="default"/>
      </w:rPr>
    </w:lvl>
    <w:lvl w:ilvl="3" w:tplc="4AF29BBA">
      <w:start w:val="1"/>
      <w:numFmt w:val="bullet"/>
      <w:lvlText w:val=""/>
      <w:lvlJc w:val="left"/>
      <w:pPr>
        <w:ind w:left="2880" w:hanging="360"/>
      </w:pPr>
      <w:rPr>
        <w:rFonts w:ascii="Symbol" w:hAnsi="Symbol" w:hint="default"/>
      </w:rPr>
    </w:lvl>
    <w:lvl w:ilvl="4" w:tplc="D160CCFC">
      <w:start w:val="1"/>
      <w:numFmt w:val="bullet"/>
      <w:lvlText w:val="o"/>
      <w:lvlJc w:val="left"/>
      <w:pPr>
        <w:ind w:left="3600" w:hanging="360"/>
      </w:pPr>
      <w:rPr>
        <w:rFonts w:ascii="Courier New" w:hAnsi="Courier New" w:hint="default"/>
      </w:rPr>
    </w:lvl>
    <w:lvl w:ilvl="5" w:tplc="80687CF6">
      <w:start w:val="1"/>
      <w:numFmt w:val="bullet"/>
      <w:lvlText w:val=""/>
      <w:lvlJc w:val="left"/>
      <w:pPr>
        <w:ind w:left="4320" w:hanging="360"/>
      </w:pPr>
      <w:rPr>
        <w:rFonts w:ascii="Wingdings" w:hAnsi="Wingdings" w:hint="default"/>
      </w:rPr>
    </w:lvl>
    <w:lvl w:ilvl="6" w:tplc="8B76C264">
      <w:start w:val="1"/>
      <w:numFmt w:val="bullet"/>
      <w:lvlText w:val=""/>
      <w:lvlJc w:val="left"/>
      <w:pPr>
        <w:ind w:left="5040" w:hanging="360"/>
      </w:pPr>
      <w:rPr>
        <w:rFonts w:ascii="Symbol" w:hAnsi="Symbol" w:hint="default"/>
      </w:rPr>
    </w:lvl>
    <w:lvl w:ilvl="7" w:tplc="1A2C5464">
      <w:start w:val="1"/>
      <w:numFmt w:val="bullet"/>
      <w:lvlText w:val="o"/>
      <w:lvlJc w:val="left"/>
      <w:pPr>
        <w:ind w:left="5760" w:hanging="360"/>
      </w:pPr>
      <w:rPr>
        <w:rFonts w:ascii="Courier New" w:hAnsi="Courier New" w:hint="default"/>
      </w:rPr>
    </w:lvl>
    <w:lvl w:ilvl="8" w:tplc="1464BA7E">
      <w:start w:val="1"/>
      <w:numFmt w:val="bullet"/>
      <w:lvlText w:val=""/>
      <w:lvlJc w:val="left"/>
      <w:pPr>
        <w:ind w:left="6480" w:hanging="360"/>
      </w:pPr>
      <w:rPr>
        <w:rFonts w:ascii="Wingdings" w:hAnsi="Wingdings" w:hint="default"/>
      </w:rPr>
    </w:lvl>
  </w:abstractNum>
  <w:num w:numId="1" w16cid:durableId="94831784">
    <w:abstractNumId w:val="1"/>
  </w:num>
  <w:num w:numId="2" w16cid:durableId="2117554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42613"/>
    <w:rsid w:val="00023C91"/>
    <w:rsid w:val="00086D01"/>
    <w:rsid w:val="000A15E3"/>
    <w:rsid w:val="000B06E0"/>
    <w:rsid w:val="000B7029"/>
    <w:rsid w:val="000D19DF"/>
    <w:rsid w:val="000D4CDD"/>
    <w:rsid w:val="001251F2"/>
    <w:rsid w:val="001431F9"/>
    <w:rsid w:val="001621E2"/>
    <w:rsid w:val="001823D8"/>
    <w:rsid w:val="001964AC"/>
    <w:rsid w:val="001A01D6"/>
    <w:rsid w:val="001B0C0E"/>
    <w:rsid w:val="00210CB7"/>
    <w:rsid w:val="00257B16"/>
    <w:rsid w:val="0039413B"/>
    <w:rsid w:val="003E1583"/>
    <w:rsid w:val="003E2A88"/>
    <w:rsid w:val="00416105"/>
    <w:rsid w:val="00416A0F"/>
    <w:rsid w:val="00434655"/>
    <w:rsid w:val="0045160E"/>
    <w:rsid w:val="00497648"/>
    <w:rsid w:val="004F7BF6"/>
    <w:rsid w:val="00520960"/>
    <w:rsid w:val="00531AB9"/>
    <w:rsid w:val="00581C24"/>
    <w:rsid w:val="0063486E"/>
    <w:rsid w:val="006C326D"/>
    <w:rsid w:val="006D6904"/>
    <w:rsid w:val="006F1570"/>
    <w:rsid w:val="0072489C"/>
    <w:rsid w:val="00746B6A"/>
    <w:rsid w:val="0077221D"/>
    <w:rsid w:val="007C3D88"/>
    <w:rsid w:val="007C461A"/>
    <w:rsid w:val="007E367B"/>
    <w:rsid w:val="0083481B"/>
    <w:rsid w:val="008D22AD"/>
    <w:rsid w:val="00933A2A"/>
    <w:rsid w:val="0093698D"/>
    <w:rsid w:val="00970A49"/>
    <w:rsid w:val="0098213B"/>
    <w:rsid w:val="0099229E"/>
    <w:rsid w:val="009B55B0"/>
    <w:rsid w:val="009D516C"/>
    <w:rsid w:val="009D5366"/>
    <w:rsid w:val="00A776A7"/>
    <w:rsid w:val="00A91BC1"/>
    <w:rsid w:val="00AE5FD0"/>
    <w:rsid w:val="00AF0993"/>
    <w:rsid w:val="00B75EF0"/>
    <w:rsid w:val="00BA6968"/>
    <w:rsid w:val="00BD4FC6"/>
    <w:rsid w:val="00BE7898"/>
    <w:rsid w:val="00CA4677"/>
    <w:rsid w:val="00CB0300"/>
    <w:rsid w:val="00CB07AB"/>
    <w:rsid w:val="00CB4C2F"/>
    <w:rsid w:val="00CD78CC"/>
    <w:rsid w:val="00CE3851"/>
    <w:rsid w:val="00CE51D6"/>
    <w:rsid w:val="00D3449C"/>
    <w:rsid w:val="00D63ABD"/>
    <w:rsid w:val="00D830F9"/>
    <w:rsid w:val="00DD009B"/>
    <w:rsid w:val="00DE3BE8"/>
    <w:rsid w:val="00E2363E"/>
    <w:rsid w:val="00E47490"/>
    <w:rsid w:val="00E56570"/>
    <w:rsid w:val="00EB1DF4"/>
    <w:rsid w:val="00ED258D"/>
    <w:rsid w:val="00EF6C1D"/>
    <w:rsid w:val="00F42613"/>
    <w:rsid w:val="00F83F59"/>
    <w:rsid w:val="00FB545B"/>
    <w:rsid w:val="00FC4DB8"/>
    <w:rsid w:val="00FD312B"/>
    <w:rsid w:val="00FD3A46"/>
    <w:rsid w:val="00FE47E2"/>
    <w:rsid w:val="014F9AF2"/>
    <w:rsid w:val="01C5B1AC"/>
    <w:rsid w:val="01DB5F2B"/>
    <w:rsid w:val="0255E774"/>
    <w:rsid w:val="025F569F"/>
    <w:rsid w:val="02EFFE86"/>
    <w:rsid w:val="0305D129"/>
    <w:rsid w:val="030C8052"/>
    <w:rsid w:val="043F6D47"/>
    <w:rsid w:val="04680E32"/>
    <w:rsid w:val="04E6E889"/>
    <w:rsid w:val="05584BA7"/>
    <w:rsid w:val="07591269"/>
    <w:rsid w:val="081C33D8"/>
    <w:rsid w:val="08811DE4"/>
    <w:rsid w:val="096A1853"/>
    <w:rsid w:val="0A0D2431"/>
    <w:rsid w:val="0B3CE255"/>
    <w:rsid w:val="0B4C8515"/>
    <w:rsid w:val="0B90C098"/>
    <w:rsid w:val="0CC1B6B3"/>
    <w:rsid w:val="0D56397F"/>
    <w:rsid w:val="0D9FFFE7"/>
    <w:rsid w:val="0DD0FD2D"/>
    <w:rsid w:val="0E3F9581"/>
    <w:rsid w:val="0ED32F95"/>
    <w:rsid w:val="0ED5C6DB"/>
    <w:rsid w:val="0F1BDA47"/>
    <w:rsid w:val="0F277244"/>
    <w:rsid w:val="1043578A"/>
    <w:rsid w:val="107E2999"/>
    <w:rsid w:val="1154D87F"/>
    <w:rsid w:val="11E2DDC2"/>
    <w:rsid w:val="11F756FC"/>
    <w:rsid w:val="1273F8C4"/>
    <w:rsid w:val="12A38354"/>
    <w:rsid w:val="1300F8A0"/>
    <w:rsid w:val="13D3F5E5"/>
    <w:rsid w:val="13DC29B3"/>
    <w:rsid w:val="140FC925"/>
    <w:rsid w:val="14BFB2DA"/>
    <w:rsid w:val="151106E4"/>
    <w:rsid w:val="1549AD7F"/>
    <w:rsid w:val="165395B5"/>
    <w:rsid w:val="16628E50"/>
    <w:rsid w:val="16853481"/>
    <w:rsid w:val="16A25262"/>
    <w:rsid w:val="16B1E799"/>
    <w:rsid w:val="17DCF9BC"/>
    <w:rsid w:val="18BA374D"/>
    <w:rsid w:val="19087766"/>
    <w:rsid w:val="1999E6A9"/>
    <w:rsid w:val="19C861D3"/>
    <w:rsid w:val="1A13E9FE"/>
    <w:rsid w:val="1A2E35F4"/>
    <w:rsid w:val="1B18D101"/>
    <w:rsid w:val="1B81560D"/>
    <w:rsid w:val="1BA03E8F"/>
    <w:rsid w:val="1BBB84CA"/>
    <w:rsid w:val="1C4FBF68"/>
    <w:rsid w:val="1C52E820"/>
    <w:rsid w:val="1C66F18A"/>
    <w:rsid w:val="1CAE62FF"/>
    <w:rsid w:val="1CCAC4BF"/>
    <w:rsid w:val="1E7BBFA4"/>
    <w:rsid w:val="1EB76703"/>
    <w:rsid w:val="1F06C98E"/>
    <w:rsid w:val="1F437E48"/>
    <w:rsid w:val="1FB9656A"/>
    <w:rsid w:val="1FF55359"/>
    <w:rsid w:val="2145749B"/>
    <w:rsid w:val="22259CDF"/>
    <w:rsid w:val="223D54BF"/>
    <w:rsid w:val="226F7EC0"/>
    <w:rsid w:val="22CE9A9A"/>
    <w:rsid w:val="234F30C7"/>
    <w:rsid w:val="23A5B420"/>
    <w:rsid w:val="24058E43"/>
    <w:rsid w:val="2429020F"/>
    <w:rsid w:val="24527819"/>
    <w:rsid w:val="24987512"/>
    <w:rsid w:val="24FCD1DC"/>
    <w:rsid w:val="25889FC7"/>
    <w:rsid w:val="27C4D87D"/>
    <w:rsid w:val="283149DE"/>
    <w:rsid w:val="29303D17"/>
    <w:rsid w:val="29D18A2C"/>
    <w:rsid w:val="2A1B6922"/>
    <w:rsid w:val="2A32AA1D"/>
    <w:rsid w:val="2A6C089C"/>
    <w:rsid w:val="2A6C24A7"/>
    <w:rsid w:val="2A7BF4D7"/>
    <w:rsid w:val="2BC854F7"/>
    <w:rsid w:val="2DB39599"/>
    <w:rsid w:val="2DF757F4"/>
    <w:rsid w:val="2E020ABF"/>
    <w:rsid w:val="2E2050AE"/>
    <w:rsid w:val="2E91FCD4"/>
    <w:rsid w:val="2F02792A"/>
    <w:rsid w:val="2F93D8ED"/>
    <w:rsid w:val="2FD4FFAB"/>
    <w:rsid w:val="2FE2AEDB"/>
    <w:rsid w:val="30DDAEC3"/>
    <w:rsid w:val="3156CFF4"/>
    <w:rsid w:val="32403B65"/>
    <w:rsid w:val="32BB26C8"/>
    <w:rsid w:val="337AC9AF"/>
    <w:rsid w:val="33DF1513"/>
    <w:rsid w:val="33E4C62E"/>
    <w:rsid w:val="34CBE1E8"/>
    <w:rsid w:val="350FA319"/>
    <w:rsid w:val="35738A6C"/>
    <w:rsid w:val="365C91E3"/>
    <w:rsid w:val="36B18F17"/>
    <w:rsid w:val="3860B22E"/>
    <w:rsid w:val="389DAA11"/>
    <w:rsid w:val="39212593"/>
    <w:rsid w:val="394FEC3A"/>
    <w:rsid w:val="3988504C"/>
    <w:rsid w:val="39A145EC"/>
    <w:rsid w:val="39C65154"/>
    <w:rsid w:val="39C7F273"/>
    <w:rsid w:val="39D0F415"/>
    <w:rsid w:val="39D3A06E"/>
    <w:rsid w:val="3A7B1017"/>
    <w:rsid w:val="3AF358F5"/>
    <w:rsid w:val="3C35D688"/>
    <w:rsid w:val="3D29A1C4"/>
    <w:rsid w:val="3DA98939"/>
    <w:rsid w:val="3DB2AEE1"/>
    <w:rsid w:val="3E2AF156"/>
    <w:rsid w:val="3E69ACE7"/>
    <w:rsid w:val="3F14850B"/>
    <w:rsid w:val="3F9EFEFE"/>
    <w:rsid w:val="3FB9270B"/>
    <w:rsid w:val="3FBE4D03"/>
    <w:rsid w:val="402F6C07"/>
    <w:rsid w:val="40AA20D9"/>
    <w:rsid w:val="40DC3439"/>
    <w:rsid w:val="41700B41"/>
    <w:rsid w:val="4204A436"/>
    <w:rsid w:val="4348C37A"/>
    <w:rsid w:val="437AC1B7"/>
    <w:rsid w:val="4396563B"/>
    <w:rsid w:val="44522D1E"/>
    <w:rsid w:val="44E82631"/>
    <w:rsid w:val="462F6941"/>
    <w:rsid w:val="464EDA29"/>
    <w:rsid w:val="467D3309"/>
    <w:rsid w:val="467E14A4"/>
    <w:rsid w:val="48021ECF"/>
    <w:rsid w:val="483ABA4A"/>
    <w:rsid w:val="48467E43"/>
    <w:rsid w:val="4A8E1AA9"/>
    <w:rsid w:val="4A916106"/>
    <w:rsid w:val="4AFF7E24"/>
    <w:rsid w:val="4B145064"/>
    <w:rsid w:val="4B754F69"/>
    <w:rsid w:val="4BB058B8"/>
    <w:rsid w:val="4BDF6894"/>
    <w:rsid w:val="4CB5051E"/>
    <w:rsid w:val="4D2179DB"/>
    <w:rsid w:val="4D66BE50"/>
    <w:rsid w:val="4DC7DA83"/>
    <w:rsid w:val="4DCC5775"/>
    <w:rsid w:val="4DF08784"/>
    <w:rsid w:val="4E04E2BD"/>
    <w:rsid w:val="4E373D14"/>
    <w:rsid w:val="4E77F838"/>
    <w:rsid w:val="4E8D486B"/>
    <w:rsid w:val="4EE7A792"/>
    <w:rsid w:val="4F8733B5"/>
    <w:rsid w:val="4F8ED001"/>
    <w:rsid w:val="4FA0B31E"/>
    <w:rsid w:val="4FCE2832"/>
    <w:rsid w:val="4FD30D75"/>
    <w:rsid w:val="50183735"/>
    <w:rsid w:val="509C3C2D"/>
    <w:rsid w:val="50EEBAB9"/>
    <w:rsid w:val="50EF9842"/>
    <w:rsid w:val="51427E1C"/>
    <w:rsid w:val="51B40796"/>
    <w:rsid w:val="51C677D8"/>
    <w:rsid w:val="5289527D"/>
    <w:rsid w:val="52D853E0"/>
    <w:rsid w:val="53354AB7"/>
    <w:rsid w:val="53F9B2AD"/>
    <w:rsid w:val="5438EEF7"/>
    <w:rsid w:val="54C69761"/>
    <w:rsid w:val="54D11B18"/>
    <w:rsid w:val="55784C8E"/>
    <w:rsid w:val="558A1373"/>
    <w:rsid w:val="566CEB79"/>
    <w:rsid w:val="56CD772E"/>
    <w:rsid w:val="56F52A4C"/>
    <w:rsid w:val="58DCFAC1"/>
    <w:rsid w:val="58EB7AB8"/>
    <w:rsid w:val="5906C94F"/>
    <w:rsid w:val="59A48C3B"/>
    <w:rsid w:val="5B369EBC"/>
    <w:rsid w:val="5BAECEE9"/>
    <w:rsid w:val="5C109B88"/>
    <w:rsid w:val="5D6813B9"/>
    <w:rsid w:val="5DDDA3C6"/>
    <w:rsid w:val="5E7F1D6C"/>
    <w:rsid w:val="5E8C272E"/>
    <w:rsid w:val="5F601911"/>
    <w:rsid w:val="5F659CA2"/>
    <w:rsid w:val="5FD20E58"/>
    <w:rsid w:val="60E6F2D6"/>
    <w:rsid w:val="61023466"/>
    <w:rsid w:val="615E63B5"/>
    <w:rsid w:val="618B1701"/>
    <w:rsid w:val="62A53551"/>
    <w:rsid w:val="62B73638"/>
    <w:rsid w:val="62D25AF0"/>
    <w:rsid w:val="63E01A42"/>
    <w:rsid w:val="63F7AFBB"/>
    <w:rsid w:val="64261636"/>
    <w:rsid w:val="64530699"/>
    <w:rsid w:val="6479C2AB"/>
    <w:rsid w:val="648694CC"/>
    <w:rsid w:val="64BA36E8"/>
    <w:rsid w:val="6535C015"/>
    <w:rsid w:val="65E5A4D8"/>
    <w:rsid w:val="6740C7F7"/>
    <w:rsid w:val="674350CB"/>
    <w:rsid w:val="678AA75B"/>
    <w:rsid w:val="68562826"/>
    <w:rsid w:val="68877285"/>
    <w:rsid w:val="69418782"/>
    <w:rsid w:val="694406A8"/>
    <w:rsid w:val="69A8A705"/>
    <w:rsid w:val="69C5AB43"/>
    <w:rsid w:val="6A8AC6E4"/>
    <w:rsid w:val="6A9D17B5"/>
    <w:rsid w:val="6B8387E2"/>
    <w:rsid w:val="6C4DF1FD"/>
    <w:rsid w:val="6C65EEF0"/>
    <w:rsid w:val="6D6FF486"/>
    <w:rsid w:val="6DA4E81A"/>
    <w:rsid w:val="6ED3EEFC"/>
    <w:rsid w:val="6EFD8522"/>
    <w:rsid w:val="6F0BC4E7"/>
    <w:rsid w:val="6F941C23"/>
    <w:rsid w:val="709890E7"/>
    <w:rsid w:val="70F1EE49"/>
    <w:rsid w:val="71329723"/>
    <w:rsid w:val="718F6FCD"/>
    <w:rsid w:val="72B5CB23"/>
    <w:rsid w:val="72FD5183"/>
    <w:rsid w:val="7336A378"/>
    <w:rsid w:val="73DF360A"/>
    <w:rsid w:val="73F788EA"/>
    <w:rsid w:val="743CA4E8"/>
    <w:rsid w:val="7484D68B"/>
    <w:rsid w:val="7596B48D"/>
    <w:rsid w:val="760CE84A"/>
    <w:rsid w:val="76312C74"/>
    <w:rsid w:val="76D4528B"/>
    <w:rsid w:val="77875AE1"/>
    <w:rsid w:val="7796B0DD"/>
    <w:rsid w:val="779BFF21"/>
    <w:rsid w:val="785D23F1"/>
    <w:rsid w:val="78712418"/>
    <w:rsid w:val="78B705BC"/>
    <w:rsid w:val="79271490"/>
    <w:rsid w:val="795FADC4"/>
    <w:rsid w:val="7A88BF6B"/>
    <w:rsid w:val="7B49E058"/>
    <w:rsid w:val="7B51C412"/>
    <w:rsid w:val="7BFD4AF1"/>
    <w:rsid w:val="7C6C9AAD"/>
    <w:rsid w:val="7C6EC002"/>
    <w:rsid w:val="7D8BE57B"/>
    <w:rsid w:val="7DE078F6"/>
    <w:rsid w:val="7DFA5C86"/>
    <w:rsid w:val="7E326005"/>
    <w:rsid w:val="7EEC6F81"/>
    <w:rsid w:val="7F27B5DC"/>
    <w:rsid w:val="7FAE608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D8FB5"/>
  <w15:chartTrackingRefBased/>
  <w15:docId w15:val="{19C8415F-1A3C-4AFC-A045-E11AE2E95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613"/>
    <w:pPr>
      <w:spacing w:after="240" w:line="240" w:lineRule="auto"/>
      <w:jc w:val="both"/>
    </w:pPr>
    <w:rPr>
      <w:rFonts w:ascii="Courier New" w:eastAsia="Times New Roman" w:hAnsi="Courier New"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Footnote Text Char Char Char,Fußnotentext Char Char1 Char Char,Fußnotentext Char1 Char1 Char Char Char,Fußnotentext Char Char Char Char Char Char Char1,Footnote Text Char1,Footnote Text Char Char,o,single space,fn"/>
    <w:basedOn w:val="Normal"/>
    <w:link w:val="FootnoteTextChar2"/>
    <w:uiPriority w:val="99"/>
    <w:qFormat/>
    <w:rsid w:val="00F42613"/>
    <w:pPr>
      <w:ind w:left="357" w:hanging="357"/>
    </w:pPr>
    <w:rPr>
      <w:sz w:val="20"/>
    </w:rPr>
  </w:style>
  <w:style w:type="character" w:customStyle="1" w:styleId="FootnoteTextChar">
    <w:name w:val="Footnote Text Char"/>
    <w:basedOn w:val="DefaultParagraphFont"/>
    <w:uiPriority w:val="99"/>
    <w:semiHidden/>
    <w:rsid w:val="00F42613"/>
    <w:rPr>
      <w:rFonts w:ascii="Courier New" w:eastAsia="Times New Roman" w:hAnsi="Courier New" w:cs="Times New Roman"/>
      <w:sz w:val="20"/>
      <w:szCs w:val="20"/>
      <w:lang w:eastAsia="en-GB"/>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sid w:val="00F42613"/>
    <w:rPr>
      <w:vertAlign w:val="superscript"/>
    </w:rPr>
  </w:style>
  <w:style w:type="character" w:styleId="Hyperlink">
    <w:name w:val="Hyperlink"/>
    <w:aliases w:val="Char1"/>
    <w:uiPriority w:val="99"/>
    <w:qFormat/>
    <w:rsid w:val="00F42613"/>
    <w:rPr>
      <w:color w:val="0000FF"/>
      <w:u w:val="single"/>
    </w:rPr>
  </w:style>
  <w:style w:type="character" w:customStyle="1" w:styleId="FootnoteTextChar2">
    <w:name w:val="Footnote Text Char2"/>
    <w:aliases w:val="Footnote Text Char1 Char Char,Footnote Text Char Char Char Char,Fußnotentext Char Char1 Char Char Char,Fußnotentext Char1 Char1 Char Char Char Char,Fußnotentext Char Char Char Char Char Char Char1 Char,Footnote Text Char1 Char1"/>
    <w:link w:val="FootnoteText"/>
    <w:uiPriority w:val="99"/>
    <w:qFormat/>
    <w:rsid w:val="00F42613"/>
    <w:rPr>
      <w:rFonts w:ascii="Courier New" w:eastAsia="Times New Roman" w:hAnsi="Courier New" w:cs="Times New Roman"/>
      <w:sz w:val="20"/>
      <w:szCs w:val="20"/>
      <w:lang w:eastAsia="en-GB"/>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F42613"/>
    <w:pPr>
      <w:spacing w:after="160" w:line="240" w:lineRule="exact"/>
      <w:jc w:val="left"/>
    </w:pPr>
    <w:rPr>
      <w:rFonts w:asciiTheme="minorHAnsi" w:eastAsiaTheme="minorHAnsi" w:hAnsiTheme="minorHAnsi" w:cstheme="minorBidi"/>
      <w:sz w:val="22"/>
      <w:szCs w:val="22"/>
      <w:vertAlign w:val="superscript"/>
      <w:lang w:eastAsia="en-US"/>
    </w:rPr>
  </w:style>
  <w:style w:type="paragraph" w:styleId="ListParagraph">
    <w:name w:val="List Paragraph"/>
    <w:basedOn w:val="Normal"/>
    <w:uiPriority w:val="34"/>
    <w:qFormat/>
    <w:rsid w:val="001431F9"/>
    <w:pPr>
      <w:ind w:left="720"/>
      <w:contextualSpacing/>
    </w:pPr>
  </w:style>
  <w:style w:type="paragraph" w:customStyle="1" w:styleId="ATHeading2">
    <w:name w:val="AT Heading 2"/>
    <w:basedOn w:val="Normal"/>
    <w:next w:val="Normal"/>
    <w:rsid w:val="00416A0F"/>
    <w:pPr>
      <w:spacing w:before="120" w:after="120"/>
      <w:jc w:val="left"/>
      <w:outlineLvl w:val="1"/>
    </w:pPr>
    <w:rPr>
      <w:rFonts w:ascii="Times New Roman" w:hAnsi="Times New Roman"/>
      <w:b/>
      <w:sz w:val="28"/>
      <w:lang w:eastAsia="fr-FR"/>
    </w:rPr>
  </w:style>
  <w:style w:type="paragraph" w:styleId="Header">
    <w:name w:val="header"/>
    <w:basedOn w:val="Normal"/>
    <w:link w:val="HeaderChar"/>
    <w:uiPriority w:val="99"/>
    <w:semiHidden/>
    <w:unhideWhenUsed/>
    <w:rsid w:val="00AF0993"/>
    <w:pPr>
      <w:tabs>
        <w:tab w:val="center" w:pos="4513"/>
        <w:tab w:val="right" w:pos="9026"/>
      </w:tabs>
      <w:spacing w:after="0"/>
    </w:pPr>
  </w:style>
  <w:style w:type="character" w:customStyle="1" w:styleId="HeaderChar">
    <w:name w:val="Header Char"/>
    <w:basedOn w:val="DefaultParagraphFont"/>
    <w:link w:val="Header"/>
    <w:uiPriority w:val="99"/>
    <w:semiHidden/>
    <w:rsid w:val="00AF0993"/>
    <w:rPr>
      <w:rFonts w:ascii="Courier New" w:eastAsia="Times New Roman" w:hAnsi="Courier New" w:cs="Times New Roman"/>
      <w:sz w:val="24"/>
      <w:szCs w:val="20"/>
      <w:lang w:eastAsia="en-GB"/>
    </w:rPr>
  </w:style>
  <w:style w:type="paragraph" w:styleId="Footer">
    <w:name w:val="footer"/>
    <w:basedOn w:val="Normal"/>
    <w:link w:val="FooterChar"/>
    <w:uiPriority w:val="99"/>
    <w:semiHidden/>
    <w:unhideWhenUsed/>
    <w:rsid w:val="00AF0993"/>
    <w:pPr>
      <w:tabs>
        <w:tab w:val="center" w:pos="4513"/>
        <w:tab w:val="right" w:pos="9026"/>
      </w:tabs>
      <w:spacing w:after="0"/>
    </w:pPr>
  </w:style>
  <w:style w:type="character" w:customStyle="1" w:styleId="FooterChar">
    <w:name w:val="Footer Char"/>
    <w:basedOn w:val="DefaultParagraphFont"/>
    <w:link w:val="Footer"/>
    <w:uiPriority w:val="99"/>
    <w:semiHidden/>
    <w:rsid w:val="00AF0993"/>
    <w:rPr>
      <w:rFonts w:ascii="Courier New" w:eastAsia="Times New Roman" w:hAnsi="Courier New" w:cs="Times New Roman"/>
      <w:sz w:val="24"/>
      <w:szCs w:val="20"/>
      <w:lang w:eastAsia="en-GB"/>
    </w:rPr>
  </w:style>
  <w:style w:type="paragraph" w:styleId="Revision">
    <w:name w:val="Revision"/>
    <w:hidden/>
    <w:uiPriority w:val="99"/>
    <w:semiHidden/>
    <w:rsid w:val="003E1583"/>
    <w:pPr>
      <w:spacing w:after="0" w:line="240" w:lineRule="auto"/>
    </w:pPr>
    <w:rPr>
      <w:rFonts w:ascii="Courier New" w:eastAsia="Times New Roman" w:hAnsi="Courier New" w:cs="Times New Roman"/>
      <w:sz w:val="24"/>
      <w:szCs w:val="20"/>
      <w:lang w:eastAsia="en-GB"/>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Courier New" w:eastAsia="Times New Roman" w:hAnsi="Courier New" w:cs="Times New Roman"/>
      <w:sz w:val="20"/>
      <w:szCs w:val="20"/>
      <w:lang w:eastAsia="en-GB"/>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264628">
      <w:bodyDiv w:val="1"/>
      <w:marLeft w:val="0"/>
      <w:marRight w:val="0"/>
      <w:marTop w:val="0"/>
      <w:marBottom w:val="0"/>
      <w:divBdr>
        <w:top w:val="none" w:sz="0" w:space="0" w:color="auto"/>
        <w:left w:val="none" w:sz="0" w:space="0" w:color="auto"/>
        <w:bottom w:val="none" w:sz="0" w:space="0" w:color="auto"/>
        <w:right w:val="none" w:sz="0" w:space="0" w:color="auto"/>
      </w:divBdr>
    </w:div>
    <w:div w:id="52267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2B821FD596CA4199F5E15CA8AF115B" ma:contentTypeVersion="6" ma:contentTypeDescription="Create a new document." ma:contentTypeScope="" ma:versionID="ede8ed15f0d15049e5bf77b65a93b564">
  <xsd:schema xmlns:xsd="http://www.w3.org/2001/XMLSchema" xmlns:xs="http://www.w3.org/2001/XMLSchema" xmlns:p="http://schemas.microsoft.com/office/2006/metadata/properties" xmlns:ns2="6d5ad584-533d-4d9e-8d12-f1eda2044479" targetNamespace="http://schemas.microsoft.com/office/2006/metadata/properties" ma:root="true" ma:fieldsID="3960b9a1fdf3ca65f2b464f31d526a0d" ns2:_="">
    <xsd:import namespace="6d5ad584-533d-4d9e-8d12-f1eda204447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5ad584-533d-4d9e-8d12-f1eda20444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175302-26DB-4891-ADF5-1B6F66C0819B}">
  <ds:schemaRefs>
    <ds:schemaRef ds:uri="http://schemas.microsoft.com/sharepoint/v3/contenttype/forms"/>
  </ds:schemaRefs>
</ds:datastoreItem>
</file>

<file path=customXml/itemProps2.xml><?xml version="1.0" encoding="utf-8"?>
<ds:datastoreItem xmlns:ds="http://schemas.openxmlformats.org/officeDocument/2006/customXml" ds:itemID="{FBC525ED-7936-4CAF-BFF8-8A07B27FD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5ad584-533d-4d9e-8d12-f1eda20444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65B27A-7165-4F9A-8A23-92315F802EC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1695</Words>
  <Characters>9736</Characters>
  <Application>Microsoft Office Word</Application>
  <DocSecurity>0</DocSecurity>
  <Lines>139</Lines>
  <Paragraphs>27</Paragraphs>
  <ScaleCrop>false</ScaleCrop>
  <Company>European Commission</Company>
  <LinksUpToDate>false</LinksUpToDate>
  <CharactersWithSpaces>11404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KALBUROV Ivan (INTPA)</dc:creator>
  <cp:keywords/>
  <dc:description/>
  <cp:lastModifiedBy>DELBAER Gerda (SG)</cp:lastModifiedBy>
  <cp:revision>3</cp:revision>
  <dcterms:created xsi:type="dcterms:W3CDTF">2024-06-13T06:57:00Z</dcterms:created>
  <dcterms:modified xsi:type="dcterms:W3CDTF">2024-06-13T06:59:00Z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2023-12-14T15:05:47Z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651af0e3-744b-471f-a97a-7eebb295dacb</vt:lpwstr>
  </property>
  <property fmtid="{D5CDD505-2E9C-101B-9397-08002B2CF9AE}" pid="8" name="MSIP_Label_6bd9ddd1-4d20-43f6-abfa-fc3c07406f94_ContentBits">
    <vt:lpwstr>0</vt:lpwstr>
  </property>
  <property fmtid="{D5CDD505-2E9C-101B-9397-08002B2CF9AE}" pid="9" name="ContentTypeId">
    <vt:lpwstr>0x010100852B821FD596CA4199F5E15CA8AF115B</vt:lpwstr>
  </property>
</Properties>
</file>