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A101" w14:textId="56899F83" w:rsidR="00331DB9" w:rsidRPr="00331DB9" w:rsidRDefault="004A6C66" w:rsidP="00D01914">
      <w:pPr>
        <w:spacing w:after="600"/>
        <w:jc w:val="center"/>
        <w:rPr>
          <w:rFonts w:ascii="Times New Roman" w:hAnsi="Times New Roman"/>
          <w:b/>
        </w:rPr>
      </w:pPr>
      <w:r w:rsidRPr="00331DB9">
        <w:rPr>
          <w:rFonts w:ascii="Times New Roman" w:hAnsi="Times New Roman"/>
          <w:b/>
          <w:bCs/>
        </w:rPr>
        <w:t xml:space="preserve">Follow up to the </w:t>
      </w:r>
      <w:r w:rsidRPr="00331DB9">
        <w:rPr>
          <w:rFonts w:ascii="Times New Roman" w:hAnsi="Times New Roman"/>
          <w:b/>
        </w:rPr>
        <w:t xml:space="preserve">European Parliament </w:t>
      </w:r>
      <w:r w:rsidR="00E30DFF">
        <w:rPr>
          <w:rFonts w:ascii="Times New Roman" w:hAnsi="Times New Roman"/>
          <w:b/>
          <w:szCs w:val="24"/>
        </w:rPr>
        <w:t xml:space="preserve">non-legislative </w:t>
      </w:r>
      <w:bookmarkStart w:id="0" w:name="_Hlk152933649"/>
      <w:r w:rsidRPr="00331DB9">
        <w:rPr>
          <w:rFonts w:ascii="Times New Roman" w:hAnsi="Times New Roman"/>
          <w:b/>
        </w:rPr>
        <w:t xml:space="preserve">resolution </w:t>
      </w:r>
      <w:r w:rsidR="00F13E52" w:rsidRPr="00F13E52">
        <w:rPr>
          <w:rFonts w:ascii="Times New Roman" w:hAnsi="Times New Roman"/>
          <w:b/>
        </w:rPr>
        <w:t xml:space="preserve">on reducing inequalities and promoting social inclusion in times of crisis for children and their </w:t>
      </w:r>
      <w:proofErr w:type="gramStart"/>
      <w:r w:rsidR="00F13E52" w:rsidRPr="00F13E52">
        <w:rPr>
          <w:rFonts w:ascii="Times New Roman" w:hAnsi="Times New Roman"/>
          <w:b/>
        </w:rPr>
        <w:t>families</w:t>
      </w:r>
      <w:bookmarkEnd w:id="0"/>
      <w:proofErr w:type="gramEnd"/>
    </w:p>
    <w:p w14:paraId="708E9720" w14:textId="578E6FC5" w:rsidR="004A6C66" w:rsidRPr="00D01914" w:rsidRDefault="00D01914" w:rsidP="00852452">
      <w:pPr>
        <w:numPr>
          <w:ilvl w:val="0"/>
          <w:numId w:val="27"/>
        </w:numPr>
        <w:ind w:left="567" w:hanging="567"/>
        <w:rPr>
          <w:rFonts w:ascii="Times New Roman" w:hAnsi="Times New Roman"/>
          <w:b/>
          <w:szCs w:val="24"/>
          <w:lang w:val="fr-BE"/>
        </w:rPr>
      </w:pPr>
      <w:r w:rsidRPr="00403FD1">
        <w:rPr>
          <w:rFonts w:ascii="Times New Roman" w:eastAsia="Calibri" w:hAnsi="Times New Roman"/>
          <w:b/>
          <w:szCs w:val="24"/>
          <w:lang w:val="it-IT"/>
        </w:rPr>
        <w:t>Rapporteur</w:t>
      </w:r>
      <w:r>
        <w:rPr>
          <w:rFonts w:ascii="Times New Roman" w:eastAsia="Calibri" w:hAnsi="Times New Roman"/>
          <w:b/>
          <w:szCs w:val="24"/>
          <w:lang w:val="it-IT"/>
        </w:rPr>
        <w:t xml:space="preserve">: </w:t>
      </w:r>
      <w:r>
        <w:rPr>
          <w:rFonts w:ascii="Times New Roman" w:eastAsia="Calibri" w:hAnsi="Times New Roman"/>
          <w:bCs/>
          <w:szCs w:val="24"/>
          <w:lang w:val="it-IT"/>
        </w:rPr>
        <w:t>Sandra PEREIRA (The Left / PT)</w:t>
      </w:r>
    </w:p>
    <w:p w14:paraId="294898E4" w14:textId="73A6F594" w:rsidR="004A6C66" w:rsidRPr="00F059C8" w:rsidRDefault="00535D4D" w:rsidP="00A824B4">
      <w:pPr>
        <w:numPr>
          <w:ilvl w:val="0"/>
          <w:numId w:val="27"/>
        </w:numPr>
        <w:ind w:left="567" w:hanging="567"/>
        <w:rPr>
          <w:rFonts w:ascii="Times New Roman" w:hAnsi="Times New Roman"/>
          <w:i/>
          <w:szCs w:val="24"/>
        </w:rPr>
      </w:pPr>
      <w:r>
        <w:rPr>
          <w:rFonts w:ascii="Times New Roman" w:hAnsi="Times New Roman"/>
          <w:b/>
          <w:szCs w:val="24"/>
        </w:rPr>
        <w:t>R</w:t>
      </w:r>
      <w:r w:rsidR="004A6C66" w:rsidRPr="00747D86">
        <w:rPr>
          <w:rFonts w:ascii="Times New Roman" w:hAnsi="Times New Roman"/>
          <w:b/>
          <w:szCs w:val="24"/>
        </w:rPr>
        <w:t>eference number</w:t>
      </w:r>
      <w:r w:rsidR="004A6C66" w:rsidRPr="000E1EE0">
        <w:rPr>
          <w:rFonts w:ascii="Times New Roman" w:hAnsi="Times New Roman"/>
          <w:b/>
          <w:szCs w:val="24"/>
        </w:rPr>
        <w:t xml:space="preserve">: </w:t>
      </w:r>
      <w:r w:rsidR="00D01914" w:rsidRPr="00D01914">
        <w:rPr>
          <w:rFonts w:ascii="Times New Roman" w:hAnsi="Times New Roman"/>
          <w:noProof/>
          <w:lang w:val="en-IE" w:eastAsia="fr-BE"/>
        </w:rPr>
        <w:t>2023/2066 (INI)</w:t>
      </w:r>
      <w:r w:rsidR="00D01914">
        <w:rPr>
          <w:rFonts w:ascii="Times New Roman" w:hAnsi="Times New Roman"/>
          <w:noProof/>
          <w:lang w:val="en-IE" w:eastAsia="fr-BE"/>
        </w:rPr>
        <w:t xml:space="preserve"> / </w:t>
      </w:r>
      <w:r w:rsidR="00D01914" w:rsidRPr="00D01914">
        <w:rPr>
          <w:rFonts w:ascii="Times New Roman" w:hAnsi="Times New Roman"/>
          <w:noProof/>
          <w:lang w:val="fr-BE" w:eastAsia="fr-BE"/>
        </w:rPr>
        <w:t>A9-0360/2023</w:t>
      </w:r>
      <w:r w:rsidR="00D01914" w:rsidRPr="00D01914">
        <w:rPr>
          <w:rFonts w:ascii="Times New Roman" w:hAnsi="Times New Roman"/>
          <w:lang w:val="fr-BE" w:eastAsia="fr-BE"/>
        </w:rPr>
        <w:t xml:space="preserve"> </w:t>
      </w:r>
      <w:r w:rsidR="00D01914">
        <w:rPr>
          <w:rFonts w:ascii="Times New Roman" w:hAnsi="Times New Roman"/>
          <w:lang w:val="fr-BE" w:eastAsia="fr-BE"/>
        </w:rPr>
        <w:t xml:space="preserve">/ </w:t>
      </w:r>
      <w:r w:rsidR="00852452" w:rsidRPr="00852452">
        <w:rPr>
          <w:rFonts w:ascii="Times New Roman" w:hAnsi="Times New Roman"/>
          <w:bCs/>
          <w:szCs w:val="24"/>
        </w:rPr>
        <w:t>P9_</w:t>
      </w:r>
      <w:proofErr w:type="gramStart"/>
      <w:r w:rsidR="00852452" w:rsidRPr="00852452">
        <w:rPr>
          <w:rFonts w:ascii="Times New Roman" w:hAnsi="Times New Roman"/>
          <w:bCs/>
          <w:szCs w:val="24"/>
        </w:rPr>
        <w:t>TA(</w:t>
      </w:r>
      <w:proofErr w:type="gramEnd"/>
      <w:r w:rsidR="00852452" w:rsidRPr="00852452">
        <w:rPr>
          <w:rFonts w:ascii="Times New Roman" w:hAnsi="Times New Roman"/>
          <w:bCs/>
          <w:szCs w:val="24"/>
        </w:rPr>
        <w:t>2023)0408</w:t>
      </w:r>
    </w:p>
    <w:p w14:paraId="611E3CD1" w14:textId="288047FC" w:rsidR="005A00C3" w:rsidRPr="00E07C2D" w:rsidRDefault="004A6C66" w:rsidP="00A824B4">
      <w:pPr>
        <w:numPr>
          <w:ilvl w:val="0"/>
          <w:numId w:val="27"/>
        </w:numPr>
        <w:ind w:left="567" w:hanging="567"/>
        <w:rPr>
          <w:rFonts w:ascii="Times New Roman" w:hAnsi="Times New Roman"/>
          <w:szCs w:val="24"/>
        </w:rPr>
      </w:pPr>
      <w:r w:rsidRPr="005A00C3">
        <w:rPr>
          <w:rFonts w:ascii="Times New Roman" w:hAnsi="Times New Roman"/>
          <w:b/>
          <w:szCs w:val="24"/>
        </w:rPr>
        <w:t xml:space="preserve">Date of adoption of the resolution: </w:t>
      </w:r>
      <w:r w:rsidR="0006693D" w:rsidRPr="0006693D">
        <w:rPr>
          <w:rFonts w:ascii="Times New Roman" w:hAnsi="Times New Roman"/>
          <w:bCs/>
        </w:rPr>
        <w:t>21</w:t>
      </w:r>
      <w:r w:rsidR="00D01914">
        <w:rPr>
          <w:rFonts w:ascii="Times New Roman" w:hAnsi="Times New Roman"/>
          <w:bCs/>
        </w:rPr>
        <w:t xml:space="preserve"> </w:t>
      </w:r>
      <w:r w:rsidR="0006693D" w:rsidRPr="0006693D">
        <w:rPr>
          <w:rFonts w:ascii="Times New Roman" w:hAnsi="Times New Roman"/>
          <w:bCs/>
        </w:rPr>
        <w:t>November</w:t>
      </w:r>
      <w:r w:rsidR="00D01914">
        <w:rPr>
          <w:rFonts w:ascii="Times New Roman" w:hAnsi="Times New Roman"/>
          <w:bCs/>
        </w:rPr>
        <w:t xml:space="preserve"> </w:t>
      </w:r>
      <w:r w:rsidR="0006693D" w:rsidRPr="0006693D">
        <w:rPr>
          <w:rFonts w:ascii="Times New Roman" w:hAnsi="Times New Roman"/>
          <w:bCs/>
        </w:rPr>
        <w:t xml:space="preserve">2023 </w:t>
      </w:r>
    </w:p>
    <w:p w14:paraId="600FFD88" w14:textId="1EA4C54A" w:rsidR="00EC0A27" w:rsidRPr="006529B0" w:rsidRDefault="00EC0A27" w:rsidP="00A824B4">
      <w:pPr>
        <w:numPr>
          <w:ilvl w:val="0"/>
          <w:numId w:val="27"/>
        </w:numPr>
        <w:ind w:left="567" w:hanging="567"/>
        <w:rPr>
          <w:rFonts w:ascii="Times New Roman" w:hAnsi="Times New Roman"/>
          <w:i/>
          <w:szCs w:val="24"/>
        </w:rPr>
      </w:pPr>
      <w:r w:rsidRPr="00EC0A27">
        <w:rPr>
          <w:rFonts w:ascii="Times New Roman" w:hAnsi="Times New Roman"/>
          <w:b/>
        </w:rPr>
        <w:t xml:space="preserve">Competent Parliamentary </w:t>
      </w:r>
      <w:r w:rsidRPr="006529B0">
        <w:rPr>
          <w:rFonts w:ascii="Times New Roman" w:hAnsi="Times New Roman"/>
          <w:b/>
        </w:rPr>
        <w:t>Committee</w:t>
      </w:r>
      <w:r w:rsidR="00331DB9" w:rsidRPr="006529B0">
        <w:rPr>
          <w:b/>
        </w:rPr>
        <w:t>:</w:t>
      </w:r>
      <w:r w:rsidR="00331DB9" w:rsidRPr="006529B0">
        <w:t xml:space="preserve"> </w:t>
      </w:r>
      <w:r w:rsidR="0006693D" w:rsidRPr="006529B0">
        <w:rPr>
          <w:rFonts w:ascii="Times New Roman" w:hAnsi="Times New Roman"/>
        </w:rPr>
        <w:t>Employment and Social Affairs</w:t>
      </w:r>
      <w:r w:rsidR="002E7D0A" w:rsidRPr="006529B0">
        <w:rPr>
          <w:rFonts w:ascii="Times New Roman" w:hAnsi="Times New Roman"/>
          <w:i/>
        </w:rPr>
        <w:t xml:space="preserve"> </w:t>
      </w:r>
    </w:p>
    <w:p w14:paraId="607E41EA" w14:textId="342DE665" w:rsidR="004A6C66" w:rsidRPr="006529B0" w:rsidRDefault="004A6C66" w:rsidP="00A824B4">
      <w:pPr>
        <w:widowControl w:val="0"/>
        <w:numPr>
          <w:ilvl w:val="0"/>
          <w:numId w:val="27"/>
        </w:numPr>
        <w:ind w:left="567" w:hanging="567"/>
        <w:rPr>
          <w:rFonts w:ascii="Times New Roman" w:hAnsi="Times New Roman"/>
          <w:szCs w:val="24"/>
        </w:rPr>
      </w:pPr>
      <w:r w:rsidRPr="006529B0">
        <w:rPr>
          <w:rFonts w:ascii="Times New Roman" w:hAnsi="Times New Roman"/>
          <w:b/>
          <w:szCs w:val="24"/>
        </w:rPr>
        <w:t>Brief analysis</w:t>
      </w:r>
      <w:r w:rsidR="00EE48AB" w:rsidRPr="006529B0">
        <w:rPr>
          <w:rFonts w:ascii="Times New Roman" w:hAnsi="Times New Roman"/>
          <w:b/>
          <w:szCs w:val="24"/>
        </w:rPr>
        <w:t xml:space="preserve"> and</w:t>
      </w:r>
      <w:r w:rsidRPr="006529B0">
        <w:rPr>
          <w:rFonts w:ascii="Times New Roman" w:hAnsi="Times New Roman"/>
          <w:b/>
          <w:szCs w:val="24"/>
        </w:rPr>
        <w:t xml:space="preserve"> assessment of the resolution and requests made in it:</w:t>
      </w:r>
      <w:r w:rsidR="00BF260B" w:rsidRPr="006529B0">
        <w:rPr>
          <w:rFonts w:ascii="Times New Roman" w:hAnsi="Times New Roman"/>
          <w:szCs w:val="24"/>
        </w:rPr>
        <w:t xml:space="preserve"> </w:t>
      </w:r>
    </w:p>
    <w:p w14:paraId="07C0E2A0" w14:textId="03673564" w:rsidR="00CC6E14" w:rsidRPr="00947A00" w:rsidRDefault="00123609" w:rsidP="00D01914">
      <w:pPr>
        <w:widowControl w:val="0"/>
        <w:spacing w:after="120"/>
        <w:rPr>
          <w:rFonts w:ascii="Times New Roman" w:hAnsi="Times New Roman"/>
          <w:szCs w:val="24"/>
        </w:rPr>
      </w:pPr>
      <w:r>
        <w:rPr>
          <w:rFonts w:ascii="Times New Roman" w:hAnsi="Times New Roman"/>
          <w:szCs w:val="24"/>
        </w:rPr>
        <w:t>This resolution address</w:t>
      </w:r>
      <w:r w:rsidR="00FD356B">
        <w:rPr>
          <w:rFonts w:ascii="Times New Roman" w:hAnsi="Times New Roman"/>
          <w:szCs w:val="24"/>
        </w:rPr>
        <w:t>es</w:t>
      </w:r>
      <w:r>
        <w:rPr>
          <w:rFonts w:ascii="Times New Roman" w:hAnsi="Times New Roman"/>
          <w:szCs w:val="24"/>
        </w:rPr>
        <w:t xml:space="preserve"> multiple aspects of inequalities and social exclusion, with specific </w:t>
      </w:r>
      <w:r w:rsidR="0060584C">
        <w:rPr>
          <w:rFonts w:ascii="Times New Roman" w:hAnsi="Times New Roman"/>
          <w:szCs w:val="24"/>
        </w:rPr>
        <w:t xml:space="preserve">emphasis </w:t>
      </w:r>
      <w:proofErr w:type="gramStart"/>
      <w:r>
        <w:rPr>
          <w:rFonts w:ascii="Times New Roman" w:hAnsi="Times New Roman"/>
          <w:szCs w:val="24"/>
        </w:rPr>
        <w:t>on the situation of</w:t>
      </w:r>
      <w:proofErr w:type="gramEnd"/>
      <w:r>
        <w:rPr>
          <w:rFonts w:ascii="Times New Roman" w:hAnsi="Times New Roman"/>
          <w:szCs w:val="24"/>
        </w:rPr>
        <w:t xml:space="preserve"> children and families. </w:t>
      </w:r>
      <w:r w:rsidR="00120681">
        <w:rPr>
          <w:rFonts w:ascii="Times New Roman" w:hAnsi="Times New Roman"/>
          <w:szCs w:val="24"/>
        </w:rPr>
        <w:t>It</w:t>
      </w:r>
      <w:r w:rsidR="00FD356B">
        <w:rPr>
          <w:rFonts w:ascii="Times New Roman" w:hAnsi="Times New Roman"/>
          <w:szCs w:val="24"/>
        </w:rPr>
        <w:t xml:space="preserve"> </w:t>
      </w:r>
      <w:r w:rsidR="00246114">
        <w:rPr>
          <w:rFonts w:ascii="Times New Roman" w:hAnsi="Times New Roman"/>
          <w:szCs w:val="24"/>
        </w:rPr>
        <w:t xml:space="preserve">stresses </w:t>
      </w:r>
      <w:r w:rsidR="00FD356B">
        <w:rPr>
          <w:rFonts w:ascii="Times New Roman" w:hAnsi="Times New Roman"/>
          <w:szCs w:val="24"/>
        </w:rPr>
        <w:t xml:space="preserve">the </w:t>
      </w:r>
      <w:r w:rsidR="00246114">
        <w:rPr>
          <w:rFonts w:ascii="Times New Roman" w:hAnsi="Times New Roman"/>
          <w:szCs w:val="24"/>
        </w:rPr>
        <w:t xml:space="preserve">higher incidence of poverty among children than adults, points to </w:t>
      </w:r>
      <w:r w:rsidR="00246114" w:rsidRPr="008A362C">
        <w:rPr>
          <w:rFonts w:ascii="Times New Roman" w:hAnsi="Times New Roman"/>
          <w:szCs w:val="24"/>
        </w:rPr>
        <w:t>global social and economic volatility</w:t>
      </w:r>
      <w:r w:rsidR="005235A3" w:rsidRPr="008A362C">
        <w:rPr>
          <w:rFonts w:ascii="Times New Roman" w:hAnsi="Times New Roman"/>
          <w:szCs w:val="24"/>
        </w:rPr>
        <w:t xml:space="preserve"> and </w:t>
      </w:r>
      <w:r w:rsidR="00246114" w:rsidRPr="008A362C">
        <w:rPr>
          <w:rFonts w:ascii="Times New Roman" w:hAnsi="Times New Roman"/>
          <w:szCs w:val="24"/>
        </w:rPr>
        <w:t>risks generated by climate change</w:t>
      </w:r>
      <w:r w:rsidR="005235A3" w:rsidRPr="008A362C">
        <w:rPr>
          <w:rFonts w:ascii="Times New Roman" w:hAnsi="Times New Roman"/>
          <w:szCs w:val="24"/>
        </w:rPr>
        <w:t xml:space="preserve"> as factors </w:t>
      </w:r>
      <w:r w:rsidR="00246114" w:rsidRPr="008A362C">
        <w:rPr>
          <w:rFonts w:ascii="Times New Roman" w:hAnsi="Times New Roman"/>
          <w:szCs w:val="24"/>
        </w:rPr>
        <w:t>increas</w:t>
      </w:r>
      <w:r w:rsidR="005235A3" w:rsidRPr="008A362C">
        <w:rPr>
          <w:rFonts w:ascii="Times New Roman" w:hAnsi="Times New Roman"/>
          <w:szCs w:val="24"/>
        </w:rPr>
        <w:t>ing</w:t>
      </w:r>
      <w:r w:rsidR="00246114" w:rsidRPr="008A362C">
        <w:rPr>
          <w:rFonts w:ascii="Times New Roman" w:hAnsi="Times New Roman"/>
          <w:szCs w:val="24"/>
        </w:rPr>
        <w:t xml:space="preserve"> the possibility of new crises</w:t>
      </w:r>
      <w:r w:rsidR="005235A3" w:rsidRPr="008A362C">
        <w:rPr>
          <w:rFonts w:ascii="Times New Roman" w:hAnsi="Times New Roman"/>
          <w:szCs w:val="24"/>
        </w:rPr>
        <w:t>, and states that child support and family policies do not always reflect and are not sufficiently adapted to family diversity and family living arrangements.</w:t>
      </w:r>
      <w:r w:rsidR="00761EC5" w:rsidRPr="00761EC5">
        <w:rPr>
          <w:rFonts w:ascii="Times New Roman" w:hAnsi="Times New Roman"/>
          <w:szCs w:val="24"/>
        </w:rPr>
        <w:t xml:space="preserve"> </w:t>
      </w:r>
      <w:r w:rsidR="0001768C">
        <w:rPr>
          <w:rFonts w:ascii="Times New Roman" w:hAnsi="Times New Roman"/>
          <w:szCs w:val="24"/>
        </w:rPr>
        <w:t>T</w:t>
      </w:r>
      <w:r w:rsidR="00761EC5">
        <w:rPr>
          <w:rFonts w:ascii="Times New Roman" w:hAnsi="Times New Roman"/>
          <w:szCs w:val="24"/>
        </w:rPr>
        <w:t xml:space="preserve">he resolution points </w:t>
      </w:r>
      <w:r w:rsidR="00FD356B">
        <w:rPr>
          <w:rFonts w:ascii="Times New Roman" w:hAnsi="Times New Roman"/>
          <w:szCs w:val="24"/>
        </w:rPr>
        <w:t>to</w:t>
      </w:r>
      <w:r w:rsidR="00761EC5">
        <w:rPr>
          <w:rFonts w:ascii="Times New Roman" w:hAnsi="Times New Roman"/>
          <w:szCs w:val="24"/>
        </w:rPr>
        <w:t xml:space="preserve"> poverty </w:t>
      </w:r>
      <w:r w:rsidR="00FD356B">
        <w:rPr>
          <w:rFonts w:ascii="Times New Roman" w:hAnsi="Times New Roman"/>
          <w:szCs w:val="24"/>
        </w:rPr>
        <w:t xml:space="preserve">as </w:t>
      </w:r>
      <w:r w:rsidR="00761EC5" w:rsidRPr="006742A7">
        <w:rPr>
          <w:rFonts w:ascii="Times New Roman" w:hAnsi="Times New Roman"/>
          <w:szCs w:val="24"/>
        </w:rPr>
        <w:t xml:space="preserve">an important risk marker for entry into alternative care and </w:t>
      </w:r>
      <w:r w:rsidR="0001768C">
        <w:rPr>
          <w:rFonts w:ascii="Times New Roman" w:hAnsi="Times New Roman"/>
          <w:szCs w:val="24"/>
        </w:rPr>
        <w:t xml:space="preserve">deplores </w:t>
      </w:r>
      <w:r w:rsidR="00FD356B">
        <w:rPr>
          <w:rFonts w:ascii="Times New Roman" w:hAnsi="Times New Roman"/>
          <w:szCs w:val="24"/>
        </w:rPr>
        <w:t xml:space="preserve">the </w:t>
      </w:r>
      <w:r w:rsidR="00761EC5" w:rsidRPr="006742A7">
        <w:rPr>
          <w:rFonts w:ascii="Times New Roman" w:hAnsi="Times New Roman"/>
          <w:szCs w:val="24"/>
        </w:rPr>
        <w:t>high number of children in residential alternative care institutions.</w:t>
      </w:r>
      <w:r w:rsidR="00761EC5">
        <w:rPr>
          <w:rFonts w:ascii="Times New Roman" w:hAnsi="Times New Roman"/>
          <w:szCs w:val="24"/>
        </w:rPr>
        <w:t xml:space="preserve"> </w:t>
      </w:r>
      <w:r w:rsidR="00FD356B">
        <w:rPr>
          <w:rFonts w:ascii="Times New Roman" w:hAnsi="Times New Roman"/>
          <w:szCs w:val="24"/>
        </w:rPr>
        <w:t xml:space="preserve">The resolution also raises concerns as regards </w:t>
      </w:r>
      <w:r w:rsidR="008A362C">
        <w:rPr>
          <w:rFonts w:ascii="Times New Roman" w:hAnsi="Times New Roman"/>
          <w:szCs w:val="24"/>
        </w:rPr>
        <w:t xml:space="preserve">public health and preventive medicine, </w:t>
      </w:r>
      <w:r w:rsidR="008A362C" w:rsidRPr="00DE1CD2">
        <w:rPr>
          <w:rFonts w:ascii="Times New Roman" w:hAnsi="Times New Roman"/>
          <w:szCs w:val="24"/>
        </w:rPr>
        <w:t xml:space="preserve">access to sexual and reproductive health and </w:t>
      </w:r>
      <w:r w:rsidR="00FD356B">
        <w:rPr>
          <w:rFonts w:ascii="Times New Roman" w:hAnsi="Times New Roman"/>
          <w:szCs w:val="24"/>
        </w:rPr>
        <w:t xml:space="preserve">low </w:t>
      </w:r>
      <w:r w:rsidR="00DE1CD2" w:rsidRPr="00DE1CD2">
        <w:rPr>
          <w:rFonts w:ascii="Times New Roman" w:hAnsi="Times New Roman"/>
          <w:szCs w:val="24"/>
        </w:rPr>
        <w:t xml:space="preserve">vaccination rates. </w:t>
      </w:r>
      <w:r w:rsidR="00FD356B">
        <w:rPr>
          <w:rFonts w:ascii="Times New Roman" w:hAnsi="Times New Roman"/>
          <w:szCs w:val="24"/>
        </w:rPr>
        <w:t>R</w:t>
      </w:r>
      <w:r w:rsidR="00761EC5">
        <w:rPr>
          <w:rFonts w:ascii="Times New Roman" w:hAnsi="Times New Roman"/>
          <w:szCs w:val="24"/>
        </w:rPr>
        <w:t xml:space="preserve">eferring to the </w:t>
      </w:r>
      <w:r w:rsidR="00761EC5" w:rsidRPr="00017529">
        <w:rPr>
          <w:rFonts w:ascii="Times New Roman" w:hAnsi="Times New Roman"/>
          <w:szCs w:val="24"/>
        </w:rPr>
        <w:t>EU Strategy on the Rights of the Child</w:t>
      </w:r>
      <w:r w:rsidR="0060584C">
        <w:rPr>
          <w:rFonts w:ascii="Times New Roman" w:hAnsi="Times New Roman"/>
          <w:szCs w:val="24"/>
        </w:rPr>
        <w:t xml:space="preserve"> (</w:t>
      </w:r>
      <w:r w:rsidR="0060584C" w:rsidRPr="0060584C">
        <w:rPr>
          <w:rFonts w:ascii="Times New Roman" w:hAnsi="Times New Roman"/>
          <w:szCs w:val="24"/>
        </w:rPr>
        <w:t>COM/2021/142 final</w:t>
      </w:r>
      <w:r w:rsidR="0060584C">
        <w:rPr>
          <w:rFonts w:ascii="Times New Roman" w:hAnsi="Times New Roman"/>
          <w:szCs w:val="24"/>
        </w:rPr>
        <w:t>)</w:t>
      </w:r>
      <w:r w:rsidR="00761EC5" w:rsidRPr="00017529">
        <w:rPr>
          <w:rFonts w:ascii="Times New Roman" w:hAnsi="Times New Roman"/>
          <w:szCs w:val="24"/>
        </w:rPr>
        <w:t>,</w:t>
      </w:r>
      <w:r w:rsidR="00017529" w:rsidRPr="00017529">
        <w:rPr>
          <w:rFonts w:ascii="Times New Roman" w:hAnsi="Times New Roman"/>
          <w:szCs w:val="24"/>
        </w:rPr>
        <w:t xml:space="preserve"> </w:t>
      </w:r>
      <w:r w:rsidR="00FD356B">
        <w:rPr>
          <w:rFonts w:ascii="Times New Roman" w:hAnsi="Times New Roman"/>
          <w:szCs w:val="24"/>
        </w:rPr>
        <w:t xml:space="preserve">the resolution points to instances of child </w:t>
      </w:r>
      <w:r w:rsidR="00017529" w:rsidRPr="00017529">
        <w:rPr>
          <w:rFonts w:ascii="Times New Roman" w:hAnsi="Times New Roman"/>
          <w:szCs w:val="24"/>
        </w:rPr>
        <w:t xml:space="preserve">or sexual violence, violence and bullying. </w:t>
      </w:r>
      <w:r w:rsidR="00D01914">
        <w:rPr>
          <w:rFonts w:ascii="Times New Roman" w:hAnsi="Times New Roman"/>
          <w:szCs w:val="24"/>
        </w:rPr>
        <w:t>Most of</w:t>
      </w:r>
      <w:r w:rsidR="00947A00">
        <w:rPr>
          <w:rFonts w:ascii="Times New Roman" w:hAnsi="Times New Roman"/>
          <w:szCs w:val="24"/>
        </w:rPr>
        <w:t xml:space="preserve"> the </w:t>
      </w:r>
      <w:r w:rsidR="00F42348">
        <w:rPr>
          <w:rFonts w:ascii="Times New Roman" w:hAnsi="Times New Roman"/>
          <w:szCs w:val="24"/>
        </w:rPr>
        <w:t>requests made</w:t>
      </w:r>
      <w:r w:rsidR="00947A00">
        <w:rPr>
          <w:rFonts w:ascii="Times New Roman" w:hAnsi="Times New Roman"/>
          <w:szCs w:val="24"/>
        </w:rPr>
        <w:t xml:space="preserve"> in the resolution</w:t>
      </w:r>
      <w:r w:rsidR="00F42348">
        <w:rPr>
          <w:rFonts w:ascii="Times New Roman" w:hAnsi="Times New Roman"/>
          <w:szCs w:val="24"/>
        </w:rPr>
        <w:t xml:space="preserve"> are directed at the Member States. </w:t>
      </w:r>
      <w:r w:rsidR="00852452">
        <w:rPr>
          <w:rFonts w:ascii="Times New Roman" w:hAnsi="Times New Roman"/>
          <w:szCs w:val="24"/>
        </w:rPr>
        <w:t xml:space="preserve">Several </w:t>
      </w:r>
      <w:r w:rsidR="00F42348">
        <w:rPr>
          <w:rFonts w:ascii="Times New Roman" w:hAnsi="Times New Roman"/>
          <w:szCs w:val="24"/>
        </w:rPr>
        <w:t xml:space="preserve">requests are directed at the Commission, </w:t>
      </w:r>
      <w:r w:rsidR="00852452">
        <w:rPr>
          <w:rFonts w:ascii="Times New Roman" w:hAnsi="Times New Roman"/>
          <w:szCs w:val="24"/>
        </w:rPr>
        <w:t xml:space="preserve">most </w:t>
      </w:r>
      <w:r w:rsidR="00F42348">
        <w:rPr>
          <w:rFonts w:ascii="Times New Roman" w:hAnsi="Times New Roman"/>
          <w:szCs w:val="24"/>
        </w:rPr>
        <w:t xml:space="preserve">out of which </w:t>
      </w:r>
      <w:r w:rsidR="00852452">
        <w:rPr>
          <w:rFonts w:ascii="Times New Roman" w:hAnsi="Times New Roman"/>
          <w:szCs w:val="24"/>
        </w:rPr>
        <w:t xml:space="preserve">also </w:t>
      </w:r>
      <w:r w:rsidR="00F42348">
        <w:rPr>
          <w:rFonts w:ascii="Times New Roman" w:hAnsi="Times New Roman"/>
          <w:szCs w:val="24"/>
        </w:rPr>
        <w:t>concern the Member States. There is one request directed at the Council, and one request directed at the EU budgetary authorities.</w:t>
      </w:r>
    </w:p>
    <w:p w14:paraId="1C4B59A1" w14:textId="2977EB09" w:rsidR="00F42348" w:rsidRPr="00F42348" w:rsidRDefault="004A6C66" w:rsidP="00D01914">
      <w:pPr>
        <w:numPr>
          <w:ilvl w:val="0"/>
          <w:numId w:val="27"/>
        </w:numPr>
        <w:ind w:left="567" w:hanging="567"/>
        <w:rPr>
          <w:rFonts w:ascii="Times New Roman" w:hAnsi="Times New Roman"/>
          <w:bCs/>
          <w:szCs w:val="24"/>
          <w:lang w:eastAsia="en-US"/>
        </w:rPr>
      </w:pPr>
      <w:r w:rsidRPr="00423FE3">
        <w:rPr>
          <w:rFonts w:ascii="Times New Roman" w:hAnsi="Times New Roman"/>
          <w:b/>
        </w:rPr>
        <w:t>Response</w:t>
      </w:r>
      <w:r w:rsidRPr="00747D86">
        <w:rPr>
          <w:rFonts w:ascii="Times New Roman" w:hAnsi="Times New Roman"/>
          <w:b/>
          <w:szCs w:val="24"/>
        </w:rPr>
        <w:t xml:space="preserve"> to the requests in the </w:t>
      </w:r>
      <w:r>
        <w:rPr>
          <w:rFonts w:ascii="Times New Roman" w:hAnsi="Times New Roman"/>
          <w:b/>
          <w:szCs w:val="24"/>
        </w:rPr>
        <w:t>r</w:t>
      </w:r>
      <w:r w:rsidRPr="00747D86">
        <w:rPr>
          <w:rFonts w:ascii="Times New Roman" w:hAnsi="Times New Roman"/>
          <w:b/>
          <w:szCs w:val="24"/>
        </w:rPr>
        <w:t>esolution and overview of the action taken, or intended to be taken, by the Commission</w:t>
      </w:r>
      <w:r w:rsidR="00BF260B">
        <w:rPr>
          <w:rFonts w:ascii="Times New Roman" w:hAnsi="Times New Roman"/>
          <w:b/>
          <w:szCs w:val="24"/>
        </w:rPr>
        <w:t>:</w:t>
      </w:r>
    </w:p>
    <w:p w14:paraId="730D0FD0" w14:textId="33AED405" w:rsidR="00E05953" w:rsidRDefault="00FA696E" w:rsidP="00D01914">
      <w:pPr>
        <w:spacing w:after="120"/>
        <w:rPr>
          <w:rFonts w:ascii="Times New Roman" w:hAnsi="Times New Roman"/>
          <w:bCs/>
        </w:rPr>
      </w:pPr>
      <w:bookmarkStart w:id="1" w:name="_Hlk152585286"/>
      <w:r>
        <w:rPr>
          <w:rFonts w:ascii="Times New Roman" w:hAnsi="Times New Roman"/>
          <w:szCs w:val="24"/>
          <w:lang w:eastAsia="en-US"/>
        </w:rPr>
        <w:t xml:space="preserve">Regarding </w:t>
      </w:r>
      <w:r w:rsidRPr="0060584C">
        <w:rPr>
          <w:rFonts w:ascii="Times New Roman" w:hAnsi="Times New Roman"/>
          <w:b/>
          <w:bCs/>
          <w:szCs w:val="24"/>
          <w:lang w:eastAsia="en-US"/>
        </w:rPr>
        <w:t>paragraph</w:t>
      </w:r>
      <w:r w:rsidR="00F42348" w:rsidRPr="0060584C">
        <w:rPr>
          <w:rFonts w:ascii="Times New Roman" w:hAnsi="Times New Roman"/>
          <w:b/>
          <w:bCs/>
          <w:szCs w:val="24"/>
          <w:lang w:eastAsia="en-US"/>
        </w:rPr>
        <w:t xml:space="preserve"> 1</w:t>
      </w:r>
      <w:r w:rsidR="00F42348" w:rsidRPr="005209EE">
        <w:rPr>
          <w:rFonts w:ascii="Times New Roman" w:hAnsi="Times New Roman"/>
          <w:szCs w:val="24"/>
          <w:lang w:eastAsia="en-US"/>
        </w:rPr>
        <w:t xml:space="preserve"> of the resolution, which calls for a</w:t>
      </w:r>
      <w:r w:rsidR="00423FE3" w:rsidRPr="005209EE">
        <w:rPr>
          <w:rFonts w:ascii="Times New Roman" w:hAnsi="Times New Roman"/>
          <w:b/>
          <w:bCs/>
          <w:szCs w:val="24"/>
          <w:lang w:eastAsia="en-US"/>
        </w:rPr>
        <w:t xml:space="preserve"> </w:t>
      </w:r>
      <w:bookmarkEnd w:id="1"/>
      <w:r w:rsidR="00296F53" w:rsidRPr="005209EE">
        <w:rPr>
          <w:rFonts w:ascii="Times New Roman" w:hAnsi="Times New Roman"/>
          <w:b/>
          <w:bCs/>
          <w:szCs w:val="24"/>
          <w:lang w:eastAsia="en-US"/>
        </w:rPr>
        <w:t>significant increase of public investment in policies that have a direct and indirect impact on children</w:t>
      </w:r>
      <w:r w:rsidR="005209EE" w:rsidRPr="00D01914">
        <w:rPr>
          <w:rFonts w:ascii="Times New Roman" w:hAnsi="Times New Roman"/>
          <w:szCs w:val="24"/>
          <w:lang w:eastAsia="en-US"/>
        </w:rPr>
        <w:t xml:space="preserve">, </w:t>
      </w:r>
      <w:r w:rsidR="005209EE" w:rsidRPr="005209EE">
        <w:rPr>
          <w:rFonts w:ascii="Times New Roman" w:hAnsi="Times New Roman"/>
          <w:bCs/>
        </w:rPr>
        <w:t xml:space="preserve">the Commission shares the European Parliament’s concerns about high levels of child poverty in the EU. The Commission </w:t>
      </w:r>
      <w:r w:rsidR="00E05953">
        <w:rPr>
          <w:rFonts w:ascii="Times New Roman" w:hAnsi="Times New Roman"/>
          <w:bCs/>
        </w:rPr>
        <w:t>recalls</w:t>
      </w:r>
      <w:r w:rsidR="005209EE" w:rsidRPr="005209EE">
        <w:rPr>
          <w:rFonts w:ascii="Times New Roman" w:hAnsi="Times New Roman"/>
          <w:bCs/>
        </w:rPr>
        <w:t xml:space="preserve"> that there is a strong commitment and legal basis </w:t>
      </w:r>
      <w:r w:rsidR="00B16A37">
        <w:rPr>
          <w:rFonts w:ascii="Times New Roman" w:hAnsi="Times New Roman"/>
          <w:bCs/>
        </w:rPr>
        <w:t xml:space="preserve">in place </w:t>
      </w:r>
      <w:r w:rsidR="005209EE" w:rsidRPr="005209EE">
        <w:rPr>
          <w:rFonts w:ascii="Times New Roman" w:hAnsi="Times New Roman"/>
          <w:bCs/>
        </w:rPr>
        <w:t xml:space="preserve">for the Member States to tackle child poverty via the </w:t>
      </w:r>
      <w:r w:rsidR="001D31EA">
        <w:rPr>
          <w:rFonts w:ascii="Times New Roman" w:hAnsi="Times New Roman"/>
          <w:bCs/>
        </w:rPr>
        <w:t>European Social Fund Plus (</w:t>
      </w:r>
      <w:r w:rsidR="005209EE" w:rsidRPr="005209EE">
        <w:rPr>
          <w:rFonts w:ascii="Times New Roman" w:hAnsi="Times New Roman"/>
          <w:bCs/>
        </w:rPr>
        <w:t>ESF+</w:t>
      </w:r>
      <w:r w:rsidR="001D31EA">
        <w:rPr>
          <w:rFonts w:ascii="Times New Roman" w:hAnsi="Times New Roman"/>
          <w:bCs/>
        </w:rPr>
        <w:t>)</w:t>
      </w:r>
      <w:r w:rsidR="005209EE" w:rsidRPr="005209EE">
        <w:rPr>
          <w:rFonts w:ascii="Times New Roman" w:hAnsi="Times New Roman"/>
          <w:bCs/>
        </w:rPr>
        <w:t>, notably</w:t>
      </w:r>
      <w:r w:rsidR="005209EE" w:rsidRPr="0057247F">
        <w:rPr>
          <w:rFonts w:ascii="Times New Roman" w:hAnsi="Times New Roman"/>
          <w:bCs/>
        </w:rPr>
        <w:t xml:space="preserve"> via the thematic concentration requirement on addressing child poverty</w:t>
      </w:r>
      <w:r w:rsidR="00B16A37">
        <w:rPr>
          <w:rFonts w:ascii="Times New Roman" w:hAnsi="Times New Roman"/>
          <w:bCs/>
        </w:rPr>
        <w:t>. This specific instrument</w:t>
      </w:r>
      <w:r w:rsidR="005209EE">
        <w:rPr>
          <w:rFonts w:ascii="Times New Roman" w:hAnsi="Times New Roman"/>
          <w:bCs/>
        </w:rPr>
        <w:t xml:space="preserve"> </w:t>
      </w:r>
      <w:r w:rsidR="005209EE" w:rsidRPr="0057247F">
        <w:rPr>
          <w:rFonts w:ascii="Times New Roman" w:hAnsi="Times New Roman"/>
          <w:bCs/>
        </w:rPr>
        <w:t xml:space="preserve">is set at 5% of the national envelopes for those Member States with an above EU average </w:t>
      </w:r>
      <w:r w:rsidR="00B16A37">
        <w:rPr>
          <w:rFonts w:ascii="Times New Roman" w:hAnsi="Times New Roman"/>
          <w:bCs/>
        </w:rPr>
        <w:t>child</w:t>
      </w:r>
      <w:r w:rsidR="000A1AE3">
        <w:rPr>
          <w:rFonts w:ascii="Times New Roman" w:hAnsi="Times New Roman"/>
          <w:bCs/>
        </w:rPr>
        <w:t xml:space="preserve"> </w:t>
      </w:r>
      <w:r w:rsidR="000A1AE3" w:rsidRPr="000A1AE3">
        <w:rPr>
          <w:rFonts w:ascii="Times New Roman" w:hAnsi="Times New Roman"/>
          <w:bCs/>
        </w:rPr>
        <w:t>at risk of poverty or social exclusion</w:t>
      </w:r>
      <w:r w:rsidR="005209EE" w:rsidRPr="0057247F">
        <w:rPr>
          <w:rFonts w:ascii="Times New Roman" w:hAnsi="Times New Roman"/>
          <w:bCs/>
        </w:rPr>
        <w:t xml:space="preserve"> </w:t>
      </w:r>
      <w:r w:rsidR="000A1AE3">
        <w:rPr>
          <w:rFonts w:ascii="Times New Roman" w:hAnsi="Times New Roman"/>
          <w:bCs/>
        </w:rPr>
        <w:t>(</w:t>
      </w:r>
      <w:r w:rsidR="005209EE" w:rsidRPr="0057247F">
        <w:rPr>
          <w:rFonts w:ascii="Times New Roman" w:hAnsi="Times New Roman"/>
          <w:bCs/>
        </w:rPr>
        <w:t>AROPE</w:t>
      </w:r>
      <w:r w:rsidR="000A1AE3">
        <w:rPr>
          <w:rFonts w:ascii="Times New Roman" w:hAnsi="Times New Roman"/>
          <w:bCs/>
        </w:rPr>
        <w:t>)</w:t>
      </w:r>
      <w:r w:rsidR="005209EE" w:rsidRPr="0057247F">
        <w:rPr>
          <w:rFonts w:ascii="Times New Roman" w:hAnsi="Times New Roman"/>
          <w:bCs/>
        </w:rPr>
        <w:t xml:space="preserve"> rate for the years 2017-2019, and an appropriate amount for all other Member States. </w:t>
      </w:r>
      <w:r w:rsidR="005209EE">
        <w:rPr>
          <w:rFonts w:ascii="Times New Roman" w:hAnsi="Times New Roman"/>
          <w:bCs/>
        </w:rPr>
        <w:t xml:space="preserve">The Commission stresses that </w:t>
      </w:r>
      <w:r w:rsidR="005209EE" w:rsidRPr="00B547EE">
        <w:rPr>
          <w:rFonts w:ascii="Times New Roman" w:hAnsi="Times New Roman"/>
          <w:bCs/>
        </w:rPr>
        <w:t>encouraging synergies is part of ESF+ implementation (Art</w:t>
      </w:r>
      <w:r w:rsidR="005209EE">
        <w:rPr>
          <w:rFonts w:ascii="Times New Roman" w:hAnsi="Times New Roman"/>
          <w:bCs/>
        </w:rPr>
        <w:t>icle</w:t>
      </w:r>
      <w:r w:rsidR="005209EE" w:rsidRPr="00B547EE">
        <w:rPr>
          <w:rFonts w:ascii="Times New Roman" w:hAnsi="Times New Roman"/>
          <w:bCs/>
        </w:rPr>
        <w:t xml:space="preserve"> 7.1 of the </w:t>
      </w:r>
      <w:hyperlink r:id="rId12" w:history="1">
        <w:r w:rsidR="005209EE" w:rsidRPr="00B547EE">
          <w:rPr>
            <w:rStyle w:val="Hyperlink"/>
            <w:rFonts w:ascii="Times New Roman" w:hAnsi="Times New Roman"/>
            <w:bCs/>
          </w:rPr>
          <w:t>ESF+ Regulation</w:t>
        </w:r>
      </w:hyperlink>
      <w:r w:rsidR="005209EE">
        <w:rPr>
          <w:rFonts w:ascii="Times New Roman" w:hAnsi="Times New Roman"/>
          <w:bCs/>
        </w:rPr>
        <w:t xml:space="preserve"> provides that:</w:t>
      </w:r>
      <w:r w:rsidR="005209EE" w:rsidRPr="00B547EE">
        <w:rPr>
          <w:rFonts w:ascii="Times New Roman" w:hAnsi="Times New Roman"/>
          <w:bCs/>
        </w:rPr>
        <w:t xml:space="preserve"> “Member States and, where appropriate, the Commission shall foster synergies and ensure coordination, complementarity and coherence between the ESF+ and other Union funds, programmes and instruments.”). </w:t>
      </w:r>
      <w:r w:rsidR="005209EE">
        <w:rPr>
          <w:rFonts w:ascii="Times New Roman" w:hAnsi="Times New Roman"/>
          <w:bCs/>
        </w:rPr>
        <w:t>This funding</w:t>
      </w:r>
      <w:r w:rsidR="0060584C">
        <w:rPr>
          <w:rFonts w:ascii="Times New Roman" w:hAnsi="Times New Roman"/>
          <w:bCs/>
        </w:rPr>
        <w:t xml:space="preserve"> is in the process of being</w:t>
      </w:r>
      <w:r w:rsidR="005209EE">
        <w:rPr>
          <w:rFonts w:ascii="Times New Roman" w:hAnsi="Times New Roman"/>
          <w:bCs/>
        </w:rPr>
        <w:t xml:space="preserve"> implemented by the Member States.</w:t>
      </w:r>
      <w:r w:rsidR="00B16A37">
        <w:rPr>
          <w:rFonts w:ascii="Times New Roman" w:hAnsi="Times New Roman"/>
          <w:bCs/>
        </w:rPr>
        <w:t xml:space="preserve"> In addition, other Union funds available to Member States</w:t>
      </w:r>
      <w:r w:rsidR="0060584C">
        <w:rPr>
          <w:rFonts w:ascii="Times New Roman" w:hAnsi="Times New Roman"/>
          <w:bCs/>
        </w:rPr>
        <w:t xml:space="preserve"> within and beyond EU cohesion policy funding</w:t>
      </w:r>
      <w:r w:rsidR="00B16A37">
        <w:rPr>
          <w:rFonts w:ascii="Times New Roman" w:hAnsi="Times New Roman"/>
          <w:bCs/>
        </w:rPr>
        <w:t xml:space="preserve"> can further contribute to addressing child poverty and exclusion.</w:t>
      </w:r>
    </w:p>
    <w:p w14:paraId="32F4311D" w14:textId="64660A38" w:rsidR="00296F53" w:rsidRDefault="00FA696E" w:rsidP="00D01914">
      <w:pPr>
        <w:spacing w:after="120"/>
        <w:rPr>
          <w:rFonts w:ascii="Times New Roman" w:hAnsi="Times New Roman"/>
          <w:bCs/>
        </w:rPr>
      </w:pPr>
      <w:r>
        <w:rPr>
          <w:rFonts w:ascii="Times New Roman" w:hAnsi="Times New Roman"/>
          <w:szCs w:val="24"/>
          <w:lang w:eastAsia="en-US"/>
        </w:rPr>
        <w:t xml:space="preserve">Regarding </w:t>
      </w:r>
      <w:r w:rsidRPr="0083221A">
        <w:rPr>
          <w:rFonts w:ascii="Times New Roman" w:hAnsi="Times New Roman"/>
          <w:b/>
          <w:bCs/>
          <w:szCs w:val="24"/>
          <w:lang w:eastAsia="en-US"/>
        </w:rPr>
        <w:t>paragraph</w:t>
      </w:r>
      <w:r w:rsidR="00F42348" w:rsidRPr="0083221A">
        <w:rPr>
          <w:rFonts w:ascii="Times New Roman" w:hAnsi="Times New Roman"/>
          <w:b/>
          <w:bCs/>
          <w:szCs w:val="24"/>
          <w:lang w:eastAsia="en-US"/>
        </w:rPr>
        <w:t xml:space="preserve"> 2</w:t>
      </w:r>
      <w:r w:rsidR="00F42348" w:rsidRPr="00FA696E">
        <w:rPr>
          <w:rFonts w:ascii="Times New Roman" w:hAnsi="Times New Roman"/>
          <w:szCs w:val="24"/>
          <w:lang w:eastAsia="en-US"/>
        </w:rPr>
        <w:t xml:space="preserve">, which calls for </w:t>
      </w:r>
      <w:r w:rsidRPr="00FA696E">
        <w:rPr>
          <w:rFonts w:ascii="Times New Roman" w:hAnsi="Times New Roman"/>
          <w:szCs w:val="24"/>
          <w:lang w:eastAsia="en-US"/>
        </w:rPr>
        <w:t xml:space="preserve">bolstering </w:t>
      </w:r>
      <w:r w:rsidR="00296F53" w:rsidRPr="00FA696E">
        <w:rPr>
          <w:rFonts w:ascii="Times New Roman" w:hAnsi="Times New Roman"/>
          <w:b/>
        </w:rPr>
        <w:t xml:space="preserve">mechanisms for ensuring the meaningful, </w:t>
      </w:r>
      <w:proofErr w:type="gramStart"/>
      <w:r w:rsidR="00296F53" w:rsidRPr="00FA696E">
        <w:rPr>
          <w:rFonts w:ascii="Times New Roman" w:hAnsi="Times New Roman"/>
          <w:b/>
        </w:rPr>
        <w:t>safe</w:t>
      </w:r>
      <w:proofErr w:type="gramEnd"/>
      <w:r w:rsidR="00296F53" w:rsidRPr="00FA696E">
        <w:rPr>
          <w:rFonts w:ascii="Times New Roman" w:hAnsi="Times New Roman"/>
          <w:b/>
        </w:rPr>
        <w:t xml:space="preserve"> and inclusive participation of children, families, carers and civil society organisations</w:t>
      </w:r>
      <w:r w:rsidRPr="00FA696E">
        <w:rPr>
          <w:rFonts w:ascii="Times New Roman" w:hAnsi="Times New Roman"/>
          <w:b/>
        </w:rPr>
        <w:t>,</w:t>
      </w:r>
      <w:r>
        <w:rPr>
          <w:rFonts w:ascii="Times New Roman" w:hAnsi="Times New Roman"/>
          <w:b/>
        </w:rPr>
        <w:t xml:space="preserve"> </w:t>
      </w:r>
      <w:r w:rsidRPr="00FA696E">
        <w:rPr>
          <w:rFonts w:ascii="Times New Roman" w:hAnsi="Times New Roman"/>
          <w:bCs/>
        </w:rPr>
        <w:t xml:space="preserve">the Commission has set up an </w:t>
      </w:r>
      <w:hyperlink r:id="rId13" w:history="1">
        <w:r w:rsidRPr="00552B6F">
          <w:rPr>
            <w:rStyle w:val="Hyperlink"/>
            <w:rFonts w:ascii="Times New Roman" w:hAnsi="Times New Roman"/>
            <w:bCs/>
          </w:rPr>
          <w:t>EU</w:t>
        </w:r>
        <w:r w:rsidR="00552B6F" w:rsidRPr="00552B6F">
          <w:rPr>
            <w:rStyle w:val="Hyperlink"/>
            <w:rFonts w:ascii="Times New Roman" w:hAnsi="Times New Roman"/>
            <w:bCs/>
          </w:rPr>
          <w:t> </w:t>
        </w:r>
        <w:r w:rsidRPr="00552B6F">
          <w:rPr>
            <w:rStyle w:val="Hyperlink"/>
            <w:rFonts w:ascii="Times New Roman" w:hAnsi="Times New Roman"/>
            <w:bCs/>
          </w:rPr>
          <w:t xml:space="preserve">Children’s Participation </w:t>
        </w:r>
        <w:r w:rsidRPr="00552B6F">
          <w:rPr>
            <w:rStyle w:val="Hyperlink"/>
            <w:rFonts w:ascii="Times New Roman" w:hAnsi="Times New Roman"/>
            <w:bCs/>
          </w:rPr>
          <w:lastRenderedPageBreak/>
          <w:t>Platform</w:t>
        </w:r>
      </w:hyperlink>
      <w:r w:rsidRPr="00FA696E">
        <w:rPr>
          <w:rFonts w:ascii="Times New Roman" w:hAnsi="Times New Roman"/>
          <w:bCs/>
        </w:rPr>
        <w:t xml:space="preserve">. In the EU Strategy on the </w:t>
      </w:r>
      <w:r>
        <w:rPr>
          <w:rFonts w:ascii="Times New Roman" w:hAnsi="Times New Roman"/>
          <w:bCs/>
        </w:rPr>
        <w:t>R</w:t>
      </w:r>
      <w:r w:rsidRPr="00FA696E">
        <w:rPr>
          <w:rFonts w:ascii="Times New Roman" w:hAnsi="Times New Roman"/>
          <w:bCs/>
        </w:rPr>
        <w:t xml:space="preserve">ights of the </w:t>
      </w:r>
      <w:r>
        <w:rPr>
          <w:rFonts w:ascii="Times New Roman" w:hAnsi="Times New Roman"/>
          <w:bCs/>
        </w:rPr>
        <w:t>C</w:t>
      </w:r>
      <w:r w:rsidRPr="00FA696E">
        <w:rPr>
          <w:rFonts w:ascii="Times New Roman" w:hAnsi="Times New Roman"/>
          <w:bCs/>
        </w:rPr>
        <w:t xml:space="preserve">hild, the Commission also called on EU Member States to develop national strategies on the rights of the </w:t>
      </w:r>
      <w:r w:rsidR="00B16A37">
        <w:rPr>
          <w:rFonts w:ascii="Times New Roman" w:hAnsi="Times New Roman"/>
          <w:bCs/>
        </w:rPr>
        <w:t xml:space="preserve">child </w:t>
      </w:r>
      <w:r w:rsidRPr="00FA696E">
        <w:rPr>
          <w:rFonts w:ascii="Times New Roman" w:hAnsi="Times New Roman"/>
          <w:bCs/>
        </w:rPr>
        <w:t>and invited the Member States to support all actions recommended in this strategy through appropriate financial resources, including EU funding. The new EU Network for Children’s Rights reinforces the dialogue and mutual learning between the EU, Member States, international and civil society organisations on children’s rights, and supports the implementation, monitoring and evaluation of this Strategy.</w:t>
      </w:r>
      <w:r w:rsidR="001F77C6">
        <w:rPr>
          <w:rFonts w:ascii="Times New Roman" w:hAnsi="Times New Roman"/>
          <w:bCs/>
        </w:rPr>
        <w:t xml:space="preserve"> </w:t>
      </w:r>
      <w:r w:rsidR="001F77C6" w:rsidRPr="001F77C6">
        <w:rPr>
          <w:rFonts w:ascii="Times New Roman" w:hAnsi="Times New Roman"/>
          <w:bCs/>
        </w:rPr>
        <w:t xml:space="preserve">The ‘Defence of Democracy’ package includes a recommendation on promoting the engagement and effective participation of citizens and civil society organisations in public policy-making processes, which among others promote children’s and young people’s meaningful, </w:t>
      </w:r>
      <w:proofErr w:type="gramStart"/>
      <w:r w:rsidR="001F77C6" w:rsidRPr="001F77C6">
        <w:rPr>
          <w:rFonts w:ascii="Times New Roman" w:hAnsi="Times New Roman"/>
          <w:bCs/>
        </w:rPr>
        <w:t>inclusive</w:t>
      </w:r>
      <w:proofErr w:type="gramEnd"/>
      <w:r w:rsidR="001F77C6" w:rsidRPr="001F77C6">
        <w:rPr>
          <w:rFonts w:ascii="Times New Roman" w:hAnsi="Times New Roman"/>
          <w:bCs/>
        </w:rPr>
        <w:t xml:space="preserve"> and safe participation without discrimination of any kind. In line with the recommendation, Member States should undertake specific efforts to strengthen the participation of children and young people in political and democratic life at local, </w:t>
      </w:r>
      <w:proofErr w:type="gramStart"/>
      <w:r w:rsidR="001F77C6" w:rsidRPr="001F77C6">
        <w:rPr>
          <w:rFonts w:ascii="Times New Roman" w:hAnsi="Times New Roman"/>
          <w:bCs/>
        </w:rPr>
        <w:t>regional</w:t>
      </w:r>
      <w:proofErr w:type="gramEnd"/>
      <w:r w:rsidR="001F77C6" w:rsidRPr="001F77C6">
        <w:rPr>
          <w:rFonts w:ascii="Times New Roman" w:hAnsi="Times New Roman"/>
          <w:bCs/>
        </w:rPr>
        <w:t xml:space="preserve"> and national level including in rural and remote areas.</w:t>
      </w:r>
    </w:p>
    <w:p w14:paraId="05F6B49D" w14:textId="12F0AE59" w:rsidR="00D027A1" w:rsidRPr="00D01914" w:rsidRDefault="00FA696E" w:rsidP="00D01914">
      <w:pPr>
        <w:spacing w:after="120"/>
        <w:rPr>
          <w:rFonts w:ascii="Times New Roman" w:hAnsi="Times New Roman"/>
          <w:i/>
          <w:iCs/>
          <w:szCs w:val="24"/>
        </w:rPr>
      </w:pPr>
      <w:r>
        <w:rPr>
          <w:rFonts w:ascii="Times New Roman" w:hAnsi="Times New Roman"/>
          <w:szCs w:val="24"/>
          <w:lang w:eastAsia="en-US"/>
        </w:rPr>
        <w:t xml:space="preserve">Regarding </w:t>
      </w:r>
      <w:r w:rsidRPr="0083221A">
        <w:rPr>
          <w:rFonts w:ascii="Times New Roman" w:hAnsi="Times New Roman"/>
          <w:b/>
          <w:bCs/>
          <w:szCs w:val="24"/>
          <w:lang w:eastAsia="en-US"/>
        </w:rPr>
        <w:t>paragraph</w:t>
      </w:r>
      <w:r w:rsidR="00F42348" w:rsidRPr="0083221A">
        <w:rPr>
          <w:rFonts w:ascii="Times New Roman" w:hAnsi="Times New Roman"/>
          <w:b/>
          <w:bCs/>
          <w:szCs w:val="24"/>
          <w:lang w:eastAsia="en-US"/>
        </w:rPr>
        <w:t xml:space="preserve"> 4</w:t>
      </w:r>
      <w:r w:rsidR="00F42348" w:rsidRPr="00F42348">
        <w:rPr>
          <w:rFonts w:ascii="Times New Roman" w:hAnsi="Times New Roman"/>
          <w:szCs w:val="24"/>
          <w:lang w:eastAsia="en-US"/>
        </w:rPr>
        <w:t>,</w:t>
      </w:r>
      <w:r w:rsidR="00F42348">
        <w:rPr>
          <w:rFonts w:ascii="Times New Roman" w:hAnsi="Times New Roman"/>
          <w:szCs w:val="24"/>
          <w:lang w:eastAsia="en-US"/>
        </w:rPr>
        <w:t xml:space="preserve"> which calls</w:t>
      </w:r>
      <w:r w:rsidR="00F42348" w:rsidRPr="00F42348">
        <w:rPr>
          <w:rFonts w:ascii="Times New Roman" w:hAnsi="Times New Roman"/>
          <w:szCs w:val="24"/>
          <w:lang w:eastAsia="en-US"/>
        </w:rPr>
        <w:t xml:space="preserve"> for</w:t>
      </w:r>
      <w:r w:rsidR="00296F53" w:rsidRPr="001E02E7">
        <w:rPr>
          <w:rFonts w:ascii="Times New Roman" w:hAnsi="Times New Roman"/>
          <w:bCs/>
        </w:rPr>
        <w:t xml:space="preserve"> </w:t>
      </w:r>
      <w:r w:rsidR="00296F53" w:rsidRPr="001E02E7">
        <w:rPr>
          <w:rFonts w:ascii="Times New Roman" w:hAnsi="Times New Roman"/>
          <w:b/>
        </w:rPr>
        <w:t xml:space="preserve">creation of quality jobs </w:t>
      </w:r>
      <w:r w:rsidR="00296F53" w:rsidRPr="001E02E7">
        <w:rPr>
          <w:rFonts w:ascii="Times New Roman" w:hAnsi="Times New Roman"/>
          <w:bCs/>
        </w:rPr>
        <w:t xml:space="preserve">and </w:t>
      </w:r>
      <w:r w:rsidR="00296F53" w:rsidRPr="001E02E7">
        <w:rPr>
          <w:rFonts w:ascii="Times New Roman" w:hAnsi="Times New Roman"/>
          <w:b/>
        </w:rPr>
        <w:t xml:space="preserve">improving attractiveness of professions in the care and social </w:t>
      </w:r>
      <w:r w:rsidR="005209EE" w:rsidRPr="001E02E7">
        <w:rPr>
          <w:rFonts w:ascii="Times New Roman" w:hAnsi="Times New Roman"/>
          <w:b/>
        </w:rPr>
        <w:t>sector</w:t>
      </w:r>
      <w:r w:rsidR="005209EE">
        <w:rPr>
          <w:rFonts w:ascii="Times New Roman" w:hAnsi="Times New Roman"/>
          <w:szCs w:val="24"/>
          <w:lang w:eastAsia="en-US"/>
        </w:rPr>
        <w:t xml:space="preserve">, </w:t>
      </w:r>
      <w:r w:rsidR="005209EE" w:rsidRPr="00D027A1">
        <w:rPr>
          <w:rFonts w:ascii="Times New Roman" w:hAnsi="Times New Roman"/>
          <w:bCs/>
        </w:rPr>
        <w:t>the</w:t>
      </w:r>
      <w:r w:rsidR="00D027A1" w:rsidRPr="00D027A1">
        <w:rPr>
          <w:rFonts w:ascii="Times New Roman" w:hAnsi="Times New Roman"/>
          <w:bCs/>
        </w:rPr>
        <w:t xml:space="preserve"> 2022 European Care Strategy </w:t>
      </w:r>
      <w:r w:rsidR="0060584C">
        <w:rPr>
          <w:rFonts w:ascii="Times New Roman" w:hAnsi="Times New Roman"/>
          <w:bCs/>
        </w:rPr>
        <w:t>(</w:t>
      </w:r>
      <w:r w:rsidR="0060584C" w:rsidRPr="0060584C">
        <w:rPr>
          <w:rFonts w:ascii="Times New Roman" w:hAnsi="Times New Roman"/>
          <w:bCs/>
        </w:rPr>
        <w:t>COM/2022/440 final</w:t>
      </w:r>
      <w:r w:rsidR="0060584C">
        <w:rPr>
          <w:rFonts w:ascii="Times New Roman" w:hAnsi="Times New Roman"/>
          <w:bCs/>
        </w:rPr>
        <w:t>)</w:t>
      </w:r>
      <w:r w:rsidR="0060584C" w:rsidRPr="0060584C">
        <w:rPr>
          <w:rFonts w:ascii="Times New Roman" w:hAnsi="Times New Roman"/>
          <w:bCs/>
        </w:rPr>
        <w:t xml:space="preserve"> </w:t>
      </w:r>
      <w:r w:rsidR="00D027A1" w:rsidRPr="00D027A1">
        <w:rPr>
          <w:rFonts w:ascii="Times New Roman" w:hAnsi="Times New Roman"/>
          <w:bCs/>
        </w:rPr>
        <w:t xml:space="preserve">and the Council Recommendation on access to high-quality long-term care </w:t>
      </w:r>
      <w:r w:rsidR="001D31EA">
        <w:rPr>
          <w:rFonts w:ascii="Times New Roman" w:hAnsi="Times New Roman"/>
          <w:bCs/>
        </w:rPr>
        <w:t xml:space="preserve">(LTC) </w:t>
      </w:r>
      <w:r w:rsidR="0060584C" w:rsidRPr="0060584C">
        <w:rPr>
          <w:rFonts w:ascii="Times New Roman" w:hAnsi="Times New Roman"/>
          <w:bCs/>
        </w:rPr>
        <w:t xml:space="preserve">(2022/C 476/01) </w:t>
      </w:r>
      <w:r w:rsidR="00D027A1" w:rsidRPr="00D027A1">
        <w:rPr>
          <w:rFonts w:ascii="Times New Roman" w:hAnsi="Times New Roman"/>
          <w:bCs/>
        </w:rPr>
        <w:t>focus on improving working conditions and wages for care workers. In the latter document, the Member States are recommended to support quality employment and fair working conditions in long-term care. They are also invited to improve professionalisation and address skills and worker shortages, in collaboration with social partners. The European Care Strategy sets EU level actions for care workforce, which include (i)</w:t>
      </w:r>
      <w:r w:rsidR="00D01914">
        <w:rPr>
          <w:rFonts w:ascii="Times New Roman" w:hAnsi="Times New Roman"/>
          <w:bCs/>
        </w:rPr>
        <w:t xml:space="preserve"> </w:t>
      </w:r>
      <w:r w:rsidR="00D027A1" w:rsidRPr="00D027A1">
        <w:rPr>
          <w:rFonts w:ascii="Times New Roman" w:hAnsi="Times New Roman"/>
          <w:bCs/>
        </w:rPr>
        <w:t>Creation of new EU Sectoral Social Dialogue Committee on social services, which will cover also LTC (</w:t>
      </w:r>
      <w:r w:rsidR="0060584C">
        <w:rPr>
          <w:rFonts w:ascii="Times New Roman" w:hAnsi="Times New Roman"/>
          <w:bCs/>
        </w:rPr>
        <w:t xml:space="preserve">the </w:t>
      </w:r>
      <w:r w:rsidR="00D027A1" w:rsidRPr="00D027A1">
        <w:rPr>
          <w:rFonts w:ascii="Times New Roman" w:hAnsi="Times New Roman"/>
          <w:bCs/>
        </w:rPr>
        <w:t xml:space="preserve">first meeting </w:t>
      </w:r>
      <w:r w:rsidR="0060584C">
        <w:rPr>
          <w:rFonts w:ascii="Times New Roman" w:hAnsi="Times New Roman"/>
          <w:bCs/>
        </w:rPr>
        <w:t>took place on 12 December 2023</w:t>
      </w:r>
      <w:r w:rsidR="00D027A1" w:rsidRPr="00D027A1">
        <w:rPr>
          <w:rFonts w:ascii="Times New Roman" w:hAnsi="Times New Roman"/>
          <w:bCs/>
        </w:rPr>
        <w:t>); (ii)</w:t>
      </w:r>
      <w:r w:rsidR="00D01914">
        <w:rPr>
          <w:rFonts w:ascii="Times New Roman" w:hAnsi="Times New Roman"/>
          <w:bCs/>
        </w:rPr>
        <w:t xml:space="preserve"> </w:t>
      </w:r>
      <w:hyperlink r:id="rId14" w:history="1">
        <w:r w:rsidR="00D027A1" w:rsidRPr="006C7FA5">
          <w:rPr>
            <w:rStyle w:val="Hyperlink"/>
            <w:rFonts w:ascii="Times New Roman" w:hAnsi="Times New Roman"/>
            <w:bCs/>
          </w:rPr>
          <w:t xml:space="preserve">a Skills partnership for the long term-care sector under the </w:t>
        </w:r>
        <w:r w:rsidR="006C7FA5" w:rsidRPr="006C7FA5">
          <w:rPr>
            <w:rStyle w:val="Hyperlink"/>
            <w:rFonts w:ascii="Times New Roman" w:hAnsi="Times New Roman"/>
            <w:bCs/>
          </w:rPr>
          <w:t>Pact for Skills</w:t>
        </w:r>
      </w:hyperlink>
      <w:r w:rsidR="00D027A1" w:rsidRPr="00D027A1">
        <w:rPr>
          <w:rFonts w:ascii="Times New Roman" w:hAnsi="Times New Roman"/>
          <w:bCs/>
        </w:rPr>
        <w:t>, launched in April</w:t>
      </w:r>
      <w:r w:rsidR="0060584C">
        <w:rPr>
          <w:rFonts w:ascii="Times New Roman" w:hAnsi="Times New Roman"/>
          <w:bCs/>
        </w:rPr>
        <w:t xml:space="preserve"> 2023</w:t>
      </w:r>
      <w:r w:rsidR="00D027A1" w:rsidRPr="00D027A1">
        <w:rPr>
          <w:rFonts w:ascii="Times New Roman" w:hAnsi="Times New Roman"/>
          <w:bCs/>
        </w:rPr>
        <w:t>. It aims to contribute to and enable the training of at least 60% of LTC professionals every year, paid for or provided by their employer, including on areas related to digitalisation and person-centred care by 2030; (iii)</w:t>
      </w:r>
      <w:r w:rsidR="00D01914">
        <w:rPr>
          <w:rFonts w:ascii="Times New Roman" w:hAnsi="Times New Roman"/>
          <w:bCs/>
        </w:rPr>
        <w:t xml:space="preserve"> </w:t>
      </w:r>
      <w:r w:rsidR="00D027A1" w:rsidRPr="00D027A1">
        <w:rPr>
          <w:rFonts w:ascii="Times New Roman" w:hAnsi="Times New Roman"/>
          <w:bCs/>
        </w:rPr>
        <w:t xml:space="preserve">a Policy brief on skills intelligence on current and future skills needs and trends in the EU, produced by </w:t>
      </w:r>
      <w:r w:rsidR="006C7FA5">
        <w:rPr>
          <w:rFonts w:ascii="Times New Roman" w:hAnsi="Times New Roman"/>
          <w:bCs/>
        </w:rPr>
        <w:t xml:space="preserve">the </w:t>
      </w:r>
      <w:r w:rsidR="006C7FA5" w:rsidRPr="006C7FA5">
        <w:rPr>
          <w:rFonts w:ascii="Times New Roman" w:hAnsi="Times New Roman"/>
          <w:bCs/>
        </w:rPr>
        <w:t xml:space="preserve">European Centre for the Development of Vocational Training </w:t>
      </w:r>
      <w:r w:rsidR="006C7FA5">
        <w:rPr>
          <w:rFonts w:ascii="Times New Roman" w:hAnsi="Times New Roman"/>
          <w:bCs/>
        </w:rPr>
        <w:t>(</w:t>
      </w:r>
      <w:r w:rsidR="00D027A1" w:rsidRPr="00D027A1">
        <w:rPr>
          <w:rFonts w:ascii="Times New Roman" w:hAnsi="Times New Roman"/>
          <w:bCs/>
        </w:rPr>
        <w:t>CEDEFOP</w:t>
      </w:r>
      <w:r w:rsidR="006C7FA5">
        <w:rPr>
          <w:rFonts w:ascii="Times New Roman" w:hAnsi="Times New Roman"/>
          <w:bCs/>
        </w:rPr>
        <w:t>)</w:t>
      </w:r>
      <w:r w:rsidR="00D027A1" w:rsidRPr="00D027A1">
        <w:rPr>
          <w:rFonts w:ascii="Times New Roman" w:hAnsi="Times New Roman"/>
          <w:bCs/>
        </w:rPr>
        <w:t xml:space="preserve"> in September 2023; and (iv) increasing evidence on LTC workforce through: a thematic study on the review of the application of EU standards on working conditions, an analysis of occupational safety and health issues in the health and LTC sector carried out by </w:t>
      </w:r>
      <w:r w:rsidR="006C7FA5">
        <w:rPr>
          <w:rFonts w:ascii="Times New Roman" w:hAnsi="Times New Roman"/>
          <w:bCs/>
        </w:rPr>
        <w:t xml:space="preserve">the </w:t>
      </w:r>
      <w:r w:rsidR="006C7FA5" w:rsidRPr="006C7FA5">
        <w:rPr>
          <w:rFonts w:ascii="Times New Roman" w:hAnsi="Times New Roman"/>
          <w:bCs/>
        </w:rPr>
        <w:t xml:space="preserve">European Agency for Safety and Health at Work </w:t>
      </w:r>
      <w:r w:rsidR="006C7FA5">
        <w:rPr>
          <w:rFonts w:ascii="Times New Roman" w:hAnsi="Times New Roman"/>
          <w:bCs/>
        </w:rPr>
        <w:t>(</w:t>
      </w:r>
      <w:r w:rsidR="00D027A1" w:rsidRPr="00D027A1">
        <w:rPr>
          <w:rFonts w:ascii="Times New Roman" w:hAnsi="Times New Roman"/>
          <w:bCs/>
        </w:rPr>
        <w:t>EU-OSHA</w:t>
      </w:r>
      <w:r w:rsidR="006C7FA5">
        <w:rPr>
          <w:rFonts w:ascii="Times New Roman" w:hAnsi="Times New Roman"/>
          <w:bCs/>
        </w:rPr>
        <w:t>)</w:t>
      </w:r>
      <w:r w:rsidR="00D027A1" w:rsidRPr="00D027A1">
        <w:rPr>
          <w:rFonts w:ascii="Times New Roman" w:hAnsi="Times New Roman"/>
          <w:bCs/>
        </w:rPr>
        <w:t>, a study that looks at attracting LTC workers from third-countries.</w:t>
      </w:r>
    </w:p>
    <w:p w14:paraId="08759AEE" w14:textId="3464ABA6" w:rsidR="00CF10E2"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83221A">
        <w:rPr>
          <w:rFonts w:ascii="Times New Roman" w:hAnsi="Times New Roman"/>
          <w:b/>
          <w:bCs/>
          <w:szCs w:val="24"/>
          <w:lang w:eastAsia="en-US"/>
        </w:rPr>
        <w:t>paragraph</w:t>
      </w:r>
      <w:r w:rsidR="008D580B" w:rsidRPr="0083221A">
        <w:rPr>
          <w:rFonts w:ascii="Times New Roman" w:hAnsi="Times New Roman"/>
          <w:b/>
          <w:bCs/>
          <w:szCs w:val="24"/>
          <w:lang w:eastAsia="en-US"/>
        </w:rPr>
        <w:t xml:space="preserve"> 7</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sidRPr="001E02E7">
        <w:rPr>
          <w:rFonts w:ascii="Times New Roman" w:hAnsi="Times New Roman"/>
          <w:bCs/>
        </w:rPr>
        <w:t xml:space="preserve"> </w:t>
      </w:r>
      <w:r w:rsidR="00CF10E2" w:rsidRPr="00CF10E2">
        <w:rPr>
          <w:rFonts w:ascii="Times New Roman" w:hAnsi="Times New Roman"/>
          <w:szCs w:val="24"/>
          <w:lang w:eastAsia="en-US"/>
        </w:rPr>
        <w:t xml:space="preserve">increase in the </w:t>
      </w:r>
      <w:r w:rsidR="00CF10E2" w:rsidRPr="00CF10E2">
        <w:rPr>
          <w:rFonts w:ascii="Times New Roman" w:hAnsi="Times New Roman"/>
          <w:b/>
          <w:bCs/>
          <w:szCs w:val="24"/>
          <w:lang w:eastAsia="en-US"/>
        </w:rPr>
        <w:t>funding for European Child Guarantee</w:t>
      </w:r>
      <w:r w:rsidR="00CF10E2">
        <w:rPr>
          <w:rFonts w:ascii="Times New Roman" w:hAnsi="Times New Roman"/>
          <w:b/>
          <w:bCs/>
          <w:szCs w:val="24"/>
          <w:lang w:eastAsia="en-US"/>
        </w:rPr>
        <w:t>,</w:t>
      </w:r>
      <w:r w:rsidR="00CF10E2" w:rsidRPr="00CF10E2">
        <w:t xml:space="preserve"> </w:t>
      </w:r>
      <w:r w:rsidR="00CF10E2" w:rsidRPr="00CF10E2">
        <w:rPr>
          <w:rFonts w:ascii="Times New Roman" w:hAnsi="Times New Roman"/>
          <w:b/>
          <w:bCs/>
          <w:szCs w:val="24"/>
          <w:lang w:eastAsia="en-US"/>
        </w:rPr>
        <w:t>with a dedicated budget of at least EUR 20 billion for the period 2021-</w:t>
      </w:r>
      <w:bookmarkStart w:id="2" w:name="_Hlk152937400"/>
      <w:r w:rsidR="00CF10E2" w:rsidRPr="00CF10E2">
        <w:rPr>
          <w:rFonts w:ascii="Times New Roman" w:hAnsi="Times New Roman"/>
          <w:b/>
          <w:bCs/>
          <w:szCs w:val="24"/>
          <w:lang w:eastAsia="en-US"/>
        </w:rPr>
        <w:t>2027</w:t>
      </w:r>
      <w:r w:rsidR="00CF10E2">
        <w:rPr>
          <w:rFonts w:ascii="Times New Roman" w:hAnsi="Times New Roman"/>
          <w:szCs w:val="24"/>
          <w:lang w:eastAsia="en-US"/>
        </w:rPr>
        <w:t xml:space="preserve">, </w:t>
      </w:r>
      <w:bookmarkEnd w:id="2"/>
      <w:r w:rsidR="00CF10E2">
        <w:rPr>
          <w:rFonts w:ascii="Times New Roman" w:hAnsi="Times New Roman"/>
          <w:szCs w:val="24"/>
          <w:lang w:eastAsia="en-US"/>
        </w:rPr>
        <w:t xml:space="preserve">the Commission </w:t>
      </w:r>
      <w:r w:rsidR="00CF10E2" w:rsidRPr="00CF10E2">
        <w:rPr>
          <w:rFonts w:ascii="Times New Roman" w:hAnsi="Times New Roman"/>
          <w:szCs w:val="24"/>
          <w:lang w:eastAsia="en-US"/>
        </w:rPr>
        <w:t xml:space="preserve">considers that </w:t>
      </w:r>
      <w:r w:rsidR="00B16A37">
        <w:rPr>
          <w:rFonts w:ascii="Times New Roman" w:hAnsi="Times New Roman"/>
          <w:szCs w:val="24"/>
          <w:lang w:eastAsia="en-US"/>
        </w:rPr>
        <w:t>the Member States now need to focus on implementing existing EU funding resources (ESF+, E</w:t>
      </w:r>
      <w:r w:rsidR="001D31EA">
        <w:rPr>
          <w:rFonts w:ascii="Times New Roman" w:hAnsi="Times New Roman"/>
          <w:szCs w:val="24"/>
          <w:lang w:eastAsia="en-US"/>
        </w:rPr>
        <w:t xml:space="preserve">uropean </w:t>
      </w:r>
      <w:r w:rsidR="00B16A37">
        <w:rPr>
          <w:rFonts w:ascii="Times New Roman" w:hAnsi="Times New Roman"/>
          <w:szCs w:val="24"/>
          <w:lang w:eastAsia="en-US"/>
        </w:rPr>
        <w:t>R</w:t>
      </w:r>
      <w:r w:rsidR="001D31EA">
        <w:rPr>
          <w:rFonts w:ascii="Times New Roman" w:hAnsi="Times New Roman"/>
          <w:szCs w:val="24"/>
          <w:lang w:eastAsia="en-US"/>
        </w:rPr>
        <w:t xml:space="preserve">egional </w:t>
      </w:r>
      <w:r w:rsidR="00B16A37">
        <w:rPr>
          <w:rFonts w:ascii="Times New Roman" w:hAnsi="Times New Roman"/>
          <w:szCs w:val="24"/>
          <w:lang w:eastAsia="en-US"/>
        </w:rPr>
        <w:t>D</w:t>
      </w:r>
      <w:r w:rsidR="001D31EA">
        <w:rPr>
          <w:rFonts w:ascii="Times New Roman" w:hAnsi="Times New Roman"/>
          <w:szCs w:val="24"/>
          <w:lang w:eastAsia="en-US"/>
        </w:rPr>
        <w:t xml:space="preserve">evelopment </w:t>
      </w:r>
      <w:r w:rsidR="00B16A37">
        <w:rPr>
          <w:rFonts w:ascii="Times New Roman" w:hAnsi="Times New Roman"/>
          <w:szCs w:val="24"/>
          <w:lang w:eastAsia="en-US"/>
        </w:rPr>
        <w:t>F</w:t>
      </w:r>
      <w:r w:rsidR="001D31EA">
        <w:rPr>
          <w:rFonts w:ascii="Times New Roman" w:hAnsi="Times New Roman"/>
          <w:szCs w:val="24"/>
          <w:lang w:eastAsia="en-US"/>
        </w:rPr>
        <w:t>und (ERDF)</w:t>
      </w:r>
      <w:r w:rsidR="00B16A37">
        <w:rPr>
          <w:rFonts w:ascii="Times New Roman" w:hAnsi="Times New Roman"/>
          <w:szCs w:val="24"/>
          <w:lang w:eastAsia="en-US"/>
        </w:rPr>
        <w:t xml:space="preserve">, Technical Support Instrument, </w:t>
      </w:r>
      <w:r w:rsidR="00362616">
        <w:rPr>
          <w:rFonts w:ascii="Times New Roman" w:hAnsi="Times New Roman"/>
          <w:lang w:eastAsia="en-US"/>
        </w:rPr>
        <w:t>Recovery and Resilience Facility</w:t>
      </w:r>
      <w:r w:rsidR="00B16A37">
        <w:rPr>
          <w:rFonts w:ascii="Times New Roman" w:hAnsi="Times New Roman"/>
          <w:szCs w:val="24"/>
          <w:lang w:eastAsia="en-US"/>
        </w:rPr>
        <w:t xml:space="preserve"> and others) and also mobilise national resources to address child poverty and exclusion. </w:t>
      </w:r>
      <w:r w:rsidR="00B16A37">
        <w:rPr>
          <w:rFonts w:ascii="Times New Roman" w:hAnsi="Times New Roman"/>
          <w:bCs/>
        </w:rPr>
        <w:t xml:space="preserve">It needs to be noted that EU funding cannot replace the national public funding, while it may serve as an important trigger for reforms. </w:t>
      </w:r>
      <w:r>
        <w:rPr>
          <w:rFonts w:ascii="Times New Roman" w:hAnsi="Times New Roman"/>
          <w:szCs w:val="24"/>
          <w:lang w:eastAsia="en-US"/>
        </w:rPr>
        <w:t xml:space="preserve">Regarding </w:t>
      </w:r>
      <w:r w:rsidR="006C7FA5">
        <w:rPr>
          <w:rFonts w:ascii="Times New Roman" w:hAnsi="Times New Roman"/>
          <w:b/>
          <w:bCs/>
          <w:szCs w:val="24"/>
          <w:lang w:eastAsia="en-US"/>
        </w:rPr>
        <w:t>the call in the same paragraph</w:t>
      </w:r>
      <w:r w:rsidR="008D580B" w:rsidRPr="00F42348">
        <w:rPr>
          <w:rFonts w:ascii="Times New Roman" w:hAnsi="Times New Roman"/>
          <w:szCs w:val="24"/>
          <w:lang w:eastAsia="en-US"/>
        </w:rPr>
        <w:t xml:space="preserve"> for</w:t>
      </w:r>
      <w:r w:rsidR="008D580B" w:rsidRPr="001E02E7">
        <w:rPr>
          <w:rFonts w:ascii="Times New Roman" w:hAnsi="Times New Roman"/>
          <w:bCs/>
        </w:rPr>
        <w:t xml:space="preserve"> </w:t>
      </w:r>
      <w:r w:rsidR="00CF10E2" w:rsidRPr="00CF10E2">
        <w:rPr>
          <w:rFonts w:ascii="Times New Roman" w:hAnsi="Times New Roman"/>
          <w:b/>
          <w:bCs/>
          <w:szCs w:val="24"/>
          <w:lang w:eastAsia="en-US"/>
        </w:rPr>
        <w:t xml:space="preserve">involvement of civil society and relevant stakeholders in planning, </w:t>
      </w:r>
      <w:proofErr w:type="gramStart"/>
      <w:r w:rsidR="00CF10E2" w:rsidRPr="00CF10E2">
        <w:rPr>
          <w:rFonts w:ascii="Times New Roman" w:hAnsi="Times New Roman"/>
          <w:b/>
          <w:bCs/>
          <w:szCs w:val="24"/>
          <w:lang w:eastAsia="en-US"/>
        </w:rPr>
        <w:t>implementation</w:t>
      </w:r>
      <w:proofErr w:type="gramEnd"/>
      <w:r w:rsidR="00CF10E2" w:rsidRPr="00CF10E2">
        <w:rPr>
          <w:rFonts w:ascii="Times New Roman" w:hAnsi="Times New Roman"/>
          <w:b/>
          <w:bCs/>
          <w:szCs w:val="24"/>
          <w:lang w:eastAsia="en-US"/>
        </w:rPr>
        <w:t xml:space="preserve"> and evaluation of the use of EU Funds</w:t>
      </w:r>
      <w:r w:rsidR="00362616">
        <w:rPr>
          <w:rFonts w:ascii="Times New Roman" w:hAnsi="Times New Roman"/>
          <w:szCs w:val="24"/>
          <w:lang w:eastAsia="en-US"/>
        </w:rPr>
        <w:t xml:space="preserve">, </w:t>
      </w:r>
      <w:r w:rsidR="006A58FB" w:rsidRPr="006A58FB">
        <w:rPr>
          <w:rFonts w:ascii="Times New Roman" w:hAnsi="Times New Roman"/>
          <w:szCs w:val="24"/>
          <w:lang w:eastAsia="en-US"/>
        </w:rPr>
        <w:t xml:space="preserve">partnership is intrinsic to the ESF + and other funds operating under shared management. The Common Provision Regulation (EU) 2021/1060 has set up a partnership principle stating that Member States </w:t>
      </w:r>
      <w:r w:rsidR="00362616" w:rsidRPr="006A58FB">
        <w:rPr>
          <w:rFonts w:ascii="Times New Roman" w:hAnsi="Times New Roman"/>
          <w:szCs w:val="24"/>
          <w:lang w:eastAsia="en-US"/>
        </w:rPr>
        <w:t>must</w:t>
      </w:r>
      <w:r w:rsidR="006A58FB" w:rsidRPr="006A58FB">
        <w:rPr>
          <w:rFonts w:ascii="Times New Roman" w:hAnsi="Times New Roman"/>
          <w:szCs w:val="24"/>
          <w:lang w:eastAsia="en-US"/>
        </w:rPr>
        <w:t xml:space="preserve"> implement “comprehensive partnerships” to ensure the implementation of the funds. Civil societies organisations are key potential partners for ESF+.</w:t>
      </w:r>
      <w:r w:rsidR="00492C50">
        <w:rPr>
          <w:rFonts w:ascii="Times New Roman" w:hAnsi="Times New Roman"/>
          <w:szCs w:val="24"/>
          <w:lang w:eastAsia="en-US"/>
        </w:rPr>
        <w:t xml:space="preserve"> </w:t>
      </w:r>
      <w:r w:rsidR="006A58FB">
        <w:rPr>
          <w:rFonts w:ascii="Times New Roman" w:hAnsi="Times New Roman"/>
          <w:szCs w:val="24"/>
          <w:lang w:eastAsia="en-US"/>
        </w:rPr>
        <w:t>S</w:t>
      </w:r>
      <w:r w:rsidR="00492C50">
        <w:rPr>
          <w:rFonts w:ascii="Times New Roman" w:hAnsi="Times New Roman"/>
          <w:szCs w:val="24"/>
          <w:lang w:eastAsia="en-US"/>
        </w:rPr>
        <w:t xml:space="preserve">ince 2020 the Commission </w:t>
      </w:r>
      <w:r w:rsidR="00492C50" w:rsidRPr="00492C50">
        <w:rPr>
          <w:rFonts w:ascii="Times New Roman" w:hAnsi="Times New Roman"/>
          <w:szCs w:val="24"/>
          <w:lang w:eastAsia="en-US"/>
        </w:rPr>
        <w:t>has been carrying out a range of pilot projects to inspire authorities in Member States and citizens and civil society organisations to cooperate more intensely throughout the implementation cycle.</w:t>
      </w:r>
      <w:r w:rsidR="00492C50">
        <w:rPr>
          <w:rFonts w:ascii="Times New Roman" w:hAnsi="Times New Roman"/>
          <w:szCs w:val="24"/>
          <w:lang w:eastAsia="en-US"/>
        </w:rPr>
        <w:t xml:space="preserve"> The Council Recommendation </w:t>
      </w:r>
      <w:r w:rsidR="006C7FA5" w:rsidRPr="006C7FA5">
        <w:rPr>
          <w:rFonts w:ascii="Times New Roman" w:hAnsi="Times New Roman"/>
          <w:szCs w:val="24"/>
          <w:lang w:eastAsia="en-US"/>
        </w:rPr>
        <w:t>(EU) 2021/1004</w:t>
      </w:r>
      <w:r w:rsidR="006C7FA5">
        <w:rPr>
          <w:rFonts w:ascii="Times New Roman" w:hAnsi="Times New Roman"/>
          <w:szCs w:val="24"/>
          <w:lang w:eastAsia="en-US"/>
        </w:rPr>
        <w:t xml:space="preserve"> </w:t>
      </w:r>
      <w:r w:rsidR="006C7FA5" w:rsidRPr="006C7FA5">
        <w:rPr>
          <w:rFonts w:ascii="Times New Roman" w:hAnsi="Times New Roman"/>
          <w:szCs w:val="24"/>
          <w:lang w:eastAsia="en-US"/>
        </w:rPr>
        <w:t xml:space="preserve">of </w:t>
      </w:r>
      <w:r w:rsidR="006C7FA5" w:rsidRPr="006C7FA5">
        <w:rPr>
          <w:rFonts w:ascii="Times New Roman" w:hAnsi="Times New Roman"/>
          <w:szCs w:val="24"/>
          <w:lang w:eastAsia="en-US"/>
        </w:rPr>
        <w:lastRenderedPageBreak/>
        <w:t xml:space="preserve">14 June 2021 </w:t>
      </w:r>
      <w:r w:rsidR="00492C50">
        <w:rPr>
          <w:rFonts w:ascii="Times New Roman" w:hAnsi="Times New Roman"/>
          <w:szCs w:val="24"/>
          <w:lang w:eastAsia="en-US"/>
        </w:rPr>
        <w:t xml:space="preserve">establishing a European Child Guarantee calls upon the Member States </w:t>
      </w:r>
      <w:r w:rsidR="00492C50" w:rsidRPr="00CF10E2">
        <w:rPr>
          <w:rFonts w:ascii="Times New Roman" w:hAnsi="Times New Roman"/>
          <w:szCs w:val="24"/>
          <w:lang w:eastAsia="en-US"/>
        </w:rPr>
        <w:t>(</w:t>
      </w:r>
      <w:r w:rsidR="008D580B">
        <w:rPr>
          <w:rFonts w:ascii="Times New Roman" w:hAnsi="Times New Roman"/>
          <w:szCs w:val="24"/>
          <w:lang w:eastAsia="en-US"/>
        </w:rPr>
        <w:t>paragraph</w:t>
      </w:r>
      <w:r w:rsidR="00492C50" w:rsidRPr="00CF10E2">
        <w:rPr>
          <w:rFonts w:ascii="Times New Roman" w:hAnsi="Times New Roman"/>
          <w:szCs w:val="24"/>
          <w:lang w:eastAsia="en-US"/>
        </w:rPr>
        <w:t xml:space="preserve"> </w:t>
      </w:r>
      <w:r w:rsidR="00492C50">
        <w:rPr>
          <w:rFonts w:ascii="Times New Roman" w:hAnsi="Times New Roman"/>
          <w:szCs w:val="24"/>
          <w:lang w:eastAsia="en-US"/>
        </w:rPr>
        <w:t xml:space="preserve">11(e)) to </w:t>
      </w:r>
      <w:r w:rsidR="00492C50" w:rsidRPr="00492C50">
        <w:rPr>
          <w:rFonts w:ascii="Times New Roman" w:hAnsi="Times New Roman"/>
          <w:szCs w:val="24"/>
          <w:lang w:eastAsia="en-US"/>
        </w:rPr>
        <w:t>ensure the participation of relevant stakeholders representing civil society, non-governmental organisations, educational establishments and bodies responsible for promoting social inclusion and integration, children’s rights, inclusive education and non-discrimination, including national equality bodies throughout the preparation, implementation, monitoring and evaluation of the action plan</w:t>
      </w:r>
      <w:r w:rsidR="00492C50">
        <w:rPr>
          <w:rFonts w:ascii="Times New Roman" w:hAnsi="Times New Roman"/>
          <w:szCs w:val="24"/>
          <w:lang w:eastAsia="en-US"/>
        </w:rPr>
        <w:t xml:space="preserve"> – which includes evaluation of how the funds earmarked for implementation</w:t>
      </w:r>
      <w:r w:rsidR="00DD5DC9">
        <w:rPr>
          <w:rFonts w:ascii="Times New Roman" w:hAnsi="Times New Roman"/>
          <w:szCs w:val="24"/>
          <w:lang w:eastAsia="en-US"/>
        </w:rPr>
        <w:t xml:space="preserve"> of the </w:t>
      </w:r>
      <w:r w:rsidR="00492C50" w:rsidRPr="00492C50">
        <w:rPr>
          <w:rFonts w:ascii="Times New Roman" w:hAnsi="Times New Roman"/>
          <w:szCs w:val="24"/>
          <w:lang w:eastAsia="en-US"/>
        </w:rPr>
        <w:t>European Child Guarantee</w:t>
      </w:r>
      <w:r w:rsidR="00DD5DC9">
        <w:rPr>
          <w:rFonts w:ascii="Times New Roman" w:hAnsi="Times New Roman"/>
          <w:szCs w:val="24"/>
          <w:lang w:eastAsia="en-US"/>
        </w:rPr>
        <w:t xml:space="preserve"> have been used.</w:t>
      </w:r>
    </w:p>
    <w:p w14:paraId="04A88AB3" w14:textId="0004945E" w:rsidR="00C34C2E"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83221A">
        <w:rPr>
          <w:rFonts w:ascii="Times New Roman" w:hAnsi="Times New Roman"/>
          <w:b/>
          <w:bCs/>
          <w:szCs w:val="24"/>
          <w:lang w:eastAsia="en-US"/>
        </w:rPr>
        <w:t>paragraph</w:t>
      </w:r>
      <w:r w:rsidR="008D580B" w:rsidRPr="0083221A">
        <w:rPr>
          <w:rFonts w:ascii="Times New Roman" w:hAnsi="Times New Roman"/>
          <w:b/>
          <w:bCs/>
          <w:szCs w:val="24"/>
          <w:lang w:eastAsia="en-US"/>
        </w:rPr>
        <w:t xml:space="preserve"> 9</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w:t>
      </w:r>
      <w:r w:rsidR="004903E4">
        <w:rPr>
          <w:rFonts w:ascii="Times New Roman" w:hAnsi="Times New Roman"/>
          <w:szCs w:val="24"/>
          <w:lang w:eastAsia="en-US"/>
        </w:rPr>
        <w:t>describes</w:t>
      </w:r>
      <w:r w:rsidR="00C34C2E" w:rsidRPr="00C34C2E">
        <w:rPr>
          <w:rFonts w:ascii="Times New Roman" w:hAnsi="Times New Roman"/>
          <w:b/>
          <w:bCs/>
          <w:szCs w:val="24"/>
          <w:lang w:eastAsia="en-US"/>
        </w:rPr>
        <w:t xml:space="preserve"> EU Funds</w:t>
      </w:r>
      <w:r w:rsidR="004903E4">
        <w:rPr>
          <w:rFonts w:ascii="Times New Roman" w:hAnsi="Times New Roman"/>
          <w:b/>
          <w:bCs/>
          <w:szCs w:val="24"/>
          <w:lang w:eastAsia="en-US"/>
        </w:rPr>
        <w:t xml:space="preserve"> as complex to manage</w:t>
      </w:r>
      <w:r w:rsidR="00C34C2E" w:rsidRPr="00CF10E2">
        <w:rPr>
          <w:rFonts w:ascii="Times New Roman" w:hAnsi="Times New Roman"/>
          <w:szCs w:val="24"/>
          <w:lang w:eastAsia="en-US"/>
        </w:rPr>
        <w:t>,</w:t>
      </w:r>
      <w:r w:rsidR="00C34C2E">
        <w:rPr>
          <w:rFonts w:ascii="Times New Roman" w:hAnsi="Times New Roman"/>
          <w:szCs w:val="24"/>
          <w:lang w:eastAsia="en-US"/>
        </w:rPr>
        <w:t xml:space="preserve"> the </w:t>
      </w:r>
      <w:r w:rsidR="0083221A">
        <w:rPr>
          <w:rFonts w:ascii="Times New Roman" w:hAnsi="Times New Roman"/>
          <w:szCs w:val="24"/>
          <w:lang w:eastAsia="en-US"/>
        </w:rPr>
        <w:t xml:space="preserve">Commission recalls that the </w:t>
      </w:r>
      <w:r w:rsidR="00C34C2E" w:rsidRPr="00C34C2E">
        <w:rPr>
          <w:rFonts w:ascii="Times New Roman" w:hAnsi="Times New Roman"/>
          <w:szCs w:val="24"/>
          <w:lang w:eastAsia="en-US"/>
        </w:rPr>
        <w:t xml:space="preserve">Member States have a range of possibilities to use technical assistance under the </w:t>
      </w:r>
      <w:r w:rsidR="00E24B55" w:rsidRPr="00E24B55">
        <w:rPr>
          <w:rFonts w:ascii="Times New Roman" w:hAnsi="Times New Roman"/>
          <w:szCs w:val="24"/>
          <w:lang w:eastAsia="en-US"/>
        </w:rPr>
        <w:t xml:space="preserve">Common Provisions Regulation </w:t>
      </w:r>
      <w:r w:rsidR="0006311A">
        <w:rPr>
          <w:rFonts w:ascii="Times New Roman" w:hAnsi="Times New Roman"/>
          <w:szCs w:val="24"/>
          <w:lang w:eastAsia="en-US"/>
        </w:rPr>
        <w:t>(</w:t>
      </w:r>
      <w:r w:rsidR="0006311A" w:rsidRPr="0006311A">
        <w:rPr>
          <w:rFonts w:ascii="Times New Roman" w:hAnsi="Times New Roman"/>
          <w:szCs w:val="24"/>
          <w:lang w:eastAsia="en-US"/>
        </w:rPr>
        <w:t>Regulation (EU) 2021/1060</w:t>
      </w:r>
      <w:r w:rsidR="0006311A">
        <w:rPr>
          <w:rFonts w:ascii="Times New Roman" w:hAnsi="Times New Roman"/>
          <w:szCs w:val="24"/>
          <w:lang w:eastAsia="en-US"/>
        </w:rPr>
        <w:t xml:space="preserve">) </w:t>
      </w:r>
      <w:r w:rsidR="00E24B55" w:rsidRPr="00E24B55">
        <w:rPr>
          <w:rFonts w:ascii="Times New Roman" w:hAnsi="Times New Roman"/>
          <w:szCs w:val="24"/>
          <w:lang w:eastAsia="en-US"/>
        </w:rPr>
        <w:t>which governs</w:t>
      </w:r>
      <w:r w:rsidR="00E24B55">
        <w:rPr>
          <w:rFonts w:ascii="Times New Roman" w:hAnsi="Times New Roman"/>
          <w:szCs w:val="24"/>
          <w:lang w:eastAsia="en-US"/>
        </w:rPr>
        <w:t xml:space="preserve"> EU Funds including</w:t>
      </w:r>
      <w:r w:rsidR="00E24B55" w:rsidRPr="00E24B55">
        <w:rPr>
          <w:rFonts w:ascii="Times New Roman" w:hAnsi="Times New Roman"/>
          <w:szCs w:val="24"/>
          <w:lang w:eastAsia="en-US"/>
        </w:rPr>
        <w:t xml:space="preserve"> ERDF, ESF+, J</w:t>
      </w:r>
      <w:r w:rsidR="001D31EA">
        <w:rPr>
          <w:rFonts w:ascii="Times New Roman" w:hAnsi="Times New Roman"/>
          <w:szCs w:val="24"/>
          <w:lang w:eastAsia="en-US"/>
        </w:rPr>
        <w:t xml:space="preserve">ust </w:t>
      </w:r>
      <w:r w:rsidR="00E24B55" w:rsidRPr="00E24B55">
        <w:rPr>
          <w:rFonts w:ascii="Times New Roman" w:hAnsi="Times New Roman"/>
          <w:szCs w:val="24"/>
          <w:lang w:eastAsia="en-US"/>
        </w:rPr>
        <w:t>T</w:t>
      </w:r>
      <w:r w:rsidR="001D31EA">
        <w:rPr>
          <w:rFonts w:ascii="Times New Roman" w:hAnsi="Times New Roman"/>
          <w:szCs w:val="24"/>
          <w:lang w:eastAsia="en-US"/>
        </w:rPr>
        <w:t xml:space="preserve">ransition </w:t>
      </w:r>
      <w:r w:rsidR="00E24B55" w:rsidRPr="00E24B55">
        <w:rPr>
          <w:rFonts w:ascii="Times New Roman" w:hAnsi="Times New Roman"/>
          <w:szCs w:val="24"/>
          <w:lang w:eastAsia="en-US"/>
        </w:rPr>
        <w:t>F</w:t>
      </w:r>
      <w:r w:rsidR="001D31EA">
        <w:rPr>
          <w:rFonts w:ascii="Times New Roman" w:hAnsi="Times New Roman"/>
          <w:szCs w:val="24"/>
          <w:lang w:eastAsia="en-US"/>
        </w:rPr>
        <w:t>und</w:t>
      </w:r>
      <w:r w:rsidR="00E24B55">
        <w:rPr>
          <w:rFonts w:ascii="Times New Roman" w:hAnsi="Times New Roman"/>
          <w:szCs w:val="24"/>
          <w:lang w:eastAsia="en-US"/>
        </w:rPr>
        <w:t xml:space="preserve"> and</w:t>
      </w:r>
      <w:r w:rsidR="00E24B55" w:rsidRPr="00E24B55">
        <w:rPr>
          <w:rFonts w:ascii="Times New Roman" w:hAnsi="Times New Roman"/>
          <w:szCs w:val="24"/>
          <w:lang w:eastAsia="en-US"/>
        </w:rPr>
        <w:t xml:space="preserve"> C</w:t>
      </w:r>
      <w:r w:rsidR="001D31EA">
        <w:rPr>
          <w:rFonts w:ascii="Times New Roman" w:hAnsi="Times New Roman"/>
          <w:szCs w:val="24"/>
          <w:lang w:eastAsia="en-US"/>
        </w:rPr>
        <w:t xml:space="preserve">ohesion </w:t>
      </w:r>
      <w:r w:rsidR="00E24B55" w:rsidRPr="00E24B55">
        <w:rPr>
          <w:rFonts w:ascii="Times New Roman" w:hAnsi="Times New Roman"/>
          <w:szCs w:val="24"/>
          <w:lang w:eastAsia="en-US"/>
        </w:rPr>
        <w:t>F</w:t>
      </w:r>
      <w:r w:rsidR="001D31EA">
        <w:rPr>
          <w:rFonts w:ascii="Times New Roman" w:hAnsi="Times New Roman"/>
          <w:szCs w:val="24"/>
          <w:lang w:eastAsia="en-US"/>
        </w:rPr>
        <w:t>und</w:t>
      </w:r>
      <w:r w:rsidR="00E24B55">
        <w:rPr>
          <w:rFonts w:ascii="Times New Roman" w:hAnsi="Times New Roman"/>
          <w:szCs w:val="24"/>
          <w:lang w:eastAsia="en-US"/>
        </w:rPr>
        <w:t>.</w:t>
      </w:r>
      <w:r w:rsidR="00C34C2E" w:rsidRPr="00C34C2E">
        <w:rPr>
          <w:rFonts w:ascii="Times New Roman" w:hAnsi="Times New Roman"/>
          <w:szCs w:val="24"/>
          <w:lang w:eastAsia="en-US"/>
        </w:rPr>
        <w:t xml:space="preserve"> The Commission is implementing central</w:t>
      </w:r>
      <w:r w:rsidR="00E24B55">
        <w:rPr>
          <w:rFonts w:ascii="Times New Roman" w:hAnsi="Times New Roman"/>
          <w:szCs w:val="24"/>
          <w:lang w:eastAsia="en-US"/>
        </w:rPr>
        <w:t xml:space="preserve"> technical assistance </w:t>
      </w:r>
      <w:r w:rsidR="00C34C2E" w:rsidRPr="00C34C2E">
        <w:rPr>
          <w:rFonts w:ascii="Times New Roman" w:hAnsi="Times New Roman"/>
          <w:szCs w:val="24"/>
          <w:lang w:eastAsia="en-US"/>
        </w:rPr>
        <w:t xml:space="preserve">within the budget granted by the EU legislators. </w:t>
      </w:r>
      <w:r w:rsidR="006A58FB" w:rsidRPr="006A58FB">
        <w:rPr>
          <w:rFonts w:ascii="Times New Roman" w:hAnsi="Times New Roman"/>
          <w:szCs w:val="24"/>
          <w:lang w:eastAsia="en-US"/>
        </w:rPr>
        <w:t xml:space="preserve">In order to address the complexity of EU funding and to facilitate incentives for the implementation of operations that help reduce the number of people at risk of poverty or social inclusion, the Commission has introduced a Delegated Act (EU)2023/1676 on simplified cost options and financing-not-linked-to-cost for operations offering in-home and community-based care services as well as for operations providing residential and non-residential services for victims of domestic violence and people experiencing short-term or long-term homelessness. Although they do not specifically target children, they </w:t>
      </w:r>
      <w:r w:rsidR="003633DD">
        <w:rPr>
          <w:rFonts w:ascii="Times New Roman" w:hAnsi="Times New Roman"/>
          <w:szCs w:val="24"/>
          <w:lang w:eastAsia="en-US"/>
        </w:rPr>
        <w:t>support reducing</w:t>
      </w:r>
      <w:r w:rsidR="006A58FB" w:rsidRPr="006A58FB">
        <w:rPr>
          <w:rFonts w:ascii="Times New Roman" w:hAnsi="Times New Roman"/>
          <w:szCs w:val="24"/>
          <w:lang w:eastAsia="en-US"/>
        </w:rPr>
        <w:t xml:space="preserve"> child poverty by addressing factors of social exclusion and poverty affecting </w:t>
      </w:r>
      <w:r w:rsidR="003633DD">
        <w:rPr>
          <w:rFonts w:ascii="Times New Roman" w:hAnsi="Times New Roman"/>
          <w:szCs w:val="24"/>
          <w:lang w:eastAsia="en-US"/>
        </w:rPr>
        <w:t>children</w:t>
      </w:r>
      <w:r w:rsidR="006A58FB" w:rsidRPr="006A58FB">
        <w:rPr>
          <w:rFonts w:ascii="Times New Roman" w:hAnsi="Times New Roman"/>
          <w:szCs w:val="24"/>
          <w:lang w:eastAsia="en-US"/>
        </w:rPr>
        <w:t>.</w:t>
      </w:r>
    </w:p>
    <w:p w14:paraId="46589BBC" w14:textId="4ABC7D24" w:rsidR="004123B6" w:rsidRPr="00FA696E"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3633DD">
        <w:rPr>
          <w:rFonts w:ascii="Times New Roman" w:hAnsi="Times New Roman"/>
          <w:b/>
          <w:bCs/>
          <w:szCs w:val="24"/>
          <w:lang w:eastAsia="en-US"/>
        </w:rPr>
        <w:t>paragraph</w:t>
      </w:r>
      <w:r w:rsidR="008D580B" w:rsidRPr="003633DD">
        <w:rPr>
          <w:rFonts w:ascii="Times New Roman" w:hAnsi="Times New Roman"/>
          <w:b/>
          <w:bCs/>
          <w:szCs w:val="24"/>
          <w:lang w:eastAsia="en-US"/>
        </w:rPr>
        <w:t xml:space="preserve"> 14</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sidRPr="001E02E7">
        <w:rPr>
          <w:rFonts w:ascii="Times New Roman" w:hAnsi="Times New Roman"/>
          <w:bCs/>
        </w:rPr>
        <w:t xml:space="preserve"> </w:t>
      </w:r>
      <w:r w:rsidR="004123B6" w:rsidRPr="001E4929">
        <w:rPr>
          <w:rFonts w:ascii="Times New Roman" w:hAnsi="Times New Roman"/>
          <w:b/>
          <w:bCs/>
          <w:szCs w:val="24"/>
          <w:lang w:eastAsia="en-US"/>
        </w:rPr>
        <w:t>promotion of family-centred childhood policies and intervention</w:t>
      </w:r>
      <w:r w:rsidR="004123B6" w:rsidRPr="001E4929">
        <w:rPr>
          <w:rFonts w:ascii="Times New Roman" w:hAnsi="Times New Roman"/>
          <w:szCs w:val="24"/>
          <w:lang w:eastAsia="en-US"/>
        </w:rPr>
        <w:t>,</w:t>
      </w:r>
      <w:r w:rsidR="001E02E7" w:rsidRPr="001E4929">
        <w:rPr>
          <w:rFonts w:ascii="Times New Roman" w:hAnsi="Times New Roman"/>
          <w:szCs w:val="24"/>
          <w:lang w:eastAsia="en-US"/>
        </w:rPr>
        <w:t xml:space="preserve"> the </w:t>
      </w:r>
      <w:hyperlink r:id="rId15" w:history="1">
        <w:r w:rsidR="001E02E7" w:rsidRPr="003633DD">
          <w:rPr>
            <w:rStyle w:val="Hyperlink"/>
            <w:rFonts w:ascii="Times New Roman" w:hAnsi="Times New Roman"/>
            <w:szCs w:val="24"/>
            <w:lang w:eastAsia="en-US"/>
          </w:rPr>
          <w:t>upcoming Commission recommendation on integrated child protection systems</w:t>
        </w:r>
      </w:hyperlink>
      <w:r w:rsidR="001E4929" w:rsidRPr="001E4929">
        <w:rPr>
          <w:rFonts w:ascii="Times New Roman" w:hAnsi="Times New Roman"/>
          <w:szCs w:val="24"/>
          <w:lang w:eastAsia="en-US"/>
        </w:rPr>
        <w:t xml:space="preserve"> </w:t>
      </w:r>
      <w:r w:rsidR="006147D7">
        <w:rPr>
          <w:rFonts w:ascii="Times New Roman" w:hAnsi="Times New Roman"/>
          <w:szCs w:val="24"/>
          <w:lang w:eastAsia="en-US"/>
        </w:rPr>
        <w:t>aims to address</w:t>
      </w:r>
      <w:r w:rsidR="001E4929" w:rsidRPr="001E4929">
        <w:rPr>
          <w:rFonts w:ascii="Times New Roman" w:hAnsi="Times New Roman"/>
          <w:szCs w:val="24"/>
          <w:lang w:eastAsia="en-US"/>
        </w:rPr>
        <w:t xml:space="preserve"> preventing</w:t>
      </w:r>
      <w:r w:rsidR="001E02E7" w:rsidRPr="001E4929">
        <w:rPr>
          <w:rFonts w:ascii="Times New Roman" w:hAnsi="Times New Roman"/>
          <w:szCs w:val="24"/>
          <w:lang w:eastAsia="en-US"/>
        </w:rPr>
        <w:t xml:space="preserve"> family separation</w:t>
      </w:r>
      <w:r w:rsidR="001E4929" w:rsidRPr="001E4929">
        <w:rPr>
          <w:rFonts w:ascii="Times New Roman" w:hAnsi="Times New Roman"/>
          <w:szCs w:val="24"/>
          <w:lang w:eastAsia="en-US"/>
        </w:rPr>
        <w:t xml:space="preserve"> and </w:t>
      </w:r>
      <w:r w:rsidR="006147D7">
        <w:rPr>
          <w:rFonts w:ascii="Times New Roman" w:hAnsi="Times New Roman"/>
          <w:szCs w:val="24"/>
          <w:lang w:eastAsia="en-US"/>
        </w:rPr>
        <w:t>highlight</w:t>
      </w:r>
      <w:r w:rsidR="001E4929" w:rsidRPr="001E4929">
        <w:rPr>
          <w:rFonts w:ascii="Times New Roman" w:hAnsi="Times New Roman"/>
          <w:szCs w:val="24"/>
          <w:lang w:eastAsia="en-US"/>
        </w:rPr>
        <w:t xml:space="preserve"> a rule that </w:t>
      </w:r>
      <w:r w:rsidR="001E02E7" w:rsidRPr="001E4929">
        <w:rPr>
          <w:rFonts w:ascii="Times New Roman" w:hAnsi="Times New Roman"/>
          <w:szCs w:val="24"/>
          <w:lang w:eastAsia="en-US"/>
        </w:rPr>
        <w:t>poverty should never be the only reason for placing children in care. Each child has the right to an adequate standard of living, and to equal opportunities, from the earliest stage of life.</w:t>
      </w:r>
      <w:r>
        <w:rPr>
          <w:rFonts w:ascii="Times New Roman" w:hAnsi="Times New Roman"/>
          <w:szCs w:val="24"/>
          <w:lang w:eastAsia="en-US"/>
        </w:rPr>
        <w:t xml:space="preserve"> </w:t>
      </w:r>
      <w:r w:rsidR="00333B72" w:rsidRPr="00333B72">
        <w:rPr>
          <w:rFonts w:ascii="Times New Roman" w:hAnsi="Times New Roman"/>
          <w:szCs w:val="24"/>
          <w:lang w:eastAsia="en-US"/>
        </w:rPr>
        <w:t xml:space="preserve">Focused on children’s needs, </w:t>
      </w:r>
      <w:r w:rsidR="00333B72">
        <w:rPr>
          <w:rFonts w:ascii="Times New Roman" w:hAnsi="Times New Roman"/>
          <w:szCs w:val="24"/>
          <w:lang w:eastAsia="en-US"/>
        </w:rPr>
        <w:t>the upcoming Recommendation</w:t>
      </w:r>
      <w:r w:rsidR="00333B72" w:rsidRPr="00333B72">
        <w:rPr>
          <w:rFonts w:ascii="Times New Roman" w:hAnsi="Times New Roman"/>
          <w:szCs w:val="24"/>
          <w:lang w:eastAsia="en-US"/>
        </w:rPr>
        <w:t xml:space="preserve"> would encourage all relevant authorities and services to better work together in a holistic way, from prevention of abuse and violence to protection from any form of violence. It would present how to better use existing EU tools (legislation, </w:t>
      </w:r>
      <w:proofErr w:type="gramStart"/>
      <w:r w:rsidR="00333B72" w:rsidRPr="00333B72">
        <w:rPr>
          <w:rFonts w:ascii="Times New Roman" w:hAnsi="Times New Roman"/>
          <w:szCs w:val="24"/>
          <w:lang w:eastAsia="en-US"/>
        </w:rPr>
        <w:t>policies</w:t>
      </w:r>
      <w:proofErr w:type="gramEnd"/>
      <w:r w:rsidR="00333B72" w:rsidRPr="00333B72">
        <w:rPr>
          <w:rFonts w:ascii="Times New Roman" w:hAnsi="Times New Roman"/>
          <w:szCs w:val="24"/>
          <w:lang w:eastAsia="en-US"/>
        </w:rPr>
        <w:t xml:space="preserve"> and funding) to make child protection systems more integrated and robust, by avoiding silos.</w:t>
      </w:r>
      <w:r w:rsidR="00333B72">
        <w:rPr>
          <w:rFonts w:ascii="Times New Roman" w:hAnsi="Times New Roman"/>
          <w:szCs w:val="24"/>
          <w:lang w:eastAsia="en-US"/>
        </w:rPr>
        <w:t xml:space="preserve"> Furthermore, i</w:t>
      </w:r>
      <w:r w:rsidRPr="00FA696E">
        <w:rPr>
          <w:rFonts w:ascii="Times New Roman" w:hAnsi="Times New Roman"/>
          <w:szCs w:val="24"/>
          <w:lang w:eastAsia="en-US"/>
        </w:rPr>
        <w:t xml:space="preserve">n line with the EU Strategy on the </w:t>
      </w:r>
      <w:r>
        <w:rPr>
          <w:rFonts w:ascii="Times New Roman" w:hAnsi="Times New Roman"/>
          <w:szCs w:val="24"/>
          <w:lang w:eastAsia="en-US"/>
        </w:rPr>
        <w:t>R</w:t>
      </w:r>
      <w:r w:rsidRPr="00FA696E">
        <w:rPr>
          <w:rFonts w:ascii="Times New Roman" w:hAnsi="Times New Roman"/>
          <w:szCs w:val="24"/>
          <w:lang w:eastAsia="en-US"/>
        </w:rPr>
        <w:t xml:space="preserve">ights of the </w:t>
      </w:r>
      <w:r>
        <w:rPr>
          <w:rFonts w:ascii="Times New Roman" w:hAnsi="Times New Roman"/>
          <w:szCs w:val="24"/>
          <w:lang w:eastAsia="en-US"/>
        </w:rPr>
        <w:t>C</w:t>
      </w:r>
      <w:r w:rsidRPr="00FA696E">
        <w:rPr>
          <w:rFonts w:ascii="Times New Roman" w:hAnsi="Times New Roman"/>
          <w:szCs w:val="24"/>
          <w:lang w:eastAsia="en-US"/>
        </w:rPr>
        <w:t>hild, the Commission supports Member States to better protect the rights of children in contact with the civil justice system and ensure their better access to justice, through EU laws, funding, including to support the implementation of the Council of Europe’s standards, or technical assistance.</w:t>
      </w:r>
    </w:p>
    <w:p w14:paraId="5D68E4B6" w14:textId="3C19A140" w:rsidR="004123B6"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8F06A5">
        <w:rPr>
          <w:rFonts w:ascii="Times New Roman" w:hAnsi="Times New Roman"/>
          <w:b/>
          <w:bCs/>
          <w:szCs w:val="24"/>
          <w:lang w:eastAsia="en-US"/>
        </w:rPr>
        <w:t>paragraph</w:t>
      </w:r>
      <w:r w:rsidR="008D580B" w:rsidRPr="008F06A5">
        <w:rPr>
          <w:rFonts w:ascii="Times New Roman" w:hAnsi="Times New Roman"/>
          <w:b/>
          <w:bCs/>
          <w:szCs w:val="24"/>
          <w:lang w:eastAsia="en-US"/>
        </w:rPr>
        <w:t xml:space="preserve"> 15</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sidRPr="001E02E7">
        <w:rPr>
          <w:rFonts w:ascii="Times New Roman" w:hAnsi="Times New Roman"/>
          <w:bCs/>
        </w:rPr>
        <w:t xml:space="preserve"> </w:t>
      </w:r>
      <w:r w:rsidR="00E21020" w:rsidRPr="00E8004E">
        <w:rPr>
          <w:rFonts w:ascii="Times New Roman" w:hAnsi="Times New Roman"/>
          <w:b/>
          <w:bCs/>
          <w:szCs w:val="24"/>
          <w:lang w:eastAsia="en-US"/>
        </w:rPr>
        <w:t>drawing up an integrated EU anti-poverty strategy</w:t>
      </w:r>
      <w:r w:rsidR="00E21020" w:rsidRPr="00E8004E">
        <w:rPr>
          <w:rFonts w:ascii="Times New Roman" w:hAnsi="Times New Roman"/>
          <w:szCs w:val="24"/>
          <w:lang w:eastAsia="en-US"/>
        </w:rPr>
        <w:t>,</w:t>
      </w:r>
      <w:r w:rsidR="00FE3210" w:rsidRPr="00E8004E">
        <w:t xml:space="preserve"> </w:t>
      </w:r>
      <w:r w:rsidR="00FE3210" w:rsidRPr="00E8004E">
        <w:rPr>
          <w:rFonts w:ascii="Times New Roman" w:hAnsi="Times New Roman"/>
          <w:szCs w:val="24"/>
          <w:lang w:eastAsia="en-US"/>
        </w:rPr>
        <w:t xml:space="preserve">the </w:t>
      </w:r>
      <w:hyperlink r:id="rId16" w:history="1">
        <w:r w:rsidR="00FE3210" w:rsidRPr="008F06A5">
          <w:rPr>
            <w:rStyle w:val="Hyperlink"/>
            <w:rFonts w:ascii="Times New Roman" w:hAnsi="Times New Roman"/>
            <w:szCs w:val="24"/>
            <w:lang w:eastAsia="en-US"/>
          </w:rPr>
          <w:t>European Pillar of Social Rights Action Plan</w:t>
        </w:r>
      </w:hyperlink>
      <w:r w:rsidR="00FE3210" w:rsidRPr="00E8004E">
        <w:rPr>
          <w:rFonts w:ascii="Times New Roman" w:hAnsi="Times New Roman"/>
          <w:szCs w:val="24"/>
          <w:lang w:eastAsia="en-US"/>
        </w:rPr>
        <w:t xml:space="preserve"> includes among its targets for 2030 </w:t>
      </w:r>
      <w:r w:rsidR="008F06A5">
        <w:rPr>
          <w:rFonts w:ascii="Times New Roman" w:hAnsi="Times New Roman"/>
          <w:szCs w:val="24"/>
          <w:lang w:eastAsia="en-US"/>
        </w:rPr>
        <w:t xml:space="preserve">the target to reduce </w:t>
      </w:r>
      <w:r w:rsidR="00FE3210" w:rsidRPr="00E8004E">
        <w:rPr>
          <w:rFonts w:ascii="Times New Roman" w:hAnsi="Times New Roman"/>
          <w:szCs w:val="24"/>
          <w:lang w:eastAsia="en-US"/>
        </w:rPr>
        <w:t xml:space="preserve">the number of persons at risk of poverty or social exclusion by at least 15 million compared to the 2019 levels, at least 5 million of whom should be children. All Member States </w:t>
      </w:r>
      <w:r w:rsidR="00E8004E" w:rsidRPr="00E8004E">
        <w:rPr>
          <w:rFonts w:ascii="Times New Roman" w:hAnsi="Times New Roman"/>
          <w:szCs w:val="24"/>
          <w:lang w:eastAsia="en-US"/>
        </w:rPr>
        <w:t xml:space="preserve">have set their national poverty reduction targets, the sum of which exceeds the EU-level target. In addition, </w:t>
      </w:r>
      <w:r w:rsidR="00FE3210" w:rsidRPr="00E8004E">
        <w:rPr>
          <w:rFonts w:ascii="Times New Roman" w:hAnsi="Times New Roman"/>
          <w:szCs w:val="24"/>
          <w:lang w:eastAsia="en-US"/>
        </w:rPr>
        <w:t xml:space="preserve">21 Member States have set </w:t>
      </w:r>
      <w:r w:rsidR="00E8004E" w:rsidRPr="00E8004E">
        <w:rPr>
          <w:rFonts w:ascii="Times New Roman" w:hAnsi="Times New Roman"/>
          <w:szCs w:val="24"/>
          <w:lang w:eastAsia="en-US"/>
        </w:rPr>
        <w:t>complementary</w:t>
      </w:r>
      <w:r w:rsidR="00FE3210" w:rsidRPr="00E8004E">
        <w:rPr>
          <w:rFonts w:ascii="Times New Roman" w:hAnsi="Times New Roman"/>
          <w:szCs w:val="24"/>
          <w:lang w:eastAsia="en-US"/>
        </w:rPr>
        <w:t xml:space="preserve"> national targets on child poverty reduction. The Commission is supporting the Member States in their efforts to deliver on those targets.</w:t>
      </w:r>
      <w:r w:rsidR="006147D7">
        <w:rPr>
          <w:rFonts w:ascii="Times New Roman" w:hAnsi="Times New Roman"/>
          <w:szCs w:val="24"/>
          <w:lang w:eastAsia="en-US"/>
        </w:rPr>
        <w:t xml:space="preserve"> To this end the Council Recommendation on adequate minimum income ensuring active inclusion</w:t>
      </w:r>
      <w:r w:rsidR="008F06A5">
        <w:rPr>
          <w:rFonts w:ascii="Times New Roman" w:hAnsi="Times New Roman"/>
          <w:szCs w:val="24"/>
          <w:lang w:eastAsia="en-US"/>
        </w:rPr>
        <w:t xml:space="preserve"> </w:t>
      </w:r>
      <w:r w:rsidR="008F06A5" w:rsidRPr="008F06A5">
        <w:rPr>
          <w:rFonts w:ascii="Times New Roman" w:hAnsi="Times New Roman"/>
          <w:szCs w:val="24"/>
          <w:lang w:eastAsia="en-US"/>
        </w:rPr>
        <w:t>(2023/C 41/01)</w:t>
      </w:r>
      <w:r w:rsidR="006147D7">
        <w:rPr>
          <w:rFonts w:ascii="Times New Roman" w:hAnsi="Times New Roman"/>
          <w:szCs w:val="24"/>
          <w:lang w:eastAsia="en-US"/>
        </w:rPr>
        <w:t>, adopted in January 2023, is particularly instrumental.</w:t>
      </w:r>
    </w:p>
    <w:p w14:paraId="4A175CD2" w14:textId="08132E3B" w:rsidR="0001768C" w:rsidRDefault="0001768C" w:rsidP="00D01914">
      <w:pPr>
        <w:spacing w:after="120"/>
        <w:rPr>
          <w:rFonts w:ascii="Times New Roman" w:hAnsi="Times New Roman"/>
          <w:szCs w:val="24"/>
          <w:lang w:val="en-IE" w:eastAsia="en-US"/>
        </w:rPr>
      </w:pPr>
      <w:r>
        <w:rPr>
          <w:rFonts w:ascii="Times New Roman" w:hAnsi="Times New Roman"/>
          <w:lang w:val="en-IE"/>
        </w:rPr>
        <w:t xml:space="preserve">Regarding </w:t>
      </w:r>
      <w:r w:rsidRPr="008F06A5">
        <w:rPr>
          <w:rFonts w:ascii="Times New Roman" w:hAnsi="Times New Roman"/>
          <w:b/>
          <w:bCs/>
          <w:lang w:val="en-IE"/>
        </w:rPr>
        <w:t>paragraph 16</w:t>
      </w:r>
      <w:r>
        <w:rPr>
          <w:rFonts w:ascii="Times New Roman" w:hAnsi="Times New Roman"/>
          <w:lang w:val="en-IE"/>
        </w:rPr>
        <w:t xml:space="preserve">, which calls for recommending, as part of European Semester, </w:t>
      </w:r>
      <w:r>
        <w:rPr>
          <w:rFonts w:ascii="Times New Roman" w:hAnsi="Times New Roman"/>
          <w:b/>
          <w:bCs/>
          <w:lang w:val="en-IE"/>
        </w:rPr>
        <w:t xml:space="preserve">reforms to </w:t>
      </w:r>
      <w:r w:rsidRPr="0001768C">
        <w:rPr>
          <w:rFonts w:ascii="Times New Roman" w:hAnsi="Times New Roman"/>
          <w:b/>
          <w:bCs/>
          <w:lang w:val="en-IE"/>
        </w:rPr>
        <w:t>promote social inclusion and reduction of inequalities</w:t>
      </w:r>
      <w:r w:rsidRPr="0001768C">
        <w:rPr>
          <w:rFonts w:ascii="Times New Roman" w:hAnsi="Times New Roman"/>
          <w:lang w:val="en-IE"/>
        </w:rPr>
        <w:t xml:space="preserve">, the Commission identified in the </w:t>
      </w:r>
      <w:hyperlink r:id="rId17" w:history="1">
        <w:r w:rsidRPr="006A58FB">
          <w:rPr>
            <w:rStyle w:val="Hyperlink"/>
            <w:rFonts w:ascii="Times New Roman" w:hAnsi="Times New Roman"/>
            <w:lang w:val="en-IE"/>
          </w:rPr>
          <w:t>Annual Sustainable Growth Survey 2024</w:t>
        </w:r>
      </w:hyperlink>
      <w:r w:rsidRPr="0001768C">
        <w:rPr>
          <w:rFonts w:ascii="Times New Roman" w:hAnsi="Times New Roman"/>
          <w:lang w:val="en-IE"/>
        </w:rPr>
        <w:t xml:space="preserve"> a </w:t>
      </w:r>
      <w:r w:rsidR="008F06A5">
        <w:rPr>
          <w:rFonts w:ascii="Times New Roman" w:hAnsi="Times New Roman"/>
          <w:lang w:val="en-IE"/>
        </w:rPr>
        <w:t>persisting</w:t>
      </w:r>
      <w:r w:rsidR="008F06A5" w:rsidRPr="0001768C">
        <w:rPr>
          <w:rFonts w:ascii="Times New Roman" w:hAnsi="Times New Roman"/>
          <w:lang w:val="en-IE"/>
        </w:rPr>
        <w:t xml:space="preserve"> </w:t>
      </w:r>
      <w:r w:rsidRPr="0001768C">
        <w:rPr>
          <w:rFonts w:ascii="Times New Roman" w:hAnsi="Times New Roman"/>
          <w:lang w:val="en-IE"/>
        </w:rPr>
        <w:t>need for adequate and sustainable social protection and inclusion policies.</w:t>
      </w:r>
      <w:r w:rsidRPr="0001768C">
        <w:rPr>
          <w:lang w:val="en-IE"/>
        </w:rPr>
        <w:t xml:space="preserve"> </w:t>
      </w:r>
      <w:r w:rsidRPr="0001768C">
        <w:rPr>
          <w:rFonts w:ascii="Times New Roman" w:hAnsi="Times New Roman"/>
          <w:lang w:val="en-IE"/>
        </w:rPr>
        <w:t xml:space="preserve">The 2024 </w:t>
      </w:r>
      <w:r w:rsidR="008F06A5">
        <w:rPr>
          <w:rFonts w:ascii="Times New Roman" w:hAnsi="Times New Roman"/>
          <w:lang w:val="en-IE"/>
        </w:rPr>
        <w:t xml:space="preserve">European Semester </w:t>
      </w:r>
      <w:r w:rsidRPr="0001768C">
        <w:rPr>
          <w:rFonts w:ascii="Times New Roman" w:hAnsi="Times New Roman"/>
          <w:lang w:val="en-IE"/>
        </w:rPr>
        <w:t xml:space="preserve">country reports will include an evaluation of progress made towards the European Pillar </w:t>
      </w:r>
      <w:r w:rsidRPr="0001768C">
        <w:rPr>
          <w:rFonts w:ascii="Times New Roman" w:hAnsi="Times New Roman"/>
          <w:lang w:val="en-IE"/>
        </w:rPr>
        <w:lastRenderedPageBreak/>
        <w:t xml:space="preserve">of Social Rights including the 2030 targets on employment, skills, </w:t>
      </w:r>
      <w:proofErr w:type="gramStart"/>
      <w:r w:rsidRPr="0001768C">
        <w:rPr>
          <w:rFonts w:ascii="Times New Roman" w:hAnsi="Times New Roman"/>
          <w:lang w:val="en-IE"/>
        </w:rPr>
        <w:t>education</w:t>
      </w:r>
      <w:proofErr w:type="gramEnd"/>
      <w:r w:rsidRPr="0001768C">
        <w:rPr>
          <w:rFonts w:ascii="Times New Roman" w:hAnsi="Times New Roman"/>
          <w:lang w:val="en-IE"/>
        </w:rPr>
        <w:t xml:space="preserve"> and poverty reduction,</w:t>
      </w:r>
      <w:r w:rsidRPr="0001768C">
        <w:rPr>
          <w:lang w:val="en-IE"/>
        </w:rPr>
        <w:t xml:space="preserve"> </w:t>
      </w:r>
      <w:r w:rsidRPr="0001768C">
        <w:rPr>
          <w:rFonts w:ascii="Times New Roman" w:hAnsi="Times New Roman"/>
          <w:lang w:val="en-IE"/>
        </w:rPr>
        <w:t xml:space="preserve">while the 2024 </w:t>
      </w:r>
      <w:r w:rsidR="009F274B">
        <w:rPr>
          <w:rFonts w:ascii="Times New Roman" w:hAnsi="Times New Roman"/>
        </w:rPr>
        <w:t>country-specific recommendation</w:t>
      </w:r>
      <w:r w:rsidRPr="0001768C">
        <w:rPr>
          <w:rFonts w:ascii="Times New Roman" w:hAnsi="Times New Roman"/>
          <w:lang w:val="en-IE"/>
        </w:rPr>
        <w:t>s will focus on a limited selection of challenges.</w:t>
      </w:r>
      <w:r w:rsidRPr="0001768C">
        <w:rPr>
          <w:lang w:val="en-IE"/>
        </w:rPr>
        <w:t xml:space="preserve"> </w:t>
      </w:r>
      <w:r w:rsidRPr="0001768C">
        <w:rPr>
          <w:rFonts w:ascii="Times New Roman" w:hAnsi="Times New Roman"/>
          <w:lang w:val="en-IE"/>
        </w:rPr>
        <w:t>As mandated by the European Child Guarantee recommendation, Commission monitors progress in implementing child guarantee, including its outcomes and the impact</w:t>
      </w:r>
      <w:r>
        <w:rPr>
          <w:rFonts w:ascii="Times New Roman" w:hAnsi="Times New Roman"/>
          <w:lang w:val="en-IE"/>
        </w:rPr>
        <w:t xml:space="preserve"> on children in need, also as part of the Social Scoreboard in the context of the European Semester. </w:t>
      </w:r>
      <w:r w:rsidR="00807038">
        <w:rPr>
          <w:rFonts w:ascii="Times New Roman" w:hAnsi="Times New Roman"/>
          <w:lang w:val="en-IE"/>
        </w:rPr>
        <w:t>Paragraph</w:t>
      </w:r>
      <w:r w:rsidR="00362616">
        <w:rPr>
          <w:rFonts w:ascii="Times New Roman" w:hAnsi="Times New Roman"/>
          <w:lang w:val="en-IE"/>
        </w:rPr>
        <w:t xml:space="preserve"> </w:t>
      </w:r>
      <w:r>
        <w:rPr>
          <w:rFonts w:ascii="Times New Roman" w:hAnsi="Times New Roman"/>
          <w:lang w:val="en-IE"/>
        </w:rPr>
        <w:t>12(a) of the European Child Guarantee recommendation welcomes Commission’s intention to propose to Member States appropriate country-specific recommendations on combatting poverty and social exclusion among children.</w:t>
      </w:r>
    </w:p>
    <w:p w14:paraId="1DF2FD21" w14:textId="7A67697F" w:rsidR="00622C40" w:rsidRDefault="00FA696E" w:rsidP="00D01914">
      <w:pPr>
        <w:spacing w:after="120"/>
        <w:rPr>
          <w:rFonts w:ascii="Times New Roman" w:hAnsi="Times New Roman"/>
          <w:color w:val="808080" w:themeColor="background1" w:themeShade="80"/>
          <w:szCs w:val="24"/>
          <w:lang w:eastAsia="en-US"/>
        </w:rPr>
      </w:pPr>
      <w:r>
        <w:rPr>
          <w:rFonts w:ascii="Times New Roman" w:hAnsi="Times New Roman"/>
          <w:szCs w:val="24"/>
          <w:lang w:eastAsia="en-US"/>
        </w:rPr>
        <w:t xml:space="preserve">Regarding </w:t>
      </w:r>
      <w:r w:rsidRPr="00807038">
        <w:rPr>
          <w:rFonts w:ascii="Times New Roman" w:hAnsi="Times New Roman"/>
          <w:b/>
          <w:bCs/>
          <w:szCs w:val="24"/>
          <w:lang w:eastAsia="en-US"/>
        </w:rPr>
        <w:t>paragraph</w:t>
      </w:r>
      <w:r w:rsidR="008D580B" w:rsidRPr="00807038">
        <w:rPr>
          <w:rFonts w:ascii="Times New Roman" w:hAnsi="Times New Roman"/>
          <w:b/>
          <w:bCs/>
          <w:szCs w:val="24"/>
          <w:lang w:eastAsia="en-US"/>
        </w:rPr>
        <w:t xml:space="preserve"> </w:t>
      </w:r>
      <w:r w:rsidR="00CF2263" w:rsidRPr="00807038">
        <w:rPr>
          <w:rFonts w:ascii="Times New Roman" w:hAnsi="Times New Roman"/>
          <w:b/>
          <w:bCs/>
          <w:szCs w:val="24"/>
          <w:lang w:eastAsia="en-US"/>
        </w:rPr>
        <w:t>23</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Pr>
          <w:rFonts w:ascii="Times New Roman" w:hAnsi="Times New Roman"/>
          <w:szCs w:val="24"/>
          <w:lang w:eastAsia="en-US"/>
        </w:rPr>
        <w:t xml:space="preserve"> </w:t>
      </w:r>
      <w:r w:rsidR="00D65C3A" w:rsidRPr="00D65C3A">
        <w:rPr>
          <w:rFonts w:ascii="Times New Roman" w:hAnsi="Times New Roman"/>
          <w:b/>
          <w:bCs/>
          <w:szCs w:val="24"/>
          <w:lang w:eastAsia="en-US"/>
        </w:rPr>
        <w:t>combatting school segregation and advancing inclusive education</w:t>
      </w:r>
      <w:r w:rsidR="00D65C3A">
        <w:rPr>
          <w:rFonts w:ascii="Times New Roman" w:hAnsi="Times New Roman"/>
          <w:szCs w:val="24"/>
          <w:lang w:eastAsia="en-US"/>
        </w:rPr>
        <w:t>, the Commission recalls that t</w:t>
      </w:r>
      <w:r w:rsidR="00D65C3A" w:rsidRPr="00D65C3A">
        <w:rPr>
          <w:rFonts w:ascii="Times New Roman" w:hAnsi="Times New Roman"/>
          <w:szCs w:val="24"/>
          <w:lang w:eastAsia="en-US"/>
        </w:rPr>
        <w:t xml:space="preserve">he </w:t>
      </w:r>
      <w:proofErr w:type="gramStart"/>
      <w:r w:rsidR="00D65C3A" w:rsidRPr="00D65C3A">
        <w:rPr>
          <w:rFonts w:ascii="Times New Roman" w:hAnsi="Times New Roman"/>
          <w:szCs w:val="24"/>
          <w:lang w:eastAsia="en-US"/>
        </w:rPr>
        <w:t>first priority</w:t>
      </w:r>
      <w:proofErr w:type="gramEnd"/>
      <w:r w:rsidR="00D65C3A" w:rsidRPr="00D65C3A">
        <w:rPr>
          <w:rFonts w:ascii="Times New Roman" w:hAnsi="Times New Roman"/>
          <w:szCs w:val="24"/>
          <w:lang w:eastAsia="en-US"/>
        </w:rPr>
        <w:t xml:space="preserve"> of the European Education Area (EEA) strategic framework for cooperation in education and training is to improve quality, equity,</w:t>
      </w:r>
      <w:r w:rsidR="00CB2E40">
        <w:rPr>
          <w:rFonts w:ascii="Times New Roman" w:hAnsi="Times New Roman"/>
          <w:szCs w:val="24"/>
          <w:lang w:eastAsia="en-US"/>
        </w:rPr>
        <w:t xml:space="preserve"> </w:t>
      </w:r>
      <w:r w:rsidR="00D65C3A" w:rsidRPr="00D65C3A">
        <w:rPr>
          <w:rFonts w:ascii="Times New Roman" w:hAnsi="Times New Roman"/>
          <w:szCs w:val="24"/>
          <w:lang w:eastAsia="en-US"/>
        </w:rPr>
        <w:t xml:space="preserve">inclusion and success for all in education and training. </w:t>
      </w:r>
      <w:r w:rsidR="00D65C3A">
        <w:rPr>
          <w:rFonts w:ascii="Times New Roman" w:hAnsi="Times New Roman"/>
          <w:szCs w:val="24"/>
          <w:lang w:eastAsia="en-US"/>
        </w:rPr>
        <w:t xml:space="preserve">The </w:t>
      </w:r>
      <w:hyperlink r:id="rId18" w:history="1">
        <w:r w:rsidR="00D65C3A" w:rsidRPr="00807038">
          <w:rPr>
            <w:rStyle w:val="Hyperlink"/>
            <w:rFonts w:ascii="Times New Roman" w:hAnsi="Times New Roman"/>
            <w:szCs w:val="24"/>
            <w:lang w:eastAsia="en-US"/>
          </w:rPr>
          <w:t>2022 EEA progress report</w:t>
        </w:r>
      </w:hyperlink>
      <w:r w:rsidR="00D65C3A" w:rsidRPr="00D65C3A">
        <w:rPr>
          <w:rFonts w:ascii="Times New Roman" w:hAnsi="Times New Roman"/>
          <w:szCs w:val="24"/>
          <w:lang w:eastAsia="en-US"/>
        </w:rPr>
        <w:t xml:space="preserve"> identified </w:t>
      </w:r>
      <w:r w:rsidR="00D65C3A">
        <w:rPr>
          <w:rFonts w:ascii="Times New Roman" w:hAnsi="Times New Roman"/>
          <w:szCs w:val="24"/>
          <w:lang w:eastAsia="en-US"/>
        </w:rPr>
        <w:t>e</w:t>
      </w:r>
      <w:r w:rsidR="00D65C3A" w:rsidRPr="00D65C3A">
        <w:rPr>
          <w:rFonts w:ascii="Times New Roman" w:hAnsi="Times New Roman"/>
          <w:szCs w:val="24"/>
          <w:lang w:eastAsia="en-US"/>
        </w:rPr>
        <w:t>quity as one of the long-lasting common challenges of education and training policies across the Member States</w:t>
      </w:r>
      <w:r w:rsidR="00CB2E40">
        <w:rPr>
          <w:rFonts w:ascii="Times New Roman" w:hAnsi="Times New Roman"/>
          <w:szCs w:val="24"/>
          <w:lang w:eastAsia="en-US"/>
        </w:rPr>
        <w:t xml:space="preserve">, </w:t>
      </w:r>
      <w:r w:rsidR="00D65C3A" w:rsidRPr="00D65C3A">
        <w:rPr>
          <w:rFonts w:ascii="Times New Roman" w:hAnsi="Times New Roman"/>
          <w:szCs w:val="24"/>
          <w:lang w:eastAsia="en-US"/>
        </w:rPr>
        <w:t xml:space="preserve">linked to the limited ability of most European educational systems to dissociate socio-economic background from educational performance. The </w:t>
      </w:r>
      <w:hyperlink r:id="rId19" w:history="1">
        <w:r w:rsidR="00D65C3A" w:rsidRPr="00807038">
          <w:rPr>
            <w:rStyle w:val="Hyperlink"/>
            <w:rFonts w:ascii="Times New Roman" w:hAnsi="Times New Roman"/>
            <w:szCs w:val="24"/>
            <w:lang w:eastAsia="en-US"/>
          </w:rPr>
          <w:t>2022 Education and Training Monitor</w:t>
        </w:r>
      </w:hyperlink>
      <w:r w:rsidR="00D65C3A" w:rsidRPr="00D65C3A">
        <w:rPr>
          <w:rFonts w:ascii="Times New Roman" w:hAnsi="Times New Roman"/>
          <w:szCs w:val="24"/>
          <w:lang w:eastAsia="en-US"/>
        </w:rPr>
        <w:t xml:space="preserve"> introduced a new indicator on equity and inclusion and highlighted that inclusive education presupposes an assessment of the disadvantage, prejudice or discrimination experienced by specific population groups.</w:t>
      </w:r>
      <w:r w:rsidR="00CB2E40">
        <w:rPr>
          <w:rFonts w:ascii="Times New Roman" w:hAnsi="Times New Roman"/>
          <w:szCs w:val="24"/>
          <w:lang w:eastAsia="en-US"/>
        </w:rPr>
        <w:t xml:space="preserve"> T</w:t>
      </w:r>
      <w:r w:rsidR="00D65C3A" w:rsidRPr="00CB2E40">
        <w:rPr>
          <w:rFonts w:ascii="Times New Roman" w:hAnsi="Times New Roman"/>
          <w:szCs w:val="24"/>
          <w:lang w:eastAsia="en-US"/>
        </w:rPr>
        <w:t xml:space="preserve">he Council recommendation on Pathways to School Success </w:t>
      </w:r>
      <w:r w:rsidR="00807038" w:rsidRPr="00807038">
        <w:rPr>
          <w:rFonts w:ascii="Times New Roman" w:hAnsi="Times New Roman"/>
          <w:szCs w:val="24"/>
          <w:lang w:eastAsia="en-US"/>
        </w:rPr>
        <w:t xml:space="preserve">(2022/C 469/01) </w:t>
      </w:r>
      <w:r w:rsidR="00D65C3A" w:rsidRPr="00CB2E40">
        <w:rPr>
          <w:rFonts w:ascii="Times New Roman" w:hAnsi="Times New Roman"/>
          <w:szCs w:val="24"/>
          <w:lang w:eastAsia="en-US"/>
        </w:rPr>
        <w:t xml:space="preserve">specifically aims to support Member States in developing or enhancing comprehensive evidence-based strategies for school success, which “promote active anti-segregation policies, in particular by adopting admission rules that allow for a heterogeneous school composition and policies focused on the quality of learning, and raise awareness of the benefits of diversity in the classroom for enhancing educational outcomes for all learners”. </w:t>
      </w:r>
      <w:r w:rsidR="006108CF">
        <w:rPr>
          <w:rFonts w:ascii="Times New Roman" w:hAnsi="Times New Roman"/>
          <w:szCs w:val="24"/>
          <w:lang w:eastAsia="en-US"/>
        </w:rPr>
        <w:t>A</w:t>
      </w:r>
      <w:r w:rsidR="00CB2E40" w:rsidRPr="00CB2E40">
        <w:rPr>
          <w:rFonts w:ascii="Times New Roman" w:hAnsi="Times New Roman"/>
          <w:szCs w:val="24"/>
          <w:lang w:eastAsia="en-US"/>
        </w:rPr>
        <w:t xml:space="preserve">t systemic level, the recommendation calls for supporting the inclusion of learners with disabilities and/or special educational needs in mainstream schools, with effective support provided by trained educators and other educational staff/counsellors, or health professionals. This should be accompanied by the removal of physical obstacles in the school environment, the provision of </w:t>
      </w:r>
      <w:r w:rsidR="006108CF" w:rsidRPr="00CB2E40">
        <w:rPr>
          <w:rFonts w:ascii="Times New Roman" w:hAnsi="Times New Roman"/>
          <w:szCs w:val="24"/>
          <w:lang w:eastAsia="en-US"/>
        </w:rPr>
        <w:t xml:space="preserve">appropriate </w:t>
      </w:r>
      <w:r w:rsidR="00CB2E40" w:rsidRPr="00CB2E40">
        <w:rPr>
          <w:rFonts w:ascii="Times New Roman" w:hAnsi="Times New Roman"/>
          <w:szCs w:val="24"/>
          <w:lang w:eastAsia="en-US"/>
        </w:rPr>
        <w:t xml:space="preserve">learning materials, and the use of diversified and individualised teaching and learning approaches. </w:t>
      </w:r>
      <w:r w:rsidR="00D65C3A" w:rsidRPr="00CB2E40">
        <w:rPr>
          <w:rFonts w:ascii="Times New Roman" w:hAnsi="Times New Roman"/>
          <w:szCs w:val="24"/>
          <w:lang w:eastAsia="en-US"/>
        </w:rPr>
        <w:t>The EEA strategic cooperation Working Group on Equality and Values, the Working Group Schools and the European Agency for Special Needs and Inclusive Education concentrate their work on the need for more flexible systems of funding and support to learners, to better address a variety of needs, including for learners with disabilities.</w:t>
      </w:r>
      <w:r w:rsidR="00CB2E40" w:rsidRPr="00CB2E40">
        <w:rPr>
          <w:rFonts w:ascii="Times New Roman" w:hAnsi="Times New Roman"/>
          <w:szCs w:val="24"/>
          <w:lang w:eastAsia="en-US"/>
        </w:rPr>
        <w:t xml:space="preserve"> The recent </w:t>
      </w:r>
      <w:hyperlink r:id="rId20" w:history="1">
        <w:r w:rsidR="00CB2E40" w:rsidRPr="00807038">
          <w:rPr>
            <w:rStyle w:val="Hyperlink"/>
            <w:rFonts w:ascii="Times New Roman" w:hAnsi="Times New Roman"/>
            <w:szCs w:val="24"/>
            <w:lang w:eastAsia="en-US"/>
          </w:rPr>
          <w:t xml:space="preserve">EEA midterm </w:t>
        </w:r>
        <w:r w:rsidR="00807038">
          <w:rPr>
            <w:rStyle w:val="Hyperlink"/>
            <w:rFonts w:ascii="Times New Roman" w:hAnsi="Times New Roman"/>
            <w:szCs w:val="24"/>
            <w:lang w:eastAsia="en-US"/>
          </w:rPr>
          <w:t xml:space="preserve">review </w:t>
        </w:r>
        <w:r w:rsidR="00CB2E40" w:rsidRPr="00807038">
          <w:rPr>
            <w:rStyle w:val="Hyperlink"/>
            <w:rFonts w:ascii="Times New Roman" w:hAnsi="Times New Roman"/>
            <w:szCs w:val="24"/>
            <w:lang w:eastAsia="en-US"/>
          </w:rPr>
          <w:t>process report</w:t>
        </w:r>
      </w:hyperlink>
      <w:r w:rsidR="00CB2E40" w:rsidRPr="00CB2E40">
        <w:rPr>
          <w:rFonts w:ascii="Times New Roman" w:hAnsi="Times New Roman"/>
          <w:szCs w:val="24"/>
          <w:lang w:eastAsia="en-US"/>
        </w:rPr>
        <w:t xml:space="preserve"> </w:t>
      </w:r>
      <w:r w:rsidR="00807038">
        <w:rPr>
          <w:rFonts w:ascii="Times New Roman" w:hAnsi="Times New Roman"/>
          <w:szCs w:val="24"/>
          <w:lang w:eastAsia="en-US"/>
        </w:rPr>
        <w:t xml:space="preserve">published in November 2023 </w:t>
      </w:r>
      <w:r w:rsidR="00CB2E40" w:rsidRPr="00CB2E40">
        <w:rPr>
          <w:rFonts w:ascii="Times New Roman" w:hAnsi="Times New Roman"/>
          <w:szCs w:val="24"/>
          <w:lang w:eastAsia="en-US"/>
        </w:rPr>
        <w:t xml:space="preserve">summarises the key policy messages from EU </w:t>
      </w:r>
      <w:r w:rsidR="00807038">
        <w:rPr>
          <w:rFonts w:ascii="Times New Roman" w:hAnsi="Times New Roman"/>
          <w:szCs w:val="24"/>
          <w:lang w:eastAsia="en-US"/>
        </w:rPr>
        <w:t>M</w:t>
      </w:r>
      <w:r w:rsidR="00CB2E40" w:rsidRPr="00CB2E40">
        <w:rPr>
          <w:rFonts w:ascii="Times New Roman" w:hAnsi="Times New Roman"/>
          <w:szCs w:val="24"/>
          <w:lang w:eastAsia="en-US"/>
        </w:rPr>
        <w:t xml:space="preserve">ember States, the EU </w:t>
      </w:r>
      <w:r w:rsidR="00807038">
        <w:rPr>
          <w:rFonts w:ascii="Times New Roman" w:hAnsi="Times New Roman"/>
          <w:szCs w:val="24"/>
          <w:lang w:eastAsia="en-US"/>
        </w:rPr>
        <w:t>i</w:t>
      </w:r>
      <w:r w:rsidR="00CB2E40" w:rsidRPr="00CB2E40">
        <w:rPr>
          <w:rFonts w:ascii="Times New Roman" w:hAnsi="Times New Roman"/>
          <w:szCs w:val="24"/>
          <w:lang w:eastAsia="en-US"/>
        </w:rPr>
        <w:t xml:space="preserve">nstitutions and the wider education and training community on the actions and steps that need to be taken in the coming years. Boosting equity and inclusion is a major challenge and a high priority for action. </w:t>
      </w:r>
    </w:p>
    <w:p w14:paraId="1AD92439" w14:textId="5B020579" w:rsidR="001D31EA" w:rsidRDefault="00FA696E" w:rsidP="00D01914">
      <w:pPr>
        <w:spacing w:after="120"/>
        <w:rPr>
          <w:rFonts w:ascii="Times New Roman" w:hAnsi="Times New Roman"/>
        </w:rPr>
      </w:pPr>
      <w:r>
        <w:rPr>
          <w:rFonts w:ascii="Times New Roman" w:hAnsi="Times New Roman"/>
          <w:szCs w:val="24"/>
          <w:lang w:eastAsia="en-US"/>
        </w:rPr>
        <w:t xml:space="preserve">Regarding </w:t>
      </w:r>
      <w:r w:rsidRPr="00F25A51">
        <w:rPr>
          <w:rFonts w:ascii="Times New Roman" w:hAnsi="Times New Roman"/>
          <w:b/>
          <w:bCs/>
          <w:szCs w:val="24"/>
          <w:lang w:eastAsia="en-US"/>
        </w:rPr>
        <w:t>paragraph</w:t>
      </w:r>
      <w:r w:rsidR="00CF2263" w:rsidRPr="00F25A51">
        <w:rPr>
          <w:rFonts w:ascii="Times New Roman" w:hAnsi="Times New Roman"/>
          <w:b/>
          <w:bCs/>
          <w:szCs w:val="24"/>
          <w:lang w:eastAsia="en-US"/>
        </w:rPr>
        <w:t xml:space="preserve"> 25</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w:t>
      </w:r>
      <w:r w:rsidR="008D580B" w:rsidRPr="00CF2263">
        <w:rPr>
          <w:rFonts w:ascii="Times New Roman" w:hAnsi="Times New Roman"/>
          <w:szCs w:val="24"/>
          <w:lang w:eastAsia="en-US"/>
        </w:rPr>
        <w:t>for</w:t>
      </w:r>
      <w:r w:rsidR="0020209F" w:rsidRPr="00CF2263">
        <w:rPr>
          <w:rFonts w:ascii="Times New Roman" w:hAnsi="Times New Roman"/>
          <w:szCs w:val="24"/>
          <w:lang w:eastAsia="en-US"/>
        </w:rPr>
        <w:t xml:space="preserve"> </w:t>
      </w:r>
      <w:r w:rsidR="0020209F" w:rsidRPr="00CF2263">
        <w:rPr>
          <w:rFonts w:ascii="Times New Roman" w:hAnsi="Times New Roman"/>
          <w:b/>
          <w:bCs/>
          <w:szCs w:val="24"/>
          <w:lang w:eastAsia="en-US"/>
        </w:rPr>
        <w:t>production and stockpiling of important paediatric primary care medicines</w:t>
      </w:r>
      <w:r w:rsidR="00CF2263" w:rsidRPr="00CF2263">
        <w:rPr>
          <w:rFonts w:ascii="Times New Roman" w:hAnsi="Times New Roman"/>
          <w:szCs w:val="24"/>
          <w:lang w:eastAsia="en-US"/>
        </w:rPr>
        <w:t>,</w:t>
      </w:r>
      <w:r w:rsidR="00CF2263">
        <w:rPr>
          <w:rFonts w:ascii="Times New Roman" w:hAnsi="Times New Roman"/>
          <w:szCs w:val="24"/>
          <w:lang w:eastAsia="en-US"/>
        </w:rPr>
        <w:t xml:space="preserve"> </w:t>
      </w:r>
      <w:r w:rsidR="001D31EA" w:rsidRPr="00622C40">
        <w:rPr>
          <w:rFonts w:ascii="Times New Roman" w:hAnsi="Times New Roman"/>
        </w:rPr>
        <w:t>the</w:t>
      </w:r>
      <w:r w:rsidR="001D31EA" w:rsidRPr="00622C40">
        <w:rPr>
          <w:rFonts w:ascii="Times New Roman" w:hAnsi="Times New Roman"/>
          <w:lang w:val="en-IE"/>
        </w:rPr>
        <w:t xml:space="preserve"> Commission will continue its efforts on addressing critical shortages of medicines, as described in the </w:t>
      </w:r>
      <w:hyperlink r:id="rId21" w:history="1">
        <w:r w:rsidR="001D31EA" w:rsidRPr="00622C40">
          <w:rPr>
            <w:rStyle w:val="Hyperlink"/>
            <w:rFonts w:ascii="Times New Roman" w:hAnsi="Times New Roman"/>
            <w:lang w:val="en-IE"/>
          </w:rPr>
          <w:t>Communication on Addressing Medicine Shortages</w:t>
        </w:r>
      </w:hyperlink>
      <w:r w:rsidR="001D31EA" w:rsidRPr="00622C40">
        <w:rPr>
          <w:rFonts w:ascii="Times New Roman" w:hAnsi="Times New Roman"/>
          <w:lang w:val="en-IE"/>
        </w:rPr>
        <w:t xml:space="preserve">. </w:t>
      </w:r>
      <w:r w:rsidR="00B22797">
        <w:rPr>
          <w:rFonts w:ascii="Times New Roman" w:hAnsi="Times New Roman"/>
          <w:lang w:val="en-IE"/>
        </w:rPr>
        <w:t>T</w:t>
      </w:r>
      <w:r w:rsidR="001D31EA" w:rsidRPr="00622C40">
        <w:rPr>
          <w:rFonts w:ascii="Times New Roman" w:hAnsi="Times New Roman"/>
          <w:lang w:val="en-IE"/>
        </w:rPr>
        <w:t xml:space="preserve">his work includes specific paediatric formulations in case they are identified by </w:t>
      </w:r>
      <w:r w:rsidR="00F25A51">
        <w:rPr>
          <w:rFonts w:ascii="Times New Roman" w:hAnsi="Times New Roman"/>
          <w:lang w:val="en-IE"/>
        </w:rPr>
        <w:t>the European Medicines Agency (</w:t>
      </w:r>
      <w:r w:rsidR="001D31EA" w:rsidRPr="00622C40">
        <w:rPr>
          <w:rFonts w:ascii="Times New Roman" w:hAnsi="Times New Roman"/>
          <w:lang w:val="en-IE"/>
        </w:rPr>
        <w:t>EMA</w:t>
      </w:r>
      <w:r w:rsidR="00F25A51">
        <w:rPr>
          <w:rFonts w:ascii="Times New Roman" w:hAnsi="Times New Roman"/>
          <w:lang w:val="en-IE"/>
        </w:rPr>
        <w:t>)</w:t>
      </w:r>
      <w:r w:rsidR="001D31EA" w:rsidRPr="00622C40">
        <w:rPr>
          <w:rFonts w:ascii="Times New Roman" w:hAnsi="Times New Roman"/>
          <w:lang w:val="en-IE"/>
        </w:rPr>
        <w:t xml:space="preserve"> as </w:t>
      </w:r>
      <w:r w:rsidR="00F25A51">
        <w:rPr>
          <w:rFonts w:ascii="Times New Roman" w:hAnsi="Times New Roman"/>
          <w:lang w:val="en-IE"/>
        </w:rPr>
        <w:t>being at</w:t>
      </w:r>
      <w:r w:rsidR="00F25A51" w:rsidRPr="00622C40">
        <w:rPr>
          <w:rFonts w:ascii="Times New Roman" w:hAnsi="Times New Roman"/>
          <w:lang w:val="en-IE"/>
        </w:rPr>
        <w:t xml:space="preserve"> </w:t>
      </w:r>
      <w:r w:rsidR="001D31EA" w:rsidRPr="00622C40">
        <w:rPr>
          <w:rFonts w:ascii="Times New Roman" w:hAnsi="Times New Roman"/>
          <w:lang w:val="en-IE"/>
        </w:rPr>
        <w:t xml:space="preserve">risk of critical shortages. To help Member States </w:t>
      </w:r>
      <w:r w:rsidR="00B22797">
        <w:rPr>
          <w:rFonts w:ascii="Times New Roman" w:hAnsi="Times New Roman"/>
          <w:lang w:val="en-IE"/>
        </w:rPr>
        <w:t>with</w:t>
      </w:r>
      <w:r w:rsidR="001D31EA" w:rsidRPr="00622C40">
        <w:rPr>
          <w:rFonts w:ascii="Times New Roman" w:hAnsi="Times New Roman"/>
          <w:lang w:val="en-IE"/>
        </w:rPr>
        <w:t xml:space="preserve"> ensuring production of such products in the long run, the Commission intends to set up a “Critical Medicines Alliance” by early 2024. This would allow national authorities, industry, civil society representatives, the Commission and EU agencies to come together to develop coordinated action at the EU level against the shortages of medicines, in compliance with the competition rules and EU’s international commitments. </w:t>
      </w:r>
      <w:r w:rsidR="00B22797">
        <w:rPr>
          <w:rFonts w:ascii="Times New Roman" w:hAnsi="Times New Roman"/>
          <w:lang w:val="en-IE"/>
        </w:rPr>
        <w:t xml:space="preserve">To support </w:t>
      </w:r>
      <w:r w:rsidR="00915CED">
        <w:rPr>
          <w:rFonts w:ascii="Times New Roman" w:hAnsi="Times New Roman"/>
        </w:rPr>
        <w:t xml:space="preserve">Member States </w:t>
      </w:r>
      <w:r w:rsidR="00B22797">
        <w:rPr>
          <w:rFonts w:ascii="Times New Roman" w:hAnsi="Times New Roman"/>
        </w:rPr>
        <w:t>with</w:t>
      </w:r>
      <w:r w:rsidR="001D31EA" w:rsidRPr="00622C40">
        <w:rPr>
          <w:rFonts w:ascii="Times New Roman" w:hAnsi="Times New Roman"/>
          <w:lang w:val="en-IE"/>
        </w:rPr>
        <w:t xml:space="preserve"> stockpiling and facilitating the implementation of the Communication on addressing medicine shortages </w:t>
      </w:r>
      <w:r w:rsidR="001D31EA" w:rsidRPr="00622C40">
        <w:rPr>
          <w:rFonts w:ascii="Times New Roman" w:hAnsi="Times New Roman"/>
          <w:lang w:val="en-IE"/>
        </w:rPr>
        <w:lastRenderedPageBreak/>
        <w:t xml:space="preserve">in the EU, the Commission will develop with Member States a common strategic approach on stockpiling. In addition, </w:t>
      </w:r>
      <w:r w:rsidR="00622C40" w:rsidRPr="00622C40">
        <w:rPr>
          <w:rFonts w:ascii="Times New Roman" w:hAnsi="Times New Roman"/>
        </w:rPr>
        <w:t xml:space="preserve">the Commission </w:t>
      </w:r>
      <w:r w:rsidR="001D31EA" w:rsidRPr="00622C40">
        <w:rPr>
          <w:rFonts w:ascii="Times New Roman" w:hAnsi="Times New Roman"/>
          <w:lang w:val="en-IE"/>
        </w:rPr>
        <w:t xml:space="preserve">intends to launch a joint action in 2024 under the </w:t>
      </w:r>
      <w:hyperlink r:id="rId22" w:history="1">
        <w:r w:rsidR="001D31EA" w:rsidRPr="00F25A51">
          <w:rPr>
            <w:rStyle w:val="Hyperlink"/>
            <w:rFonts w:ascii="Times New Roman" w:hAnsi="Times New Roman"/>
            <w:lang w:val="en-IE"/>
          </w:rPr>
          <w:t>EU4Health programme</w:t>
        </w:r>
      </w:hyperlink>
      <w:r w:rsidR="001D31EA" w:rsidRPr="00622C40">
        <w:rPr>
          <w:rFonts w:ascii="Times New Roman" w:hAnsi="Times New Roman"/>
          <w:lang w:val="en-IE"/>
        </w:rPr>
        <w:t xml:space="preserve"> (through direct grants to Member States) with the aim of enabling Member States to continue developing sustainable, forward-looking national and EU stockpiling strategies</w:t>
      </w:r>
      <w:r w:rsidR="00622C40" w:rsidRPr="00622C40">
        <w:rPr>
          <w:rFonts w:ascii="Times New Roman" w:hAnsi="Times New Roman"/>
        </w:rPr>
        <w:t>.</w:t>
      </w:r>
    </w:p>
    <w:p w14:paraId="488EAC12" w14:textId="2A141869" w:rsidR="000A1F30" w:rsidRPr="004D39AB" w:rsidRDefault="000A1F30" w:rsidP="00D01914">
      <w:pPr>
        <w:spacing w:after="120"/>
        <w:rPr>
          <w:rFonts w:ascii="Times New Roman" w:hAnsi="Times New Roman"/>
          <w:szCs w:val="24"/>
          <w:lang w:eastAsia="en-US"/>
        </w:rPr>
      </w:pPr>
      <w:r>
        <w:rPr>
          <w:rFonts w:ascii="Times New Roman" w:hAnsi="Times New Roman"/>
          <w:szCs w:val="24"/>
          <w:lang w:eastAsia="en-US"/>
        </w:rPr>
        <w:t xml:space="preserve">Regarding </w:t>
      </w:r>
      <w:r>
        <w:rPr>
          <w:rFonts w:ascii="Times New Roman" w:hAnsi="Times New Roman"/>
          <w:b/>
          <w:bCs/>
          <w:szCs w:val="24"/>
          <w:lang w:eastAsia="en-US"/>
        </w:rPr>
        <w:t>paragraph 29</w:t>
      </w:r>
      <w:r>
        <w:rPr>
          <w:rFonts w:ascii="Times New Roman" w:hAnsi="Times New Roman"/>
          <w:szCs w:val="24"/>
          <w:lang w:eastAsia="en-US"/>
        </w:rPr>
        <w:t xml:space="preserve">, which questions </w:t>
      </w:r>
      <w:r w:rsidRPr="004D39AB">
        <w:rPr>
          <w:rFonts w:ascii="Times New Roman" w:hAnsi="Times New Roman"/>
          <w:b/>
          <w:bCs/>
          <w:szCs w:val="24"/>
          <w:lang w:eastAsia="en-US"/>
        </w:rPr>
        <w:t xml:space="preserve">the extent to which </w:t>
      </w:r>
      <w:r w:rsidR="005844C2">
        <w:rPr>
          <w:rFonts w:ascii="Times New Roman" w:hAnsi="Times New Roman"/>
          <w:b/>
          <w:bCs/>
          <w:szCs w:val="24"/>
          <w:lang w:val="en-IE" w:eastAsia="en-US"/>
        </w:rPr>
        <w:t xml:space="preserve">the </w:t>
      </w:r>
      <w:r w:rsidRPr="004D39AB">
        <w:rPr>
          <w:rFonts w:ascii="Times New Roman" w:hAnsi="Times New Roman"/>
          <w:b/>
          <w:bCs/>
          <w:szCs w:val="24"/>
          <w:lang w:eastAsia="en-US"/>
        </w:rPr>
        <w:t xml:space="preserve">Commission’s mental health strategy and national action plans </w:t>
      </w:r>
      <w:proofErr w:type="gramStart"/>
      <w:r w:rsidRPr="004D39AB">
        <w:rPr>
          <w:rFonts w:ascii="Times New Roman" w:hAnsi="Times New Roman"/>
          <w:b/>
          <w:bCs/>
          <w:szCs w:val="24"/>
          <w:lang w:eastAsia="en-US"/>
        </w:rPr>
        <w:t>take into account</w:t>
      </w:r>
      <w:proofErr w:type="gramEnd"/>
      <w:r w:rsidRPr="004D39AB">
        <w:rPr>
          <w:rFonts w:ascii="Times New Roman" w:hAnsi="Times New Roman"/>
          <w:b/>
          <w:bCs/>
          <w:szCs w:val="24"/>
          <w:lang w:eastAsia="en-US"/>
        </w:rPr>
        <w:t xml:space="preserve"> psychological struggles emerging from poverty and social exclusion</w:t>
      </w:r>
      <w:r>
        <w:rPr>
          <w:rFonts w:ascii="Times New Roman" w:hAnsi="Times New Roman"/>
          <w:szCs w:val="24"/>
          <w:lang w:eastAsia="en-US"/>
        </w:rPr>
        <w:t xml:space="preserve">, the </w:t>
      </w:r>
      <w:r w:rsidRPr="000A1F30">
        <w:rPr>
          <w:rFonts w:ascii="Times New Roman" w:hAnsi="Times New Roman"/>
          <w:szCs w:val="24"/>
          <w:lang w:eastAsia="en-US"/>
        </w:rPr>
        <w:t>Commission adopted the Communication on a comprehensive approach to mental health on 7</w:t>
      </w:r>
      <w:r w:rsidR="00362616">
        <w:rPr>
          <w:rFonts w:ascii="Times New Roman" w:hAnsi="Times New Roman"/>
          <w:szCs w:val="24"/>
          <w:lang w:eastAsia="en-US"/>
        </w:rPr>
        <w:t xml:space="preserve"> </w:t>
      </w:r>
      <w:r w:rsidRPr="000A1F30">
        <w:rPr>
          <w:rFonts w:ascii="Times New Roman" w:hAnsi="Times New Roman"/>
          <w:szCs w:val="24"/>
          <w:lang w:eastAsia="en-US"/>
        </w:rPr>
        <w:t>June</w:t>
      </w:r>
      <w:r w:rsidR="00362616">
        <w:rPr>
          <w:rFonts w:ascii="Times New Roman" w:hAnsi="Times New Roman"/>
          <w:szCs w:val="24"/>
          <w:lang w:eastAsia="en-US"/>
        </w:rPr>
        <w:t xml:space="preserve"> </w:t>
      </w:r>
      <w:r w:rsidRPr="000A1F30">
        <w:rPr>
          <w:rFonts w:ascii="Times New Roman" w:hAnsi="Times New Roman"/>
          <w:szCs w:val="24"/>
          <w:lang w:eastAsia="en-US"/>
        </w:rPr>
        <w:t>2023, after extensive consultation with Member States, stakeholders and citizens. It identifies 20 flagship initiatives and EUR 1.23 billion of opportunities for financial support from several EU funding instruments. As with all EU health policymaking, the Communication focuses on reaching out and involving vulnerable groups, such as children and young people and those who are socially excluded. In the preparation of the Communication, specific contributions on the mental health of children and young people were collected</w:t>
      </w:r>
      <w:r>
        <w:rPr>
          <w:rFonts w:ascii="Times New Roman" w:hAnsi="Times New Roman"/>
          <w:szCs w:val="24"/>
          <w:lang w:eastAsia="en-US"/>
        </w:rPr>
        <w:t xml:space="preserve">. </w:t>
      </w:r>
      <w:r w:rsidRPr="000A1F30">
        <w:rPr>
          <w:rFonts w:ascii="Times New Roman" w:hAnsi="Times New Roman"/>
          <w:szCs w:val="24"/>
          <w:lang w:eastAsia="en-US"/>
        </w:rPr>
        <w:t xml:space="preserve">In the Communication, four flagship initiatives have been identified in chapter on ‘Boosting mental health of children and young people’: </w:t>
      </w:r>
      <w:r>
        <w:rPr>
          <w:rFonts w:ascii="Times New Roman" w:hAnsi="Times New Roman"/>
          <w:szCs w:val="24"/>
          <w:lang w:eastAsia="en-US"/>
        </w:rPr>
        <w:t xml:space="preserve">(i) </w:t>
      </w:r>
      <w:r w:rsidRPr="000A1F30">
        <w:rPr>
          <w:rFonts w:ascii="Times New Roman" w:hAnsi="Times New Roman"/>
          <w:szCs w:val="24"/>
          <w:lang w:eastAsia="en-US"/>
        </w:rPr>
        <w:t>setting up a child and youth mental health network;</w:t>
      </w:r>
      <w:r>
        <w:rPr>
          <w:rFonts w:ascii="Times New Roman" w:hAnsi="Times New Roman"/>
          <w:szCs w:val="24"/>
          <w:lang w:eastAsia="en-US"/>
        </w:rPr>
        <w:t xml:space="preserve"> (ii) </w:t>
      </w:r>
      <w:r w:rsidRPr="000A1F30">
        <w:rPr>
          <w:rFonts w:ascii="Times New Roman" w:hAnsi="Times New Roman"/>
          <w:szCs w:val="24"/>
          <w:lang w:eastAsia="en-US"/>
        </w:rPr>
        <w:t xml:space="preserve">developing a prevention toolkit, addressing key health determinants; </w:t>
      </w:r>
      <w:r>
        <w:rPr>
          <w:rFonts w:ascii="Times New Roman" w:hAnsi="Times New Roman"/>
          <w:szCs w:val="24"/>
          <w:lang w:eastAsia="en-US"/>
        </w:rPr>
        <w:t xml:space="preserve">(iii) </w:t>
      </w:r>
      <w:r w:rsidRPr="000A1F30">
        <w:rPr>
          <w:rFonts w:ascii="Times New Roman" w:hAnsi="Times New Roman"/>
          <w:szCs w:val="24"/>
          <w:lang w:eastAsia="en-US"/>
        </w:rPr>
        <w:t xml:space="preserve">developing tools, </w:t>
      </w:r>
      <w:proofErr w:type="gramStart"/>
      <w:r w:rsidRPr="000A1F30">
        <w:rPr>
          <w:rFonts w:ascii="Times New Roman" w:hAnsi="Times New Roman"/>
          <w:szCs w:val="24"/>
          <w:lang w:eastAsia="en-US"/>
        </w:rPr>
        <w:t>e.g.</w:t>
      </w:r>
      <w:proofErr w:type="gramEnd"/>
      <w:r w:rsidRPr="000A1F30">
        <w:rPr>
          <w:rFonts w:ascii="Times New Roman" w:hAnsi="Times New Roman"/>
          <w:szCs w:val="24"/>
          <w:lang w:eastAsia="en-US"/>
        </w:rPr>
        <w:t xml:space="preserve"> on healthy lifestyle and mental health resilience; and </w:t>
      </w:r>
      <w:r>
        <w:rPr>
          <w:rFonts w:ascii="Times New Roman" w:hAnsi="Times New Roman"/>
          <w:szCs w:val="24"/>
          <w:lang w:eastAsia="en-US"/>
        </w:rPr>
        <w:t xml:space="preserve">(iv) </w:t>
      </w:r>
      <w:r w:rsidRPr="000A1F30">
        <w:rPr>
          <w:rFonts w:ascii="Times New Roman" w:hAnsi="Times New Roman"/>
          <w:szCs w:val="24"/>
          <w:lang w:eastAsia="en-US"/>
        </w:rPr>
        <w:t>better protection for children in the digital sphere, online and on social media.</w:t>
      </w:r>
      <w:r w:rsidR="004B4095">
        <w:rPr>
          <w:rFonts w:ascii="Times New Roman" w:hAnsi="Times New Roman"/>
          <w:szCs w:val="24"/>
          <w:lang w:eastAsia="en-US"/>
        </w:rPr>
        <w:t xml:space="preserve"> </w:t>
      </w:r>
      <w:r w:rsidR="004B4095" w:rsidRPr="004B4095">
        <w:rPr>
          <w:rFonts w:ascii="Times New Roman" w:hAnsi="Times New Roman"/>
          <w:szCs w:val="24"/>
          <w:lang w:eastAsia="en-US"/>
        </w:rPr>
        <w:t>Over the next years, the Commission will closely wor</w:t>
      </w:r>
      <w:r w:rsidR="004B4095">
        <w:rPr>
          <w:rFonts w:ascii="Times New Roman" w:hAnsi="Times New Roman"/>
          <w:szCs w:val="24"/>
          <w:lang w:eastAsia="en-US"/>
        </w:rPr>
        <w:t>k</w:t>
      </w:r>
      <w:r w:rsidR="004B4095" w:rsidRPr="004B4095">
        <w:rPr>
          <w:rFonts w:ascii="Times New Roman" w:hAnsi="Times New Roman"/>
          <w:szCs w:val="24"/>
          <w:lang w:eastAsia="en-US"/>
        </w:rPr>
        <w:t xml:space="preserve"> with the Member States to implement these actions to better protect children and young people. A Member-State led drafting group to develop ‘EU guidance on stigma and discrimination’ has met for the first time on 29 November 2023.</w:t>
      </w:r>
    </w:p>
    <w:p w14:paraId="7B2983A7" w14:textId="3C70E8AD" w:rsidR="00CF5D3B" w:rsidRPr="004D39AB"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F25A51">
        <w:rPr>
          <w:rFonts w:ascii="Times New Roman" w:hAnsi="Times New Roman"/>
          <w:b/>
          <w:bCs/>
          <w:szCs w:val="24"/>
          <w:lang w:eastAsia="en-US"/>
        </w:rPr>
        <w:t>paragraph</w:t>
      </w:r>
      <w:r w:rsidR="00CF2263" w:rsidRPr="00F25A51">
        <w:rPr>
          <w:rFonts w:ascii="Times New Roman" w:hAnsi="Times New Roman"/>
          <w:b/>
          <w:bCs/>
          <w:szCs w:val="24"/>
          <w:lang w:eastAsia="en-US"/>
        </w:rPr>
        <w:t xml:space="preserve"> 30</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Pr>
          <w:rFonts w:ascii="Times New Roman" w:hAnsi="Times New Roman"/>
          <w:szCs w:val="24"/>
          <w:lang w:eastAsia="en-US"/>
        </w:rPr>
        <w:t xml:space="preserve"> </w:t>
      </w:r>
      <w:r w:rsidR="00CF5D3B" w:rsidRPr="00CF5D3B">
        <w:rPr>
          <w:rFonts w:ascii="Times New Roman" w:hAnsi="Times New Roman"/>
          <w:b/>
          <w:bCs/>
          <w:szCs w:val="24"/>
          <w:lang w:eastAsia="en-US"/>
        </w:rPr>
        <w:t>protection of children’s mental health from overexposure to and overconsumption of online content</w:t>
      </w:r>
      <w:r w:rsidR="00CF5D3B">
        <w:rPr>
          <w:rFonts w:ascii="Times New Roman" w:hAnsi="Times New Roman"/>
          <w:szCs w:val="24"/>
          <w:lang w:eastAsia="en-US"/>
        </w:rPr>
        <w:t xml:space="preserve">, the </w:t>
      </w:r>
      <w:r w:rsidR="00CF5D3B" w:rsidRPr="00CF5D3B">
        <w:rPr>
          <w:rFonts w:ascii="Times New Roman" w:hAnsi="Times New Roman"/>
          <w:szCs w:val="24"/>
          <w:lang w:eastAsia="en-US"/>
        </w:rPr>
        <w:t>Commission</w:t>
      </w:r>
      <w:r w:rsidR="00CF5D3B">
        <w:rPr>
          <w:rFonts w:ascii="Times New Roman" w:hAnsi="Times New Roman"/>
          <w:szCs w:val="24"/>
          <w:lang w:eastAsia="en-US"/>
        </w:rPr>
        <w:t xml:space="preserve"> has</w:t>
      </w:r>
      <w:r w:rsidR="00CF5D3B" w:rsidRPr="00CF5D3B">
        <w:rPr>
          <w:rFonts w:ascii="Times New Roman" w:hAnsi="Times New Roman"/>
          <w:szCs w:val="24"/>
          <w:lang w:eastAsia="en-US"/>
        </w:rPr>
        <w:t xml:space="preserve"> launched several major initiatives to foster technologies for the benefit of mental health, on one hand, and to preventing risks of harmful effects in the digital world, on the other hand. This is well reflected in the Communication on comprehensive approach to mental health </w:t>
      </w:r>
      <w:r w:rsidR="00F25A51">
        <w:rPr>
          <w:rFonts w:ascii="Times New Roman" w:hAnsi="Times New Roman"/>
          <w:szCs w:val="24"/>
          <w:lang w:eastAsia="en-US"/>
        </w:rPr>
        <w:t>(</w:t>
      </w:r>
      <w:r w:rsidR="00F25A51" w:rsidRPr="00F25A51">
        <w:rPr>
          <w:rFonts w:ascii="Times New Roman" w:hAnsi="Times New Roman"/>
          <w:szCs w:val="24"/>
          <w:lang w:eastAsia="en-US"/>
        </w:rPr>
        <w:t>COM/2023/298 final</w:t>
      </w:r>
      <w:r w:rsidR="00F25A51">
        <w:rPr>
          <w:rFonts w:ascii="Times New Roman" w:hAnsi="Times New Roman"/>
          <w:szCs w:val="24"/>
          <w:lang w:eastAsia="en-US"/>
        </w:rPr>
        <w:t xml:space="preserve">) </w:t>
      </w:r>
      <w:r w:rsidR="00CF5D3B" w:rsidRPr="00CF5D3B">
        <w:rPr>
          <w:rFonts w:ascii="Times New Roman" w:hAnsi="Times New Roman"/>
          <w:szCs w:val="24"/>
          <w:lang w:eastAsia="en-US"/>
        </w:rPr>
        <w:t>adopted last June.</w:t>
      </w:r>
      <w:r w:rsidR="00CF5D3B">
        <w:rPr>
          <w:rFonts w:ascii="Times New Roman" w:hAnsi="Times New Roman"/>
          <w:szCs w:val="24"/>
          <w:lang w:eastAsia="en-US"/>
        </w:rPr>
        <w:t xml:space="preserve"> </w:t>
      </w:r>
      <w:r w:rsidR="00CF5D3B" w:rsidRPr="00CF5D3B">
        <w:rPr>
          <w:rFonts w:ascii="Times New Roman" w:hAnsi="Times New Roman"/>
          <w:szCs w:val="24"/>
          <w:lang w:eastAsia="en-US"/>
        </w:rPr>
        <w:t xml:space="preserve">In </w:t>
      </w:r>
      <w:r w:rsidR="00B34B89">
        <w:rPr>
          <w:rFonts w:ascii="Times New Roman" w:hAnsi="Times New Roman"/>
          <w:szCs w:val="24"/>
          <w:lang w:eastAsia="en-US"/>
        </w:rPr>
        <w:t>addition</w:t>
      </w:r>
      <w:r w:rsidR="00CF5D3B" w:rsidRPr="00CF5D3B">
        <w:rPr>
          <w:rFonts w:ascii="Times New Roman" w:hAnsi="Times New Roman"/>
          <w:szCs w:val="24"/>
          <w:lang w:eastAsia="en-US"/>
        </w:rPr>
        <w:t xml:space="preserve">, the Digital Services Act </w:t>
      </w:r>
      <w:r w:rsidR="00B34B89">
        <w:rPr>
          <w:rFonts w:ascii="Times New Roman" w:hAnsi="Times New Roman"/>
          <w:szCs w:val="24"/>
          <w:lang w:eastAsia="en-US"/>
        </w:rPr>
        <w:t>(</w:t>
      </w:r>
      <w:r w:rsidR="00B34B89" w:rsidRPr="00B34B89">
        <w:rPr>
          <w:rFonts w:ascii="Times New Roman" w:hAnsi="Times New Roman"/>
          <w:szCs w:val="24"/>
          <w:lang w:eastAsia="en-US"/>
        </w:rPr>
        <w:t>Regulation (EU) 2022/2065</w:t>
      </w:r>
      <w:r w:rsidR="00B34B89">
        <w:rPr>
          <w:rFonts w:ascii="Times New Roman" w:hAnsi="Times New Roman"/>
          <w:szCs w:val="24"/>
          <w:lang w:eastAsia="en-US"/>
        </w:rPr>
        <w:t>)</w:t>
      </w:r>
      <w:r w:rsidR="00B34B89" w:rsidRPr="00B34B89">
        <w:rPr>
          <w:rFonts w:ascii="Times New Roman" w:hAnsi="Times New Roman"/>
          <w:szCs w:val="24"/>
          <w:lang w:eastAsia="en-US"/>
        </w:rPr>
        <w:t xml:space="preserve"> </w:t>
      </w:r>
      <w:r w:rsidR="00CF5D3B" w:rsidRPr="00CF5D3B">
        <w:rPr>
          <w:rFonts w:ascii="Times New Roman" w:hAnsi="Times New Roman"/>
          <w:szCs w:val="24"/>
          <w:lang w:eastAsia="en-US"/>
        </w:rPr>
        <w:t>is a powerful tool to tackle mental health risks online. It obliges designated very large online platforms</w:t>
      </w:r>
      <w:r w:rsidR="00CF5D3B">
        <w:rPr>
          <w:rFonts w:ascii="Times New Roman" w:hAnsi="Times New Roman"/>
          <w:szCs w:val="24"/>
          <w:lang w:eastAsia="en-US"/>
        </w:rPr>
        <w:t xml:space="preserve"> (</w:t>
      </w:r>
      <w:proofErr w:type="gramStart"/>
      <w:r w:rsidR="00CF5D3B">
        <w:rPr>
          <w:rFonts w:ascii="Times New Roman" w:hAnsi="Times New Roman"/>
          <w:szCs w:val="24"/>
          <w:lang w:eastAsia="en-US"/>
        </w:rPr>
        <w:t>i.e.</w:t>
      </w:r>
      <w:proofErr w:type="gramEnd"/>
      <w:r w:rsidR="00CF5D3B">
        <w:rPr>
          <w:rFonts w:ascii="Times New Roman" w:hAnsi="Times New Roman"/>
          <w:szCs w:val="24"/>
          <w:lang w:eastAsia="en-US"/>
        </w:rPr>
        <w:t xml:space="preserve"> those with </w:t>
      </w:r>
      <w:r w:rsidR="00B34B89">
        <w:rPr>
          <w:rFonts w:ascii="Times New Roman" w:hAnsi="Times New Roman"/>
          <w:szCs w:val="24"/>
          <w:lang w:eastAsia="en-US"/>
        </w:rPr>
        <w:t xml:space="preserve">more </w:t>
      </w:r>
      <w:r w:rsidR="00CF5D3B" w:rsidRPr="00CF5D3B">
        <w:rPr>
          <w:rFonts w:ascii="Times New Roman" w:hAnsi="Times New Roman"/>
          <w:szCs w:val="24"/>
          <w:lang w:eastAsia="en-US"/>
        </w:rPr>
        <w:t>than 45 million users in the EU</w:t>
      </w:r>
      <w:r w:rsidR="00CF5D3B">
        <w:rPr>
          <w:rFonts w:ascii="Times New Roman" w:hAnsi="Times New Roman"/>
          <w:szCs w:val="24"/>
          <w:lang w:eastAsia="en-US"/>
        </w:rPr>
        <w:t>)</w:t>
      </w:r>
      <w:r w:rsidR="00CF5D3B" w:rsidRPr="00CF5D3B">
        <w:rPr>
          <w:rFonts w:ascii="Times New Roman" w:hAnsi="Times New Roman"/>
          <w:szCs w:val="24"/>
          <w:lang w:eastAsia="en-US"/>
        </w:rPr>
        <w:t xml:space="preserve">, to assess the systemic risks their services pose on mental wellbeing. They also </w:t>
      </w:r>
      <w:proofErr w:type="gramStart"/>
      <w:r w:rsidR="00CF5D3B" w:rsidRPr="00CF5D3B">
        <w:rPr>
          <w:rFonts w:ascii="Times New Roman" w:hAnsi="Times New Roman"/>
          <w:szCs w:val="24"/>
          <w:lang w:eastAsia="en-US"/>
        </w:rPr>
        <w:t>have to</w:t>
      </w:r>
      <w:proofErr w:type="gramEnd"/>
      <w:r w:rsidR="00CF5D3B" w:rsidRPr="00CF5D3B">
        <w:rPr>
          <w:rFonts w:ascii="Times New Roman" w:hAnsi="Times New Roman"/>
          <w:szCs w:val="24"/>
          <w:lang w:eastAsia="en-US"/>
        </w:rPr>
        <w:t xml:space="preserve"> put in place measures to mitigate against such risks, for example by adapting their recommender systems.</w:t>
      </w:r>
      <w:r w:rsidR="00CF5D3B">
        <w:rPr>
          <w:rFonts w:ascii="Times New Roman" w:hAnsi="Times New Roman"/>
          <w:szCs w:val="24"/>
          <w:lang w:eastAsia="en-US"/>
        </w:rPr>
        <w:t xml:space="preserve"> </w:t>
      </w:r>
      <w:r w:rsidR="00120681">
        <w:rPr>
          <w:rFonts w:ascii="Times New Roman" w:hAnsi="Times New Roman"/>
          <w:szCs w:val="24"/>
          <w:lang w:eastAsia="en-US"/>
        </w:rPr>
        <w:t>In addition</w:t>
      </w:r>
      <w:r w:rsidR="00CF5D3B" w:rsidRPr="00CF5D3B">
        <w:rPr>
          <w:rFonts w:ascii="Times New Roman" w:hAnsi="Times New Roman"/>
          <w:szCs w:val="24"/>
          <w:lang w:eastAsia="en-US"/>
        </w:rPr>
        <w:t>, under the European strategy for a better internet for kids (BIK+)</w:t>
      </w:r>
      <w:r w:rsidR="00B34B89">
        <w:rPr>
          <w:rFonts w:ascii="Times New Roman" w:hAnsi="Times New Roman"/>
          <w:szCs w:val="24"/>
          <w:lang w:eastAsia="en-US"/>
        </w:rPr>
        <w:t xml:space="preserve"> (</w:t>
      </w:r>
      <w:r w:rsidR="00B34B89" w:rsidRPr="00B34B89">
        <w:rPr>
          <w:rFonts w:ascii="Times New Roman" w:hAnsi="Times New Roman"/>
          <w:szCs w:val="24"/>
          <w:lang w:eastAsia="en-US"/>
        </w:rPr>
        <w:t>COM/2022/212 final</w:t>
      </w:r>
      <w:r w:rsidR="00B34B89">
        <w:rPr>
          <w:rFonts w:ascii="Times New Roman" w:hAnsi="Times New Roman"/>
          <w:szCs w:val="24"/>
          <w:lang w:eastAsia="en-US"/>
        </w:rPr>
        <w:t>)</w:t>
      </w:r>
      <w:r w:rsidR="00CF5D3B" w:rsidRPr="00CF5D3B">
        <w:rPr>
          <w:rFonts w:ascii="Times New Roman" w:hAnsi="Times New Roman"/>
          <w:szCs w:val="24"/>
          <w:lang w:eastAsia="en-US"/>
        </w:rPr>
        <w:t xml:space="preserve">, the co-funded network of Safer Internet Centres and the BIK portal provide </w:t>
      </w:r>
      <w:r w:rsidR="00120681" w:rsidRPr="00CF5D3B">
        <w:rPr>
          <w:rFonts w:ascii="Times New Roman" w:hAnsi="Times New Roman"/>
          <w:szCs w:val="24"/>
          <w:lang w:eastAsia="en-US"/>
        </w:rPr>
        <w:t xml:space="preserve">resources and support </w:t>
      </w:r>
      <w:r w:rsidR="00CF5D3B" w:rsidRPr="00CF5D3B">
        <w:rPr>
          <w:rFonts w:ascii="Times New Roman" w:hAnsi="Times New Roman"/>
          <w:szCs w:val="24"/>
          <w:lang w:eastAsia="en-US"/>
        </w:rPr>
        <w:t xml:space="preserve">to children, their </w:t>
      </w:r>
      <w:proofErr w:type="gramStart"/>
      <w:r w:rsidR="00CF5D3B" w:rsidRPr="00CF5D3B">
        <w:rPr>
          <w:rFonts w:ascii="Times New Roman" w:hAnsi="Times New Roman"/>
          <w:szCs w:val="24"/>
          <w:lang w:eastAsia="en-US"/>
        </w:rPr>
        <w:t>carers</w:t>
      </w:r>
      <w:proofErr w:type="gramEnd"/>
      <w:r w:rsidR="00CF5D3B" w:rsidRPr="00CF5D3B">
        <w:rPr>
          <w:rFonts w:ascii="Times New Roman" w:hAnsi="Times New Roman"/>
          <w:szCs w:val="24"/>
          <w:lang w:eastAsia="en-US"/>
        </w:rPr>
        <w:t xml:space="preserve"> and educators for a balanced use of digital technologies.</w:t>
      </w:r>
      <w:r w:rsidR="001F77C6">
        <w:rPr>
          <w:rFonts w:ascii="Times New Roman" w:hAnsi="Times New Roman"/>
          <w:szCs w:val="24"/>
          <w:lang w:eastAsia="en-US"/>
        </w:rPr>
        <w:t xml:space="preserve"> </w:t>
      </w:r>
      <w:r w:rsidR="001F77C6" w:rsidRPr="001F77C6">
        <w:rPr>
          <w:rFonts w:ascii="Times New Roman" w:hAnsi="Times New Roman"/>
          <w:szCs w:val="24"/>
          <w:lang w:eastAsia="en-US"/>
        </w:rPr>
        <w:t>Furthermore, the Fitness Check of consumer law on digital fairness, that will conclude in 2024, is examining, among other issues, the effectiveness of current EU consumer protection legislation in tackling the issue of addictive use of digital services.</w:t>
      </w:r>
    </w:p>
    <w:p w14:paraId="22F6867B" w14:textId="6EFC0676" w:rsidR="008730BC" w:rsidRPr="008F45BB"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B34B89">
        <w:rPr>
          <w:rFonts w:ascii="Times New Roman" w:hAnsi="Times New Roman"/>
          <w:b/>
          <w:bCs/>
          <w:szCs w:val="24"/>
          <w:lang w:eastAsia="en-US"/>
        </w:rPr>
        <w:t>paragraph</w:t>
      </w:r>
      <w:r w:rsidR="008D580B" w:rsidRPr="00B34B89">
        <w:rPr>
          <w:rFonts w:ascii="Times New Roman" w:hAnsi="Times New Roman"/>
          <w:b/>
          <w:bCs/>
          <w:szCs w:val="24"/>
          <w:lang w:eastAsia="en-US"/>
        </w:rPr>
        <w:t xml:space="preserve"> </w:t>
      </w:r>
      <w:r w:rsidR="00CF2263" w:rsidRPr="00B34B89">
        <w:rPr>
          <w:rFonts w:ascii="Times New Roman" w:hAnsi="Times New Roman"/>
          <w:b/>
          <w:bCs/>
          <w:szCs w:val="24"/>
          <w:lang w:eastAsia="en-US"/>
        </w:rPr>
        <w:t>32</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Pr>
          <w:rFonts w:ascii="Times New Roman" w:hAnsi="Times New Roman"/>
          <w:szCs w:val="24"/>
          <w:lang w:eastAsia="en-US"/>
        </w:rPr>
        <w:t xml:space="preserve"> </w:t>
      </w:r>
      <w:r w:rsidR="008730BC" w:rsidRPr="0032579D">
        <w:rPr>
          <w:rFonts w:ascii="Times New Roman" w:hAnsi="Times New Roman"/>
          <w:b/>
          <w:bCs/>
          <w:szCs w:val="24"/>
          <w:lang w:eastAsia="en-US"/>
        </w:rPr>
        <w:t xml:space="preserve">speeding up Commission’s proposal for a framework for social services of excellence for persons with </w:t>
      </w:r>
      <w:r w:rsidR="008730BC" w:rsidRPr="00CE6D28">
        <w:rPr>
          <w:rFonts w:ascii="Times New Roman" w:hAnsi="Times New Roman"/>
          <w:b/>
          <w:bCs/>
          <w:szCs w:val="24"/>
          <w:lang w:eastAsia="en-US"/>
        </w:rPr>
        <w:t>disabilities</w:t>
      </w:r>
      <w:r w:rsidR="008730BC" w:rsidRPr="00CE6D28">
        <w:rPr>
          <w:rFonts w:ascii="Times New Roman" w:hAnsi="Times New Roman"/>
          <w:szCs w:val="24"/>
          <w:lang w:eastAsia="en-US"/>
        </w:rPr>
        <w:t>,</w:t>
      </w:r>
      <w:r w:rsidR="0032579D" w:rsidRPr="00622C40">
        <w:rPr>
          <w:rFonts w:ascii="Times New Roman" w:hAnsi="Times New Roman"/>
        </w:rPr>
        <w:t xml:space="preserve"> t</w:t>
      </w:r>
      <w:r w:rsidR="0032579D" w:rsidRPr="00CE6D28">
        <w:rPr>
          <w:rFonts w:ascii="Times New Roman" w:hAnsi="Times New Roman"/>
          <w:szCs w:val="24"/>
          <w:lang w:eastAsia="en-US"/>
        </w:rPr>
        <w:t>he</w:t>
      </w:r>
      <w:r w:rsidR="0032579D" w:rsidRPr="0032579D">
        <w:rPr>
          <w:rFonts w:ascii="Times New Roman" w:hAnsi="Times New Roman"/>
          <w:szCs w:val="24"/>
          <w:lang w:eastAsia="en-US"/>
        </w:rPr>
        <w:t xml:space="preserve"> Commission is committed to present</w:t>
      </w:r>
      <w:r w:rsidR="00B34B89">
        <w:rPr>
          <w:rFonts w:ascii="Times New Roman" w:hAnsi="Times New Roman"/>
          <w:szCs w:val="24"/>
          <w:lang w:eastAsia="en-US"/>
        </w:rPr>
        <w:t>ing</w:t>
      </w:r>
      <w:r w:rsidR="0032579D" w:rsidRPr="0032579D">
        <w:rPr>
          <w:rFonts w:ascii="Times New Roman" w:hAnsi="Times New Roman"/>
          <w:szCs w:val="24"/>
          <w:lang w:eastAsia="en-US"/>
        </w:rPr>
        <w:t xml:space="preserve"> it </w:t>
      </w:r>
      <w:r w:rsidR="00AC09DB">
        <w:rPr>
          <w:rFonts w:ascii="Times New Roman" w:hAnsi="Times New Roman"/>
          <w:szCs w:val="24"/>
          <w:lang w:eastAsia="en-US"/>
        </w:rPr>
        <w:t>in</w:t>
      </w:r>
      <w:r w:rsidR="00AC09DB" w:rsidRPr="0032579D">
        <w:rPr>
          <w:rFonts w:ascii="Times New Roman" w:hAnsi="Times New Roman"/>
          <w:szCs w:val="24"/>
          <w:lang w:eastAsia="en-US"/>
        </w:rPr>
        <w:t xml:space="preserve"> </w:t>
      </w:r>
      <w:r w:rsidR="0032579D" w:rsidRPr="0032579D">
        <w:rPr>
          <w:rFonts w:ascii="Times New Roman" w:hAnsi="Times New Roman"/>
          <w:szCs w:val="24"/>
          <w:lang w:eastAsia="en-US"/>
        </w:rPr>
        <w:t xml:space="preserve">2024. The framework will cover specialised services for persons with disabilities as well as mainstream social services, in a view to discourage any segregated approach in service provision and to promote access to quality services which must be available in the local community, to support </w:t>
      </w:r>
      <w:r w:rsidR="0032579D" w:rsidRPr="008F45BB">
        <w:rPr>
          <w:rFonts w:ascii="Times New Roman" w:hAnsi="Times New Roman"/>
          <w:szCs w:val="24"/>
          <w:lang w:eastAsia="en-US"/>
        </w:rPr>
        <w:t>independent living and social inclusion.</w:t>
      </w:r>
    </w:p>
    <w:p w14:paraId="139A27EA" w14:textId="5590C252" w:rsidR="00C81E13" w:rsidRDefault="00FA696E" w:rsidP="00D01914">
      <w:pPr>
        <w:spacing w:after="120"/>
        <w:rPr>
          <w:rFonts w:ascii="Times New Roman" w:hAnsi="Times New Roman"/>
          <w:szCs w:val="24"/>
          <w:lang w:eastAsia="en-US"/>
        </w:rPr>
      </w:pPr>
      <w:r w:rsidRPr="008F45BB">
        <w:rPr>
          <w:rFonts w:ascii="Times New Roman" w:hAnsi="Times New Roman"/>
          <w:szCs w:val="24"/>
          <w:lang w:eastAsia="en-US"/>
        </w:rPr>
        <w:t xml:space="preserve">Regarding </w:t>
      </w:r>
      <w:r w:rsidRPr="008F45BB">
        <w:rPr>
          <w:rFonts w:ascii="Times New Roman" w:hAnsi="Times New Roman"/>
          <w:b/>
          <w:bCs/>
          <w:szCs w:val="24"/>
          <w:lang w:eastAsia="en-US"/>
        </w:rPr>
        <w:t>paragraph</w:t>
      </w:r>
      <w:r w:rsidR="00CF2263" w:rsidRPr="008F45BB">
        <w:rPr>
          <w:rFonts w:ascii="Times New Roman" w:hAnsi="Times New Roman"/>
          <w:b/>
          <w:bCs/>
          <w:szCs w:val="24"/>
          <w:lang w:eastAsia="en-US"/>
        </w:rPr>
        <w:t xml:space="preserve"> 33</w:t>
      </w:r>
      <w:r w:rsidR="008D580B" w:rsidRPr="008F45BB">
        <w:rPr>
          <w:rFonts w:ascii="Times New Roman" w:hAnsi="Times New Roman"/>
          <w:szCs w:val="24"/>
          <w:lang w:eastAsia="en-US"/>
        </w:rPr>
        <w:t xml:space="preserve">, </w:t>
      </w:r>
      <w:r w:rsidR="008F45BB" w:rsidRPr="008F45BB">
        <w:rPr>
          <w:rFonts w:ascii="Times New Roman" w:hAnsi="Times New Roman"/>
          <w:szCs w:val="24"/>
          <w:lang w:eastAsia="en-US"/>
        </w:rPr>
        <w:t xml:space="preserve">the Commission takes note of the Parliament’s </w:t>
      </w:r>
      <w:r w:rsidR="008D580B" w:rsidRPr="008F45BB">
        <w:rPr>
          <w:rFonts w:ascii="Times New Roman" w:hAnsi="Times New Roman"/>
          <w:szCs w:val="24"/>
          <w:lang w:eastAsia="en-US"/>
        </w:rPr>
        <w:t>call for</w:t>
      </w:r>
      <w:r w:rsidR="008F45BB" w:rsidRPr="008F45BB">
        <w:rPr>
          <w:rFonts w:ascii="Times New Roman" w:hAnsi="Times New Roman"/>
          <w:szCs w:val="24"/>
          <w:lang w:eastAsia="en-US"/>
        </w:rPr>
        <w:t xml:space="preserve"> </w:t>
      </w:r>
      <w:r w:rsidR="008F45BB" w:rsidRPr="008F45BB">
        <w:rPr>
          <w:rFonts w:ascii="Times New Roman" w:hAnsi="Times New Roman"/>
          <w:b/>
          <w:bCs/>
          <w:szCs w:val="24"/>
          <w:lang w:eastAsia="en-US"/>
        </w:rPr>
        <w:t>mainstreaming family-centred early childhood intervention in all relevant policy areas</w:t>
      </w:r>
      <w:r w:rsidR="008F45BB">
        <w:rPr>
          <w:rFonts w:ascii="Times New Roman" w:hAnsi="Times New Roman"/>
          <w:b/>
          <w:bCs/>
          <w:szCs w:val="24"/>
          <w:lang w:eastAsia="en-US"/>
        </w:rPr>
        <w:t>.</w:t>
      </w:r>
      <w:r w:rsidR="008F45BB" w:rsidRPr="008F45BB">
        <w:rPr>
          <w:rFonts w:ascii="Times New Roman" w:hAnsi="Times New Roman"/>
          <w:b/>
          <w:bCs/>
          <w:szCs w:val="24"/>
          <w:lang w:eastAsia="en-US"/>
        </w:rPr>
        <w:t xml:space="preserve"> </w:t>
      </w:r>
      <w:r w:rsidR="008F45BB" w:rsidRPr="008F45BB">
        <w:rPr>
          <w:rFonts w:ascii="Times New Roman" w:hAnsi="Times New Roman"/>
          <w:szCs w:val="24"/>
          <w:lang w:eastAsia="en-US"/>
        </w:rPr>
        <w:t>Regarding the call in the</w:t>
      </w:r>
      <w:r w:rsidR="008F45BB" w:rsidRPr="008F45BB">
        <w:rPr>
          <w:rFonts w:ascii="Times New Roman" w:hAnsi="Times New Roman"/>
          <w:b/>
          <w:bCs/>
          <w:szCs w:val="24"/>
          <w:lang w:eastAsia="en-US"/>
        </w:rPr>
        <w:t xml:space="preserve"> same paragraph </w:t>
      </w:r>
      <w:r w:rsidR="008F45BB" w:rsidRPr="008F45BB">
        <w:rPr>
          <w:rFonts w:ascii="Times New Roman" w:hAnsi="Times New Roman"/>
          <w:szCs w:val="24"/>
          <w:lang w:eastAsia="en-US"/>
        </w:rPr>
        <w:t xml:space="preserve">for </w:t>
      </w:r>
      <w:r w:rsidR="00C81E13" w:rsidRPr="008F45BB">
        <w:rPr>
          <w:rFonts w:ascii="Times New Roman" w:hAnsi="Times New Roman"/>
          <w:b/>
          <w:bCs/>
          <w:szCs w:val="24"/>
          <w:lang w:eastAsia="en-US"/>
        </w:rPr>
        <w:t xml:space="preserve">consulting persons with </w:t>
      </w:r>
      <w:r w:rsidR="00C81E13" w:rsidRPr="008F45BB">
        <w:rPr>
          <w:rFonts w:ascii="Times New Roman" w:hAnsi="Times New Roman"/>
          <w:b/>
          <w:bCs/>
          <w:szCs w:val="24"/>
          <w:lang w:eastAsia="en-US"/>
        </w:rPr>
        <w:lastRenderedPageBreak/>
        <w:t>disabilities and their representative organisations</w:t>
      </w:r>
      <w:r w:rsidR="002B1900" w:rsidRPr="008F45BB">
        <w:rPr>
          <w:rFonts w:ascii="Times New Roman" w:hAnsi="Times New Roman"/>
          <w:szCs w:val="24"/>
          <w:lang w:eastAsia="en-US"/>
        </w:rPr>
        <w:t>,</w:t>
      </w:r>
      <w:r w:rsidR="0032579D" w:rsidRPr="008F45BB">
        <w:t xml:space="preserve"> </w:t>
      </w:r>
      <w:r w:rsidR="0032579D" w:rsidRPr="008F45BB">
        <w:rPr>
          <w:rFonts w:ascii="Times New Roman" w:hAnsi="Times New Roman"/>
          <w:szCs w:val="24"/>
          <w:lang w:eastAsia="en-US"/>
        </w:rPr>
        <w:t xml:space="preserve">the Commission supports a meaningful consultation of persons with disabilities and of organisations representing their rights in </w:t>
      </w:r>
      <w:proofErr w:type="gramStart"/>
      <w:r w:rsidR="0032579D" w:rsidRPr="008F45BB">
        <w:rPr>
          <w:rFonts w:ascii="Times New Roman" w:hAnsi="Times New Roman"/>
          <w:szCs w:val="24"/>
          <w:lang w:eastAsia="en-US"/>
        </w:rPr>
        <w:t>policy-making</w:t>
      </w:r>
      <w:proofErr w:type="gramEnd"/>
      <w:r w:rsidR="0032579D" w:rsidRPr="008F45BB">
        <w:rPr>
          <w:rFonts w:ascii="Times New Roman" w:hAnsi="Times New Roman"/>
          <w:szCs w:val="24"/>
          <w:lang w:eastAsia="en-US"/>
        </w:rPr>
        <w:t>. It sets the example by actively involving the Disability Platform and civil society more broadly in the preparation of its initiatives in areas relevant to disability, and encourages Member States to do the same, including through their national disability strategies.</w:t>
      </w:r>
    </w:p>
    <w:p w14:paraId="3C2A1C4B" w14:textId="2D7B9B88" w:rsidR="002B1900" w:rsidRPr="004D39AB"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EA1E1E">
        <w:rPr>
          <w:rFonts w:ascii="Times New Roman" w:hAnsi="Times New Roman"/>
          <w:b/>
          <w:bCs/>
          <w:szCs w:val="24"/>
          <w:lang w:eastAsia="en-US"/>
        </w:rPr>
        <w:t>paragraph</w:t>
      </w:r>
      <w:r w:rsidR="008D580B" w:rsidRPr="00EA1E1E">
        <w:rPr>
          <w:rFonts w:ascii="Times New Roman" w:hAnsi="Times New Roman"/>
          <w:b/>
          <w:bCs/>
          <w:szCs w:val="24"/>
          <w:lang w:eastAsia="en-US"/>
        </w:rPr>
        <w:t xml:space="preserve"> </w:t>
      </w:r>
      <w:r w:rsidR="00CF2263" w:rsidRPr="00EA1E1E">
        <w:rPr>
          <w:rFonts w:ascii="Times New Roman" w:hAnsi="Times New Roman"/>
          <w:b/>
          <w:bCs/>
          <w:szCs w:val="24"/>
          <w:lang w:eastAsia="en-US"/>
        </w:rPr>
        <w:t>35</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Pr>
          <w:rFonts w:ascii="Times New Roman" w:hAnsi="Times New Roman"/>
          <w:szCs w:val="24"/>
          <w:lang w:eastAsia="en-US"/>
        </w:rPr>
        <w:t xml:space="preserve"> </w:t>
      </w:r>
      <w:r w:rsidR="002B1900" w:rsidRPr="00992BC0">
        <w:rPr>
          <w:rFonts w:ascii="Times New Roman" w:hAnsi="Times New Roman"/>
          <w:szCs w:val="24"/>
          <w:lang w:eastAsia="en-US"/>
        </w:rPr>
        <w:t xml:space="preserve">making the widest possible use of the </w:t>
      </w:r>
      <w:r w:rsidR="002B1900" w:rsidRPr="00992BC0">
        <w:rPr>
          <w:rFonts w:ascii="Times New Roman" w:hAnsi="Times New Roman"/>
          <w:b/>
          <w:bCs/>
          <w:szCs w:val="24"/>
          <w:lang w:eastAsia="en-US"/>
        </w:rPr>
        <w:t xml:space="preserve">European Child Guarantee as a tool to facilitate social integration and inclusion of children </w:t>
      </w:r>
      <w:r w:rsidR="002B1900" w:rsidRPr="00992BC0">
        <w:rPr>
          <w:rFonts w:ascii="Times New Roman" w:hAnsi="Times New Roman"/>
          <w:szCs w:val="24"/>
          <w:lang w:eastAsia="en-US"/>
        </w:rPr>
        <w:t xml:space="preserve">and </w:t>
      </w:r>
      <w:r w:rsidR="002B1900" w:rsidRPr="00992BC0">
        <w:rPr>
          <w:rFonts w:ascii="Times New Roman" w:hAnsi="Times New Roman"/>
          <w:b/>
          <w:bCs/>
          <w:szCs w:val="24"/>
          <w:lang w:eastAsia="en-US"/>
        </w:rPr>
        <w:t>strengthening child protection systems</w:t>
      </w:r>
      <w:r w:rsidR="001F77C6">
        <w:rPr>
          <w:rFonts w:ascii="Times New Roman" w:hAnsi="Times New Roman"/>
          <w:szCs w:val="24"/>
          <w:lang w:eastAsia="en-US"/>
        </w:rPr>
        <w:t xml:space="preserve"> and to </w:t>
      </w:r>
      <w:r w:rsidR="001F77C6">
        <w:rPr>
          <w:rFonts w:ascii="Times New Roman" w:hAnsi="Times New Roman"/>
          <w:b/>
          <w:bCs/>
          <w:szCs w:val="24"/>
          <w:lang w:eastAsia="en-US"/>
        </w:rPr>
        <w:t>scale up investment and strengthen child protection systems and social welfare services</w:t>
      </w:r>
      <w:r w:rsidR="002B1900" w:rsidRPr="00992BC0">
        <w:rPr>
          <w:rFonts w:ascii="Times New Roman" w:hAnsi="Times New Roman"/>
          <w:szCs w:val="24"/>
          <w:lang w:eastAsia="en-US"/>
        </w:rPr>
        <w:t>,</w:t>
      </w:r>
      <w:r w:rsidR="00992BC0" w:rsidRPr="00992BC0">
        <w:rPr>
          <w:rFonts w:ascii="Times New Roman" w:hAnsi="Times New Roman"/>
          <w:szCs w:val="24"/>
          <w:lang w:eastAsia="en-US"/>
        </w:rPr>
        <w:t xml:space="preserve"> the Commission is working closely with the national Child Guarantee Coordinators to ensure full and comprehensive implementation of the European Child Guarantee recommendation. Moreover, as announced in the EU Strategy on the Rights of the Child, and in the </w:t>
      </w:r>
      <w:hyperlink r:id="rId23" w:history="1">
        <w:r w:rsidR="00992BC0" w:rsidRPr="00EA1E1E">
          <w:rPr>
            <w:rStyle w:val="Hyperlink"/>
            <w:rFonts w:ascii="Times New Roman" w:hAnsi="Times New Roman"/>
            <w:szCs w:val="24"/>
            <w:lang w:eastAsia="en-US"/>
          </w:rPr>
          <w:t>2024 Commission Work Programme</w:t>
        </w:r>
      </w:hyperlink>
      <w:r w:rsidR="00992BC0" w:rsidRPr="00992BC0">
        <w:rPr>
          <w:rFonts w:ascii="Times New Roman" w:hAnsi="Times New Roman"/>
          <w:szCs w:val="24"/>
          <w:lang w:eastAsia="en-US"/>
        </w:rPr>
        <w:t xml:space="preserve">, in the first quarter of 2024 the Commission will issue a recommendation on developing and strengthening more integrated child protection systems. Besides making the child protection systems more focused on children’s needs, it will encourage inter-sectorial coordinated approach to child support. Each child has the right to an adequate standard of living, and to equal opportunities, from the earliest stage of life. This is recalled in the EU Strategy on the Rights of the Child, in line with Articles 24 and 33 of the EU Charter of Fundamental Rights. As stipulated by the EU Strategy on the Rights of the Child, the Commission supports upholding children's rights </w:t>
      </w:r>
      <w:r w:rsidR="00992BC0" w:rsidRPr="00CF2263">
        <w:rPr>
          <w:rFonts w:ascii="Times New Roman" w:hAnsi="Times New Roman"/>
          <w:szCs w:val="24"/>
          <w:lang w:eastAsia="en-US"/>
        </w:rPr>
        <w:t>as an EU priority across policies.</w:t>
      </w:r>
      <w:r w:rsidR="001F77C6">
        <w:rPr>
          <w:rFonts w:ascii="Times New Roman" w:hAnsi="Times New Roman"/>
          <w:szCs w:val="24"/>
          <w:lang w:eastAsia="en-US"/>
        </w:rPr>
        <w:t xml:space="preserve"> The Commission is encouraging the </w:t>
      </w:r>
      <w:r w:rsidR="001F77C6" w:rsidRPr="001F77C6">
        <w:rPr>
          <w:rFonts w:ascii="Times New Roman" w:hAnsi="Times New Roman"/>
          <w:szCs w:val="24"/>
          <w:lang w:eastAsia="en-US"/>
        </w:rPr>
        <w:t xml:space="preserve">Member States to develop national strategies on the rights of </w:t>
      </w:r>
      <w:r w:rsidR="001F77C6">
        <w:rPr>
          <w:rFonts w:ascii="Times New Roman" w:hAnsi="Times New Roman"/>
          <w:szCs w:val="24"/>
          <w:lang w:eastAsia="en-US"/>
        </w:rPr>
        <w:t>children</w:t>
      </w:r>
      <w:r w:rsidR="001F77C6" w:rsidRPr="001F77C6">
        <w:rPr>
          <w:rFonts w:ascii="Times New Roman" w:hAnsi="Times New Roman"/>
          <w:szCs w:val="24"/>
          <w:lang w:eastAsia="en-US"/>
        </w:rPr>
        <w:t xml:space="preserve"> and to support all actions recommended in th</w:t>
      </w:r>
      <w:r w:rsidR="001F77C6">
        <w:rPr>
          <w:rFonts w:ascii="Times New Roman" w:hAnsi="Times New Roman"/>
          <w:szCs w:val="24"/>
          <w:lang w:eastAsia="en-US"/>
        </w:rPr>
        <w:t>e</w:t>
      </w:r>
      <w:r w:rsidR="001F77C6" w:rsidRPr="001F77C6">
        <w:rPr>
          <w:rFonts w:ascii="Times New Roman" w:hAnsi="Times New Roman"/>
          <w:szCs w:val="24"/>
          <w:lang w:eastAsia="en-US"/>
        </w:rPr>
        <w:t xml:space="preserve"> Strategy through appropriate financial resources, including EU funding. The EU Network for Children’s Rights reinforces the dialogue and mutual learning between the EU, Member States, international and civil society organisations on children’s rights, and supports the implementation, monitoring and evaluation of th</w:t>
      </w:r>
      <w:r w:rsidR="001F77C6">
        <w:rPr>
          <w:rFonts w:ascii="Times New Roman" w:hAnsi="Times New Roman"/>
          <w:szCs w:val="24"/>
          <w:lang w:eastAsia="en-US"/>
        </w:rPr>
        <w:t>e</w:t>
      </w:r>
      <w:r w:rsidR="001F77C6" w:rsidRPr="001F77C6">
        <w:rPr>
          <w:rFonts w:ascii="Times New Roman" w:hAnsi="Times New Roman"/>
          <w:szCs w:val="24"/>
          <w:lang w:eastAsia="en-US"/>
        </w:rPr>
        <w:t xml:space="preserve"> Strategy.</w:t>
      </w:r>
    </w:p>
    <w:p w14:paraId="07DF98DD" w14:textId="7A0A7EC7" w:rsidR="00341F14" w:rsidRPr="00341F14"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EA1E1E">
        <w:rPr>
          <w:rFonts w:ascii="Times New Roman" w:hAnsi="Times New Roman"/>
          <w:b/>
          <w:bCs/>
          <w:szCs w:val="24"/>
          <w:lang w:eastAsia="en-US"/>
        </w:rPr>
        <w:t>paragraph</w:t>
      </w:r>
      <w:r w:rsidR="008D21D4" w:rsidRPr="00EA1E1E">
        <w:rPr>
          <w:rFonts w:ascii="Times New Roman" w:hAnsi="Times New Roman"/>
          <w:b/>
          <w:bCs/>
          <w:szCs w:val="24"/>
          <w:lang w:eastAsia="en-US"/>
        </w:rPr>
        <w:t xml:space="preserve"> 37</w:t>
      </w:r>
      <w:r w:rsidR="008D580B" w:rsidRPr="00CF2263">
        <w:rPr>
          <w:rFonts w:ascii="Times New Roman" w:hAnsi="Times New Roman"/>
          <w:szCs w:val="24"/>
          <w:lang w:eastAsia="en-US"/>
        </w:rPr>
        <w:t xml:space="preserve">, which calls for </w:t>
      </w:r>
      <w:r w:rsidR="00341F14" w:rsidRPr="00CF2263">
        <w:rPr>
          <w:rFonts w:ascii="Times New Roman" w:hAnsi="Times New Roman"/>
          <w:b/>
          <w:bCs/>
          <w:szCs w:val="24"/>
          <w:lang w:eastAsia="en-US"/>
        </w:rPr>
        <w:t>proposing framework directive on minimum income</w:t>
      </w:r>
      <w:r w:rsidR="00341F14" w:rsidRPr="00CF2263">
        <w:rPr>
          <w:rFonts w:ascii="Times New Roman" w:hAnsi="Times New Roman"/>
          <w:szCs w:val="24"/>
          <w:lang w:eastAsia="en-US"/>
        </w:rPr>
        <w:t>,</w:t>
      </w:r>
      <w:r w:rsidR="00CF2263" w:rsidRPr="00CF2263">
        <w:rPr>
          <w:rFonts w:ascii="Times New Roman" w:hAnsi="Times New Roman"/>
          <w:szCs w:val="24"/>
          <w:lang w:eastAsia="en-US"/>
        </w:rPr>
        <w:t xml:space="preserve"> the Commission considers that a Council Recommendation is an adequate legal instrument in this case</w:t>
      </w:r>
      <w:r w:rsidR="00EE0DCB">
        <w:rPr>
          <w:rFonts w:ascii="Times New Roman" w:hAnsi="Times New Roman"/>
          <w:szCs w:val="24"/>
          <w:lang w:eastAsia="en-US"/>
        </w:rPr>
        <w:t xml:space="preserve">, in </w:t>
      </w:r>
      <w:r w:rsidR="00EE0DCB" w:rsidRPr="00EE0DCB">
        <w:rPr>
          <w:rFonts w:ascii="Times New Roman" w:hAnsi="Times New Roman"/>
          <w:szCs w:val="24"/>
          <w:lang w:eastAsia="en-US"/>
        </w:rPr>
        <w:t>accordance with the applicable legal base</w:t>
      </w:r>
      <w:r w:rsidR="00CF2263" w:rsidRPr="00CF2263">
        <w:rPr>
          <w:rFonts w:ascii="Times New Roman" w:hAnsi="Times New Roman"/>
          <w:szCs w:val="24"/>
          <w:lang w:eastAsia="en-US"/>
        </w:rPr>
        <w:t xml:space="preserve">. It enables Member States to set ambitious goals </w:t>
      </w:r>
      <w:proofErr w:type="gramStart"/>
      <w:r w:rsidR="00CF2263" w:rsidRPr="00CF2263">
        <w:rPr>
          <w:rFonts w:ascii="Times New Roman" w:hAnsi="Times New Roman"/>
          <w:szCs w:val="24"/>
          <w:lang w:eastAsia="en-US"/>
        </w:rPr>
        <w:t>with regard to</w:t>
      </w:r>
      <w:proofErr w:type="gramEnd"/>
      <w:r w:rsidR="00CF2263" w:rsidRPr="00CF2263">
        <w:rPr>
          <w:rFonts w:ascii="Times New Roman" w:hAnsi="Times New Roman"/>
          <w:szCs w:val="24"/>
          <w:lang w:eastAsia="en-US"/>
        </w:rPr>
        <w:t xml:space="preserve"> defining and organising their social protection systems while at the same time respecting the principle of subsidiarity and national competences.</w:t>
      </w:r>
      <w:r w:rsidR="00CF2263">
        <w:rPr>
          <w:rFonts w:ascii="Times New Roman" w:hAnsi="Times New Roman"/>
          <w:szCs w:val="24"/>
          <w:lang w:eastAsia="en-US"/>
        </w:rPr>
        <w:t xml:space="preserve"> The </w:t>
      </w:r>
      <w:r w:rsidR="00CF2263" w:rsidRPr="00CF2263">
        <w:rPr>
          <w:rFonts w:ascii="Times New Roman" w:hAnsi="Times New Roman"/>
          <w:szCs w:val="24"/>
          <w:lang w:eastAsia="en-US"/>
        </w:rPr>
        <w:t>Council Recommendation of 30 January 2023 on adequate minimum income ensuring active inclusion</w:t>
      </w:r>
      <w:r w:rsidR="00EA1E1E" w:rsidRPr="00EA1E1E">
        <w:t xml:space="preserve"> </w:t>
      </w:r>
      <w:r w:rsidR="00EA1E1E" w:rsidRPr="00EA1E1E">
        <w:rPr>
          <w:rFonts w:ascii="Times New Roman" w:hAnsi="Times New Roman"/>
          <w:szCs w:val="24"/>
          <w:lang w:eastAsia="en-US"/>
        </w:rPr>
        <w:t>(2023/C 41/01)</w:t>
      </w:r>
      <w:r w:rsidR="00CF2263" w:rsidRPr="00CF2263">
        <w:rPr>
          <w:rFonts w:ascii="Times New Roman" w:hAnsi="Times New Roman"/>
          <w:szCs w:val="24"/>
          <w:lang w:eastAsia="en-US"/>
        </w:rPr>
        <w:t xml:space="preserve"> offers guidance to Member States on how to ensure that their minimum income schemes are effective in fighting poverty and promoting active inclusion in society and labour markets. Member States are recommended to: (i) Improve the adequacy of income support by 2030; (ii) improve the coverage and take-up of minimum income; (iii) improve access to inclusive labour markets; (iv) improve access to enabling and essential services, and (v) promote individualised support.</w:t>
      </w:r>
    </w:p>
    <w:p w14:paraId="0EA20C7C" w14:textId="40967328" w:rsidR="00DF007B" w:rsidRPr="00E24B55"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EA1E1E">
        <w:rPr>
          <w:rFonts w:ascii="Times New Roman" w:hAnsi="Times New Roman"/>
          <w:b/>
          <w:bCs/>
          <w:szCs w:val="24"/>
          <w:lang w:eastAsia="en-US"/>
        </w:rPr>
        <w:t>paragraph</w:t>
      </w:r>
      <w:r w:rsidR="008D21D4" w:rsidRPr="00EA1E1E">
        <w:rPr>
          <w:rFonts w:ascii="Times New Roman" w:hAnsi="Times New Roman"/>
          <w:b/>
          <w:bCs/>
          <w:szCs w:val="24"/>
          <w:lang w:eastAsia="en-US"/>
        </w:rPr>
        <w:t xml:space="preserve"> 38</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Pr>
          <w:rFonts w:ascii="Times New Roman" w:hAnsi="Times New Roman"/>
          <w:szCs w:val="24"/>
          <w:lang w:eastAsia="en-US"/>
        </w:rPr>
        <w:t xml:space="preserve"> </w:t>
      </w:r>
      <w:r w:rsidR="00DF007B">
        <w:rPr>
          <w:rFonts w:ascii="Times New Roman" w:hAnsi="Times New Roman"/>
          <w:szCs w:val="24"/>
          <w:lang w:eastAsia="en-US"/>
        </w:rPr>
        <w:t xml:space="preserve">EU actions to </w:t>
      </w:r>
      <w:r w:rsidR="00DF007B" w:rsidRPr="00E24B55">
        <w:rPr>
          <w:rFonts w:ascii="Times New Roman" w:hAnsi="Times New Roman"/>
          <w:b/>
          <w:bCs/>
          <w:szCs w:val="24"/>
          <w:lang w:eastAsia="en-US"/>
        </w:rPr>
        <w:t>meet the housing needs of all EU citizens</w:t>
      </w:r>
      <w:r w:rsidR="00DF007B">
        <w:rPr>
          <w:rFonts w:ascii="Times New Roman" w:hAnsi="Times New Roman"/>
          <w:szCs w:val="24"/>
          <w:lang w:eastAsia="en-US"/>
        </w:rPr>
        <w:t xml:space="preserve">, the </w:t>
      </w:r>
      <w:r w:rsidR="00DF007B" w:rsidRPr="00E24B55">
        <w:rPr>
          <w:rFonts w:ascii="Times New Roman" w:hAnsi="Times New Roman"/>
          <w:szCs w:val="24"/>
          <w:lang w:eastAsia="en-US"/>
        </w:rPr>
        <w:t xml:space="preserve">ERDF can support investments in infrastructure, equipment, and access to mainstream, non-segregated and accessible services in education, employment, housing, health- and social-care. In the 2021-2027 programmes, several Member State have programmed direct investments in social housing in the scope of social inclusion, amounting to approximately EUR 1 billion. In addition, several other investments – related to transport, energy efficiency, </w:t>
      </w:r>
      <w:proofErr w:type="gramStart"/>
      <w:r w:rsidR="00DF007B" w:rsidRPr="00E24B55">
        <w:rPr>
          <w:rFonts w:ascii="Times New Roman" w:hAnsi="Times New Roman"/>
          <w:szCs w:val="24"/>
          <w:lang w:eastAsia="en-US"/>
        </w:rPr>
        <w:t>climate</w:t>
      </w:r>
      <w:proofErr w:type="gramEnd"/>
      <w:r w:rsidR="00DF007B" w:rsidRPr="00E24B55">
        <w:rPr>
          <w:rFonts w:ascii="Times New Roman" w:hAnsi="Times New Roman"/>
          <w:szCs w:val="24"/>
          <w:lang w:eastAsia="en-US"/>
        </w:rPr>
        <w:t xml:space="preserve"> or environment – are also expected to have a positive impact on housing. For example, the support to energy efficiency in housing amounts to approximately EUR 6,2 billion. It is important that investments focus on measures which help reduce and/or eliminate the physical isolation. </w:t>
      </w:r>
    </w:p>
    <w:p w14:paraId="342C2873" w14:textId="2E66A3D9" w:rsidR="00341F14" w:rsidRPr="008D21D4" w:rsidRDefault="00FA696E" w:rsidP="00D01914">
      <w:pPr>
        <w:spacing w:after="120"/>
        <w:rPr>
          <w:rFonts w:ascii="Times New Roman" w:hAnsi="Times New Roman"/>
          <w:szCs w:val="24"/>
          <w:lang w:eastAsia="en-US"/>
        </w:rPr>
      </w:pPr>
      <w:r w:rsidRPr="005209EE">
        <w:rPr>
          <w:rFonts w:ascii="Times New Roman" w:hAnsi="Times New Roman"/>
          <w:szCs w:val="24"/>
          <w:lang w:eastAsia="en-US"/>
        </w:rPr>
        <w:lastRenderedPageBreak/>
        <w:t xml:space="preserve">Regarding </w:t>
      </w:r>
      <w:r w:rsidRPr="00EA1E1E">
        <w:rPr>
          <w:rFonts w:ascii="Times New Roman" w:hAnsi="Times New Roman"/>
          <w:b/>
          <w:bCs/>
          <w:szCs w:val="24"/>
          <w:lang w:eastAsia="en-US"/>
        </w:rPr>
        <w:t>paragraph</w:t>
      </w:r>
      <w:r w:rsidR="008D21D4" w:rsidRPr="00EA1E1E">
        <w:rPr>
          <w:rFonts w:ascii="Times New Roman" w:hAnsi="Times New Roman"/>
          <w:b/>
          <w:bCs/>
          <w:szCs w:val="24"/>
          <w:lang w:eastAsia="en-US"/>
        </w:rPr>
        <w:t xml:space="preserve"> 41</w:t>
      </w:r>
      <w:r w:rsidR="008D580B" w:rsidRPr="005209EE">
        <w:rPr>
          <w:rFonts w:ascii="Times New Roman" w:hAnsi="Times New Roman"/>
          <w:szCs w:val="24"/>
          <w:lang w:eastAsia="en-US"/>
        </w:rPr>
        <w:t xml:space="preserve">, which calls for </w:t>
      </w:r>
      <w:r w:rsidR="00341F14" w:rsidRPr="005209EE">
        <w:rPr>
          <w:rFonts w:ascii="Times New Roman" w:hAnsi="Times New Roman"/>
          <w:b/>
          <w:bCs/>
          <w:szCs w:val="24"/>
          <w:lang w:eastAsia="en-US"/>
        </w:rPr>
        <w:t>raising public awareness in order to put an end to the stigmatisation, stereotyping and social exclusion of children and families in vulnerable situations</w:t>
      </w:r>
      <w:r w:rsidR="008D21D4" w:rsidRPr="005209EE">
        <w:rPr>
          <w:rFonts w:ascii="Times New Roman" w:hAnsi="Times New Roman"/>
          <w:szCs w:val="24"/>
          <w:lang w:eastAsia="en-US"/>
        </w:rPr>
        <w:t>,</w:t>
      </w:r>
      <w:r w:rsidR="005209EE" w:rsidRPr="005209EE">
        <w:rPr>
          <w:rFonts w:ascii="Times New Roman" w:hAnsi="Times New Roman"/>
          <w:szCs w:val="24"/>
          <w:lang w:eastAsia="en-US"/>
        </w:rPr>
        <w:t xml:space="preserve"> paragraph 6</w:t>
      </w:r>
      <w:r w:rsidR="00362616">
        <w:rPr>
          <w:rFonts w:ascii="Times New Roman" w:hAnsi="Times New Roman"/>
          <w:szCs w:val="24"/>
          <w:lang w:eastAsia="en-US"/>
        </w:rPr>
        <w:t xml:space="preserve"> </w:t>
      </w:r>
      <w:r w:rsidR="005209EE" w:rsidRPr="005209EE">
        <w:rPr>
          <w:rFonts w:ascii="Times New Roman" w:hAnsi="Times New Roman"/>
          <w:szCs w:val="24"/>
          <w:lang w:eastAsia="en-US"/>
        </w:rPr>
        <w:t xml:space="preserve">(f) of the </w:t>
      </w:r>
      <w:r w:rsidR="00CE6D28">
        <w:rPr>
          <w:rFonts w:ascii="Times New Roman" w:hAnsi="Times New Roman"/>
          <w:szCs w:val="24"/>
          <w:lang w:eastAsia="en-US"/>
        </w:rPr>
        <w:t>European Child Guarantee</w:t>
      </w:r>
      <w:r w:rsidR="00CE6D28" w:rsidRPr="005209EE">
        <w:rPr>
          <w:rFonts w:ascii="Times New Roman" w:hAnsi="Times New Roman"/>
          <w:szCs w:val="24"/>
          <w:lang w:eastAsia="en-US"/>
        </w:rPr>
        <w:t xml:space="preserve"> </w:t>
      </w:r>
      <w:r w:rsidR="005209EE" w:rsidRPr="005209EE">
        <w:rPr>
          <w:rFonts w:ascii="Times New Roman" w:hAnsi="Times New Roman"/>
          <w:szCs w:val="24"/>
          <w:lang w:eastAsia="en-US"/>
        </w:rPr>
        <w:t>Recommendation guides Member States to avoid and tackle discrimination and stigmatisation of children in need, while its paragraph 11</w:t>
      </w:r>
      <w:r w:rsidR="00362616">
        <w:rPr>
          <w:rFonts w:ascii="Times New Roman" w:hAnsi="Times New Roman"/>
          <w:szCs w:val="24"/>
          <w:lang w:eastAsia="en-US"/>
        </w:rPr>
        <w:t xml:space="preserve"> </w:t>
      </w:r>
      <w:r w:rsidR="005209EE" w:rsidRPr="005209EE">
        <w:rPr>
          <w:rFonts w:ascii="Times New Roman" w:hAnsi="Times New Roman"/>
          <w:szCs w:val="24"/>
          <w:lang w:eastAsia="en-US"/>
        </w:rPr>
        <w:t xml:space="preserve">(d) stresses the importance of raising awareness and encouraging and facilitating the take-up of the services covered by the </w:t>
      </w:r>
      <w:r w:rsidR="00CE6D28">
        <w:rPr>
          <w:rFonts w:ascii="Times New Roman" w:hAnsi="Times New Roman"/>
          <w:szCs w:val="24"/>
          <w:lang w:eastAsia="en-US"/>
        </w:rPr>
        <w:t>G</w:t>
      </w:r>
      <w:r w:rsidR="005209EE" w:rsidRPr="005209EE">
        <w:rPr>
          <w:rFonts w:ascii="Times New Roman" w:hAnsi="Times New Roman"/>
          <w:szCs w:val="24"/>
          <w:lang w:eastAsia="en-US"/>
        </w:rPr>
        <w:t>uarantee.</w:t>
      </w:r>
      <w:r w:rsidR="008B4998">
        <w:rPr>
          <w:rFonts w:ascii="Times New Roman" w:hAnsi="Times New Roman"/>
          <w:szCs w:val="24"/>
          <w:lang w:eastAsia="en-US"/>
        </w:rPr>
        <w:t xml:space="preserve"> With Commission support, the national Child Guarantee Coordinators and are </w:t>
      </w:r>
      <w:r w:rsidR="00AD6274">
        <w:rPr>
          <w:rFonts w:ascii="Times New Roman" w:hAnsi="Times New Roman"/>
          <w:szCs w:val="24"/>
          <w:lang w:eastAsia="en-US"/>
        </w:rPr>
        <w:t>sharing good practices on how to best deliver on the above recommendations.</w:t>
      </w:r>
      <w:r w:rsidR="008B4998">
        <w:rPr>
          <w:rFonts w:ascii="Times New Roman" w:hAnsi="Times New Roman"/>
          <w:szCs w:val="24"/>
          <w:lang w:eastAsia="en-US"/>
        </w:rPr>
        <w:t xml:space="preserve"> </w:t>
      </w:r>
      <w:r w:rsidR="005209EE">
        <w:rPr>
          <w:rFonts w:ascii="Times New Roman" w:hAnsi="Times New Roman"/>
          <w:szCs w:val="24"/>
          <w:lang w:eastAsia="en-US"/>
        </w:rPr>
        <w:t xml:space="preserve"> </w:t>
      </w:r>
    </w:p>
    <w:p w14:paraId="77C19212" w14:textId="01776FD8" w:rsidR="00DF007B" w:rsidRDefault="00FA696E" w:rsidP="00D01914">
      <w:pPr>
        <w:spacing w:after="120"/>
        <w:rPr>
          <w:rFonts w:ascii="Times New Roman" w:hAnsi="Times New Roman"/>
          <w:szCs w:val="24"/>
          <w:lang w:eastAsia="en-US"/>
        </w:rPr>
      </w:pPr>
      <w:bookmarkStart w:id="3" w:name="_Hlk152930073"/>
      <w:r>
        <w:rPr>
          <w:rFonts w:ascii="Times New Roman" w:hAnsi="Times New Roman"/>
          <w:szCs w:val="24"/>
          <w:lang w:eastAsia="en-US"/>
        </w:rPr>
        <w:t xml:space="preserve">Regarding </w:t>
      </w:r>
      <w:r w:rsidRPr="00EA1E1E">
        <w:rPr>
          <w:rFonts w:ascii="Times New Roman" w:hAnsi="Times New Roman"/>
          <w:b/>
          <w:bCs/>
          <w:szCs w:val="24"/>
          <w:lang w:eastAsia="en-US"/>
        </w:rPr>
        <w:t>paragraph</w:t>
      </w:r>
      <w:r w:rsidR="008D21D4" w:rsidRPr="00EA1E1E">
        <w:rPr>
          <w:rFonts w:ascii="Times New Roman" w:hAnsi="Times New Roman"/>
          <w:b/>
          <w:bCs/>
          <w:szCs w:val="24"/>
          <w:lang w:eastAsia="en-US"/>
        </w:rPr>
        <w:t xml:space="preserve"> 42</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Pr>
          <w:rFonts w:ascii="Times New Roman" w:hAnsi="Times New Roman"/>
          <w:szCs w:val="24"/>
          <w:lang w:eastAsia="en-US"/>
        </w:rPr>
        <w:t xml:space="preserve"> </w:t>
      </w:r>
      <w:r w:rsidR="00DF007B" w:rsidRPr="00CF5D3B">
        <w:rPr>
          <w:rFonts w:ascii="Times New Roman" w:hAnsi="Times New Roman"/>
          <w:b/>
          <w:bCs/>
          <w:szCs w:val="24"/>
          <w:lang w:eastAsia="en-US"/>
        </w:rPr>
        <w:t>unique challenges faced by Roma children</w:t>
      </w:r>
      <w:r w:rsidR="00DF007B">
        <w:rPr>
          <w:rFonts w:ascii="Times New Roman" w:hAnsi="Times New Roman"/>
          <w:szCs w:val="24"/>
          <w:lang w:eastAsia="en-US"/>
        </w:rPr>
        <w:t>,</w:t>
      </w:r>
      <w:r w:rsidR="00DF007B" w:rsidRPr="007311FC">
        <w:rPr>
          <w:rFonts w:ascii="Times New Roman" w:hAnsi="Times New Roman"/>
          <w:szCs w:val="24"/>
          <w:lang w:eastAsia="en-US"/>
        </w:rPr>
        <w:t xml:space="preserve"> </w:t>
      </w:r>
      <w:r w:rsidR="00DF007B" w:rsidRPr="00CF5D3B">
        <w:rPr>
          <w:rFonts w:ascii="Times New Roman" w:hAnsi="Times New Roman"/>
          <w:szCs w:val="24"/>
          <w:lang w:eastAsia="en-US"/>
        </w:rPr>
        <w:t xml:space="preserve">the EU Roma Strategic Framework </w:t>
      </w:r>
      <w:r w:rsidR="004B4095" w:rsidRPr="004B4095">
        <w:rPr>
          <w:rFonts w:ascii="Times New Roman" w:hAnsi="Times New Roman"/>
          <w:szCs w:val="24"/>
          <w:lang w:eastAsia="en-US"/>
        </w:rPr>
        <w:t>for equality, inclusion and participation</w:t>
      </w:r>
      <w:r w:rsidR="004B4095">
        <w:rPr>
          <w:rFonts w:ascii="Times New Roman" w:hAnsi="Times New Roman"/>
          <w:szCs w:val="24"/>
          <w:lang w:eastAsia="en-US"/>
        </w:rPr>
        <w:t xml:space="preserve"> </w:t>
      </w:r>
      <w:r w:rsidR="002952B0">
        <w:rPr>
          <w:rFonts w:ascii="Times New Roman" w:hAnsi="Times New Roman"/>
          <w:szCs w:val="24"/>
          <w:lang w:eastAsia="en-US"/>
        </w:rPr>
        <w:t>(</w:t>
      </w:r>
      <w:proofErr w:type="gramStart"/>
      <w:r w:rsidR="002952B0" w:rsidRPr="002952B0">
        <w:rPr>
          <w:rFonts w:ascii="Times New Roman" w:hAnsi="Times New Roman"/>
          <w:szCs w:val="24"/>
          <w:lang w:eastAsia="en-US"/>
        </w:rPr>
        <w:t>COM(</w:t>
      </w:r>
      <w:proofErr w:type="gramEnd"/>
      <w:r w:rsidR="002952B0" w:rsidRPr="002952B0">
        <w:rPr>
          <w:rFonts w:ascii="Times New Roman" w:hAnsi="Times New Roman"/>
          <w:szCs w:val="24"/>
          <w:lang w:eastAsia="en-US"/>
        </w:rPr>
        <w:t>2020) 620 final</w:t>
      </w:r>
      <w:r w:rsidR="002952B0">
        <w:rPr>
          <w:rFonts w:ascii="Times New Roman" w:hAnsi="Times New Roman"/>
          <w:szCs w:val="24"/>
          <w:lang w:eastAsia="en-US"/>
        </w:rPr>
        <w:t>)</w:t>
      </w:r>
      <w:r w:rsidR="004B4095">
        <w:rPr>
          <w:rFonts w:ascii="Times New Roman" w:hAnsi="Times New Roman"/>
          <w:szCs w:val="24"/>
          <w:lang w:eastAsia="en-US"/>
        </w:rPr>
        <w:t xml:space="preserve"> </w:t>
      </w:r>
      <w:r w:rsidR="00DF007B">
        <w:rPr>
          <w:rFonts w:ascii="Times New Roman" w:hAnsi="Times New Roman"/>
          <w:szCs w:val="24"/>
          <w:lang w:eastAsia="en-US"/>
        </w:rPr>
        <w:t xml:space="preserve">sets as target for </w:t>
      </w:r>
      <w:r w:rsidR="00DF007B" w:rsidRPr="00CF5D3B">
        <w:rPr>
          <w:rFonts w:ascii="Times New Roman" w:hAnsi="Times New Roman"/>
          <w:szCs w:val="24"/>
          <w:lang w:eastAsia="en-US"/>
        </w:rPr>
        <w:t>2030 to cut by at least half the poverty gap between Roma and the general population</w:t>
      </w:r>
      <w:r w:rsidR="00DF007B">
        <w:rPr>
          <w:rFonts w:ascii="Times New Roman" w:hAnsi="Times New Roman"/>
          <w:szCs w:val="24"/>
          <w:lang w:eastAsia="en-US"/>
        </w:rPr>
        <w:t>, both across all age groups and among children</w:t>
      </w:r>
      <w:r w:rsidR="00DF007B" w:rsidRPr="00CF5D3B">
        <w:rPr>
          <w:rFonts w:ascii="Times New Roman" w:hAnsi="Times New Roman"/>
          <w:szCs w:val="24"/>
          <w:lang w:eastAsia="en-US"/>
        </w:rPr>
        <w:t>.</w:t>
      </w:r>
      <w:r w:rsidR="00DF007B">
        <w:rPr>
          <w:rFonts w:ascii="Times New Roman" w:hAnsi="Times New Roman"/>
          <w:szCs w:val="24"/>
          <w:lang w:eastAsia="en-US"/>
        </w:rPr>
        <w:t xml:space="preserve"> </w:t>
      </w:r>
      <w:r w:rsidR="004B4095">
        <w:rPr>
          <w:rFonts w:ascii="Times New Roman" w:hAnsi="Times New Roman"/>
          <w:szCs w:val="24"/>
          <w:lang w:eastAsia="en-US"/>
        </w:rPr>
        <w:t xml:space="preserve">It </w:t>
      </w:r>
      <w:r w:rsidR="00DF007B" w:rsidRPr="007311FC">
        <w:rPr>
          <w:rFonts w:ascii="Times New Roman" w:hAnsi="Times New Roman"/>
          <w:szCs w:val="24"/>
          <w:lang w:eastAsia="en-US"/>
        </w:rPr>
        <w:t xml:space="preserve">also invites Member States to implement measures to ensure the socio-economic inclusion of marginalised Roma, </w:t>
      </w:r>
      <w:proofErr w:type="gramStart"/>
      <w:r w:rsidR="00DF007B" w:rsidRPr="007311FC">
        <w:rPr>
          <w:rFonts w:ascii="Times New Roman" w:hAnsi="Times New Roman"/>
          <w:szCs w:val="24"/>
          <w:lang w:eastAsia="en-US"/>
        </w:rPr>
        <w:t>in particular in</w:t>
      </w:r>
      <w:proofErr w:type="gramEnd"/>
      <w:r w:rsidR="00DF007B" w:rsidRPr="007311FC">
        <w:rPr>
          <w:rFonts w:ascii="Times New Roman" w:hAnsi="Times New Roman"/>
          <w:szCs w:val="24"/>
          <w:lang w:eastAsia="en-US"/>
        </w:rPr>
        <w:t xml:space="preserve"> the areas of education, employment, health and housing.</w:t>
      </w:r>
      <w:r w:rsidR="00DF007B">
        <w:rPr>
          <w:rFonts w:ascii="Times New Roman" w:hAnsi="Times New Roman"/>
          <w:szCs w:val="24"/>
          <w:lang w:eastAsia="en-US"/>
        </w:rPr>
        <w:t xml:space="preserve"> </w:t>
      </w:r>
      <w:r w:rsidR="00DF007B" w:rsidRPr="00CF5D3B">
        <w:rPr>
          <w:rFonts w:ascii="Times New Roman" w:hAnsi="Times New Roman"/>
          <w:szCs w:val="24"/>
          <w:lang w:eastAsia="en-US"/>
        </w:rPr>
        <w:t>In January 2023, the Commission published a stock-taking of national Roma strategic frameworks, assessed the commitments made by the Member States and provided guidance for improvement</w:t>
      </w:r>
      <w:r w:rsidR="004B4095">
        <w:rPr>
          <w:rFonts w:ascii="Times New Roman" w:hAnsi="Times New Roman"/>
          <w:szCs w:val="24"/>
          <w:lang w:eastAsia="en-US"/>
        </w:rPr>
        <w:t>s</w:t>
      </w:r>
      <w:r w:rsidR="00DF007B" w:rsidRPr="00CF5D3B">
        <w:rPr>
          <w:rFonts w:ascii="Times New Roman" w:hAnsi="Times New Roman"/>
          <w:szCs w:val="24"/>
          <w:lang w:eastAsia="en-US"/>
        </w:rPr>
        <w:t xml:space="preserve"> needed (COM/2023/7 final). In its Communication, the Commission concluded that more effort was needed to tackle segregation in education and called on the Member States to step up their efforts to prevent and eradicate school and spatial segregation of Roma children, and to address the issue of misdiagnosis leading to the incorrect placement of Roma children in special needs education. The Commission also encouraged Member States to proactively identify and remove the obstacles that prevent Roma children from </w:t>
      </w:r>
      <w:r w:rsidR="004B4095">
        <w:rPr>
          <w:rFonts w:ascii="Times New Roman" w:hAnsi="Times New Roman"/>
          <w:lang w:eastAsia="en-US"/>
        </w:rPr>
        <w:t xml:space="preserve">attending early childhood education and care </w:t>
      </w:r>
      <w:r w:rsidR="00DF007B" w:rsidRPr="00CF5D3B">
        <w:rPr>
          <w:rFonts w:ascii="Times New Roman" w:hAnsi="Times New Roman"/>
          <w:szCs w:val="24"/>
          <w:lang w:eastAsia="en-US"/>
        </w:rPr>
        <w:t xml:space="preserve">and from receiving good quality education at all levels in non-segregated settings. It also made a strong call on Member States to </w:t>
      </w:r>
      <w:r w:rsidR="00120681">
        <w:rPr>
          <w:rFonts w:ascii="Times New Roman" w:hAnsi="Times New Roman"/>
          <w:szCs w:val="24"/>
          <w:lang w:eastAsia="en-US"/>
        </w:rPr>
        <w:t xml:space="preserve">fully </w:t>
      </w:r>
      <w:r w:rsidR="00DF007B" w:rsidRPr="00CF5D3B">
        <w:rPr>
          <w:rFonts w:ascii="Times New Roman" w:hAnsi="Times New Roman"/>
          <w:szCs w:val="24"/>
          <w:lang w:eastAsia="en-US"/>
        </w:rPr>
        <w:t xml:space="preserve">use EU funding (ESF+, ERDF, InvestEU and </w:t>
      </w:r>
      <w:r w:rsidR="004B4095">
        <w:rPr>
          <w:rFonts w:ascii="Times New Roman" w:hAnsi="Times New Roman"/>
          <w:lang w:eastAsia="en-US"/>
        </w:rPr>
        <w:t>the Recovery and Resilience Facility</w:t>
      </w:r>
      <w:r w:rsidR="00DF007B" w:rsidRPr="00CF5D3B">
        <w:rPr>
          <w:rFonts w:ascii="Times New Roman" w:hAnsi="Times New Roman"/>
          <w:szCs w:val="24"/>
          <w:lang w:eastAsia="en-US"/>
        </w:rPr>
        <w:t>) to help improve the living conditions and development prospects of marginalised Roma communities and of Roma living in low-income households at risk of poverty and social exclusion.</w:t>
      </w:r>
      <w:r w:rsidR="00DF007B">
        <w:rPr>
          <w:rFonts w:ascii="Times New Roman" w:hAnsi="Times New Roman"/>
          <w:szCs w:val="24"/>
          <w:lang w:eastAsia="en-US"/>
        </w:rPr>
        <w:t xml:space="preserve"> </w:t>
      </w:r>
      <w:r w:rsidR="00DF007B" w:rsidRPr="00CF5D3B">
        <w:rPr>
          <w:rFonts w:ascii="Times New Roman" w:hAnsi="Times New Roman"/>
          <w:szCs w:val="24"/>
          <w:lang w:eastAsia="en-US"/>
        </w:rPr>
        <w:t>On 19 April 2023, the Commission decided to refer Slovakia to the Court of Justice of the European Union for failing to effectively tackle the issue of segregation of Roma children in education.</w:t>
      </w:r>
      <w:bookmarkEnd w:id="3"/>
    </w:p>
    <w:p w14:paraId="53AA9F9C" w14:textId="49507422" w:rsidR="00E24B55" w:rsidRPr="00E24B55" w:rsidRDefault="00FA696E" w:rsidP="00D01914">
      <w:pPr>
        <w:spacing w:after="120"/>
        <w:rPr>
          <w:lang w:val="en-IE"/>
        </w:rPr>
      </w:pPr>
      <w:r>
        <w:rPr>
          <w:rFonts w:ascii="Times New Roman" w:hAnsi="Times New Roman"/>
          <w:szCs w:val="24"/>
          <w:lang w:eastAsia="en-US"/>
        </w:rPr>
        <w:t xml:space="preserve">Regarding </w:t>
      </w:r>
      <w:r w:rsidRPr="001103D2">
        <w:rPr>
          <w:rFonts w:ascii="Times New Roman" w:hAnsi="Times New Roman"/>
          <w:b/>
          <w:bCs/>
          <w:szCs w:val="24"/>
          <w:lang w:eastAsia="en-US"/>
        </w:rPr>
        <w:t>paragraph</w:t>
      </w:r>
      <w:r w:rsidR="008D580B" w:rsidRPr="001103D2">
        <w:rPr>
          <w:rFonts w:ascii="Times New Roman" w:hAnsi="Times New Roman"/>
          <w:b/>
          <w:bCs/>
          <w:szCs w:val="24"/>
          <w:lang w:eastAsia="en-US"/>
        </w:rPr>
        <w:t xml:space="preserve"> </w:t>
      </w:r>
      <w:r w:rsidR="008D21D4" w:rsidRPr="001103D2">
        <w:rPr>
          <w:rFonts w:ascii="Times New Roman" w:hAnsi="Times New Roman"/>
          <w:b/>
          <w:bCs/>
          <w:szCs w:val="24"/>
          <w:lang w:eastAsia="en-US"/>
        </w:rPr>
        <w:t>46</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calls</w:t>
      </w:r>
      <w:r w:rsidR="008D580B" w:rsidRPr="00F42348">
        <w:rPr>
          <w:rFonts w:ascii="Times New Roman" w:hAnsi="Times New Roman"/>
          <w:szCs w:val="24"/>
          <w:lang w:eastAsia="en-US"/>
        </w:rPr>
        <w:t xml:space="preserve"> for</w:t>
      </w:r>
      <w:r w:rsidR="008D580B">
        <w:rPr>
          <w:rFonts w:ascii="Times New Roman" w:hAnsi="Times New Roman"/>
          <w:szCs w:val="24"/>
          <w:lang w:eastAsia="en-US"/>
        </w:rPr>
        <w:t xml:space="preserve"> </w:t>
      </w:r>
      <w:r w:rsidR="00E24B55" w:rsidRPr="00E24B55">
        <w:rPr>
          <w:rFonts w:ascii="Times New Roman" w:hAnsi="Times New Roman"/>
          <w:b/>
          <w:bCs/>
          <w:szCs w:val="24"/>
          <w:lang w:eastAsia="en-US"/>
        </w:rPr>
        <w:t>active combatting of child trafficking and any form of exploitation</w:t>
      </w:r>
      <w:r w:rsidR="00E24B55" w:rsidRPr="00E24B55">
        <w:rPr>
          <w:rFonts w:ascii="Times New Roman" w:hAnsi="Times New Roman"/>
          <w:szCs w:val="24"/>
          <w:lang w:eastAsia="en-US"/>
        </w:rPr>
        <w:t xml:space="preserve">, </w:t>
      </w:r>
      <w:r w:rsidR="008D21D4">
        <w:rPr>
          <w:rFonts w:ascii="Times New Roman" w:hAnsi="Times New Roman"/>
          <w:szCs w:val="24"/>
          <w:lang w:eastAsia="en-US"/>
        </w:rPr>
        <w:t xml:space="preserve">the </w:t>
      </w:r>
      <w:r w:rsidR="00E24B55">
        <w:rPr>
          <w:rFonts w:ascii="Times New Roman" w:hAnsi="Times New Roman"/>
          <w:szCs w:val="24"/>
          <w:lang w:eastAsia="en-US"/>
        </w:rPr>
        <w:t xml:space="preserve">Commission </w:t>
      </w:r>
      <w:r w:rsidR="008D21D4">
        <w:rPr>
          <w:rFonts w:ascii="Times New Roman" w:hAnsi="Times New Roman"/>
          <w:szCs w:val="24"/>
          <w:lang w:eastAsia="en-US"/>
        </w:rPr>
        <w:t xml:space="preserve">annually </w:t>
      </w:r>
      <w:r w:rsidR="00E24B55">
        <w:rPr>
          <w:rFonts w:ascii="Times New Roman" w:hAnsi="Times New Roman"/>
          <w:szCs w:val="24"/>
          <w:lang w:eastAsia="en-US"/>
        </w:rPr>
        <w:t xml:space="preserve">collects data from the Member States, which indicate that </w:t>
      </w:r>
      <w:r w:rsidR="00E24B55" w:rsidRPr="00E24B55">
        <w:rPr>
          <w:rFonts w:ascii="Times New Roman" w:hAnsi="Times New Roman"/>
          <w:szCs w:val="24"/>
          <w:lang w:eastAsia="en-US"/>
        </w:rPr>
        <w:t>almost one in four victims of trafficking in human beings registered within the EU is a child</w:t>
      </w:r>
      <w:r w:rsidR="00E24B55">
        <w:rPr>
          <w:rFonts w:ascii="Times New Roman" w:hAnsi="Times New Roman"/>
          <w:szCs w:val="24"/>
          <w:lang w:eastAsia="en-US"/>
        </w:rPr>
        <w:t xml:space="preserve">, and that </w:t>
      </w:r>
      <w:r w:rsidR="003B0F74">
        <w:rPr>
          <w:rFonts w:ascii="Times New Roman" w:hAnsi="Times New Roman"/>
          <w:szCs w:val="24"/>
          <w:lang w:eastAsia="en-US"/>
        </w:rPr>
        <w:t>most</w:t>
      </w:r>
      <w:r w:rsidR="00E24B55" w:rsidRPr="00E24B55">
        <w:rPr>
          <w:rFonts w:ascii="Times New Roman" w:hAnsi="Times New Roman"/>
          <w:szCs w:val="24"/>
          <w:lang w:eastAsia="en-US"/>
        </w:rPr>
        <w:t xml:space="preserve"> registered child victims are trafficked for sexual exploitation, but also for forced begging, criminality, </w:t>
      </w:r>
      <w:proofErr w:type="gramStart"/>
      <w:r w:rsidR="00E24B55" w:rsidRPr="00E24B55">
        <w:rPr>
          <w:rFonts w:ascii="Times New Roman" w:hAnsi="Times New Roman"/>
          <w:szCs w:val="24"/>
          <w:lang w:eastAsia="en-US"/>
        </w:rPr>
        <w:t>labour</w:t>
      </w:r>
      <w:proofErr w:type="gramEnd"/>
      <w:r w:rsidR="00E24B55" w:rsidRPr="00E24B55">
        <w:rPr>
          <w:rFonts w:ascii="Times New Roman" w:hAnsi="Times New Roman"/>
          <w:szCs w:val="24"/>
          <w:lang w:eastAsia="en-US"/>
        </w:rPr>
        <w:t xml:space="preserve"> and other forms of exploitation. Children are at particular risk of falling victim to traffickers online. The Commission and the Member States are taking actions to combat trafficking of children for all forms of exploitation. Directive 2011/36/EU on preventing and combating trafficking in human beings and protecting its victims takes a child-specific approach and includes specific provisions addressing child victims. Under the directive, children are always considered vulnerable, what results with higher penalties for the traffickers. Moreover, in case of children, not all constitutive elements of a trafficking offence must be fulfilled to qualify it trafficking. The </w:t>
      </w:r>
      <w:r w:rsidR="003B0F74">
        <w:rPr>
          <w:rFonts w:ascii="Times New Roman" w:hAnsi="Times New Roman"/>
          <w:szCs w:val="24"/>
          <w:lang w:eastAsia="en-US"/>
        </w:rPr>
        <w:t>d</w:t>
      </w:r>
      <w:r w:rsidR="00E24B55" w:rsidRPr="00E24B55">
        <w:rPr>
          <w:rFonts w:ascii="Times New Roman" w:hAnsi="Times New Roman"/>
          <w:szCs w:val="24"/>
          <w:lang w:eastAsia="en-US"/>
        </w:rPr>
        <w:t>irective contains detailed provisions on the assistance and support to child victims, as well as their protection in criminal proceedings, including specific provisions on unaccompanied children.</w:t>
      </w:r>
      <w:r w:rsidR="00E24B55" w:rsidRPr="00E24B55">
        <w:rPr>
          <w:lang w:val="en-IE"/>
        </w:rPr>
        <w:t xml:space="preserve"> </w:t>
      </w:r>
      <w:r w:rsidR="00E24B55" w:rsidRPr="00E24B55">
        <w:rPr>
          <w:rFonts w:ascii="Times New Roman" w:hAnsi="Times New Roman"/>
          <w:szCs w:val="24"/>
          <w:lang w:eastAsia="en-US"/>
        </w:rPr>
        <w:t xml:space="preserve">The 2021 Commission Communication on the EU Strategy on Combatting Trafficking in Human Beings 2021-2025 (COM/2021/171 final) takes a comprehensive approach, from prevention to conviction of criminals while emphasising the protection of victims at all stages, </w:t>
      </w:r>
      <w:proofErr w:type="gramStart"/>
      <w:r w:rsidR="00E24B55" w:rsidRPr="00E24B55">
        <w:rPr>
          <w:rFonts w:ascii="Times New Roman" w:hAnsi="Times New Roman"/>
          <w:szCs w:val="24"/>
          <w:lang w:eastAsia="en-US"/>
        </w:rPr>
        <w:t>taking into account</w:t>
      </w:r>
      <w:proofErr w:type="gramEnd"/>
      <w:r w:rsidR="00E24B55" w:rsidRPr="00E24B55">
        <w:rPr>
          <w:rFonts w:ascii="Times New Roman" w:hAnsi="Times New Roman"/>
          <w:szCs w:val="24"/>
          <w:lang w:eastAsia="en-US"/>
        </w:rPr>
        <w:t xml:space="preserve"> in particular child victims. As one of the key actions of the EU Strategy, the Commission carried out an evaluation of the Anti-trafficking </w:t>
      </w:r>
      <w:proofErr w:type="gramStart"/>
      <w:r w:rsidR="00E24B55" w:rsidRPr="00E24B55">
        <w:rPr>
          <w:rFonts w:ascii="Times New Roman" w:hAnsi="Times New Roman"/>
          <w:szCs w:val="24"/>
          <w:lang w:eastAsia="en-US"/>
        </w:rPr>
        <w:t xml:space="preserve">Directive, </w:t>
      </w:r>
      <w:r w:rsidR="006108CF">
        <w:rPr>
          <w:rFonts w:ascii="Times New Roman" w:hAnsi="Times New Roman"/>
          <w:szCs w:val="24"/>
          <w:lang w:eastAsia="en-US"/>
        </w:rPr>
        <w:t>and</w:t>
      </w:r>
      <w:proofErr w:type="gramEnd"/>
      <w:r w:rsidR="00E24B55" w:rsidRPr="00E24B55">
        <w:rPr>
          <w:rFonts w:ascii="Times New Roman" w:hAnsi="Times New Roman"/>
          <w:szCs w:val="24"/>
          <w:lang w:eastAsia="en-US"/>
        </w:rPr>
        <w:t xml:space="preserve"> proposed targeted amendments. The Commission’s proposal includes the addition of </w:t>
      </w:r>
      <w:r w:rsidR="00E24B55" w:rsidRPr="00E24B55">
        <w:rPr>
          <w:rFonts w:ascii="Times New Roman" w:hAnsi="Times New Roman"/>
          <w:szCs w:val="24"/>
          <w:lang w:eastAsia="en-US"/>
        </w:rPr>
        <w:lastRenderedPageBreak/>
        <w:t xml:space="preserve">forced marriage and illegal adoption among the forms of exploitation criminalised under the directive, with the aim to enhance the criminal justice response to those phenomena, which are growing concerns. </w:t>
      </w:r>
    </w:p>
    <w:p w14:paraId="780CB016" w14:textId="7F4085A8" w:rsidR="00E24B55" w:rsidRDefault="00E24B55" w:rsidP="00D01914">
      <w:pPr>
        <w:spacing w:after="120"/>
        <w:rPr>
          <w:rFonts w:ascii="Times New Roman" w:hAnsi="Times New Roman"/>
          <w:szCs w:val="24"/>
          <w:lang w:eastAsia="en-US"/>
        </w:rPr>
      </w:pPr>
      <w:r w:rsidRPr="00E24B55">
        <w:rPr>
          <w:rFonts w:ascii="Times New Roman" w:hAnsi="Times New Roman"/>
          <w:szCs w:val="24"/>
          <w:lang w:eastAsia="en-US"/>
        </w:rPr>
        <w:t xml:space="preserve">Operational actions addressing child trafficking are conducted by the Member States with the support of the EU Agencies within the framework of the European Multidisciplinary Platform Against Criminal Threats (EMPACT), which aim at detecting criminal networks and identify potential victims. For instance, a global operation against trafficking in human beings was conducted in May 2023 with the support of </w:t>
      </w:r>
      <w:r w:rsidR="003B0F74">
        <w:rPr>
          <w:rFonts w:ascii="Times New Roman" w:hAnsi="Times New Roman"/>
          <w:szCs w:val="24"/>
          <w:lang w:eastAsia="en-US"/>
        </w:rPr>
        <w:t xml:space="preserve">the </w:t>
      </w:r>
      <w:r w:rsidR="003B0F74" w:rsidRPr="003B0F74">
        <w:rPr>
          <w:rFonts w:ascii="Times New Roman" w:hAnsi="Times New Roman"/>
          <w:szCs w:val="24"/>
          <w:lang w:eastAsia="en-US"/>
        </w:rPr>
        <w:t xml:space="preserve">European Union Agency for Law Enforcement Cooperation </w:t>
      </w:r>
      <w:r w:rsidR="003B0F74">
        <w:rPr>
          <w:rFonts w:ascii="Times New Roman" w:hAnsi="Times New Roman"/>
          <w:szCs w:val="24"/>
          <w:lang w:eastAsia="en-US"/>
        </w:rPr>
        <w:t>(</w:t>
      </w:r>
      <w:r w:rsidRPr="00E24B55">
        <w:rPr>
          <w:rFonts w:ascii="Times New Roman" w:hAnsi="Times New Roman"/>
          <w:szCs w:val="24"/>
          <w:lang w:eastAsia="en-US"/>
        </w:rPr>
        <w:t>Europol</w:t>
      </w:r>
      <w:r w:rsidR="003B0F74">
        <w:rPr>
          <w:rFonts w:ascii="Times New Roman" w:hAnsi="Times New Roman"/>
          <w:szCs w:val="24"/>
          <w:lang w:eastAsia="en-US"/>
        </w:rPr>
        <w:t>)</w:t>
      </w:r>
      <w:r w:rsidRPr="00E24B55">
        <w:rPr>
          <w:rFonts w:ascii="Times New Roman" w:hAnsi="Times New Roman"/>
          <w:szCs w:val="24"/>
          <w:lang w:eastAsia="en-US"/>
        </w:rPr>
        <w:t xml:space="preserve"> and</w:t>
      </w:r>
      <w:r w:rsidR="003B0F74">
        <w:rPr>
          <w:rFonts w:ascii="Times New Roman" w:hAnsi="Times New Roman"/>
          <w:szCs w:val="24"/>
          <w:lang w:eastAsia="en-US"/>
        </w:rPr>
        <w:t xml:space="preserve"> the</w:t>
      </w:r>
      <w:r w:rsidRPr="00E24B55">
        <w:rPr>
          <w:rFonts w:ascii="Times New Roman" w:hAnsi="Times New Roman"/>
          <w:szCs w:val="24"/>
          <w:lang w:eastAsia="en-US"/>
        </w:rPr>
        <w:t xml:space="preserve"> </w:t>
      </w:r>
      <w:r w:rsidR="003B0F74" w:rsidRPr="003B0F74">
        <w:rPr>
          <w:rFonts w:ascii="Times New Roman" w:hAnsi="Times New Roman"/>
          <w:szCs w:val="24"/>
          <w:lang w:eastAsia="en-US"/>
        </w:rPr>
        <w:t>European Border and Coast Guard Agency</w:t>
      </w:r>
      <w:r w:rsidR="003B0F74">
        <w:rPr>
          <w:rFonts w:ascii="Times New Roman" w:hAnsi="Times New Roman"/>
          <w:szCs w:val="24"/>
          <w:lang w:eastAsia="en-US"/>
        </w:rPr>
        <w:t xml:space="preserve"> (</w:t>
      </w:r>
      <w:r w:rsidRPr="00E24B55">
        <w:rPr>
          <w:rFonts w:ascii="Times New Roman" w:hAnsi="Times New Roman"/>
          <w:szCs w:val="24"/>
          <w:lang w:eastAsia="en-US"/>
        </w:rPr>
        <w:t>Frontex</w:t>
      </w:r>
      <w:r w:rsidR="003B0F74">
        <w:rPr>
          <w:rFonts w:ascii="Times New Roman" w:hAnsi="Times New Roman"/>
          <w:szCs w:val="24"/>
          <w:lang w:eastAsia="en-US"/>
        </w:rPr>
        <w:t>)</w:t>
      </w:r>
      <w:r w:rsidRPr="00E24B55">
        <w:rPr>
          <w:rFonts w:ascii="Times New Roman" w:hAnsi="Times New Roman"/>
          <w:szCs w:val="24"/>
          <w:lang w:eastAsia="en-US"/>
        </w:rPr>
        <w:t xml:space="preserve">, aiming at detecting and disrupting organised crime groups involved in child trafficking, among others. The vulnerability of children to trafficking in human beings is addressed from the funding angle, with specific actions to combat child trafficking under the Internal Security Fund and for the assistance, </w:t>
      </w:r>
      <w:proofErr w:type="gramStart"/>
      <w:r w:rsidRPr="00E24B55">
        <w:rPr>
          <w:rFonts w:ascii="Times New Roman" w:hAnsi="Times New Roman"/>
          <w:szCs w:val="24"/>
          <w:lang w:eastAsia="en-US"/>
        </w:rPr>
        <w:t>support</w:t>
      </w:r>
      <w:proofErr w:type="gramEnd"/>
      <w:r w:rsidRPr="00E24B55">
        <w:rPr>
          <w:rFonts w:ascii="Times New Roman" w:hAnsi="Times New Roman"/>
          <w:szCs w:val="24"/>
          <w:lang w:eastAsia="en-US"/>
        </w:rPr>
        <w:t xml:space="preserve"> and</w:t>
      </w:r>
      <w:r w:rsidR="00D64DC8">
        <w:rPr>
          <w:rFonts w:ascii="Times New Roman" w:hAnsi="Times New Roman"/>
          <w:szCs w:val="24"/>
          <w:lang w:eastAsia="en-US"/>
        </w:rPr>
        <w:t xml:space="preserve"> early</w:t>
      </w:r>
      <w:r w:rsidRPr="00E24B55">
        <w:rPr>
          <w:rFonts w:ascii="Times New Roman" w:hAnsi="Times New Roman"/>
          <w:szCs w:val="24"/>
          <w:lang w:eastAsia="en-US"/>
        </w:rPr>
        <w:t xml:space="preserve"> integration of non-EU child victims of trafficking under the Asylum, Migration and Integration Fund. The EU is also addressing the special protection needs of children, including children in migration, who are victims of trafficking in its thematic and geographical funding and partnerships with non-EU countries of origin and transit of victims of trafficking in human beings. A Common Anti-Trafficking Plan to address the risks of trafficking in human beings and support potential victims among those fleeing the war in Ukraine was developed and has been implemented under the lead of the EU Anti-Trafficking Coordinator, in cooperation with the Member States, the EU agencies, civil society organisations and Ukraine and Moldova. The plan takes a child-rights based approach to address the </w:t>
      </w:r>
      <w:proofErr w:type="gramStart"/>
      <w:r w:rsidRPr="00E24B55">
        <w:rPr>
          <w:rFonts w:ascii="Times New Roman" w:hAnsi="Times New Roman"/>
          <w:szCs w:val="24"/>
          <w:lang w:eastAsia="en-US"/>
        </w:rPr>
        <w:t>particular vulnerability</w:t>
      </w:r>
      <w:proofErr w:type="gramEnd"/>
      <w:r w:rsidRPr="00E24B55">
        <w:rPr>
          <w:rFonts w:ascii="Times New Roman" w:hAnsi="Times New Roman"/>
          <w:szCs w:val="24"/>
          <w:lang w:eastAsia="en-US"/>
        </w:rPr>
        <w:t xml:space="preserve"> of children, including unaccompanied and separated children. </w:t>
      </w:r>
    </w:p>
    <w:p w14:paraId="61733AEA" w14:textId="38EAF2BD" w:rsidR="00847051" w:rsidRPr="00847051" w:rsidRDefault="00847051"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2952B0">
        <w:rPr>
          <w:rFonts w:ascii="Times New Roman" w:hAnsi="Times New Roman"/>
          <w:b/>
          <w:bCs/>
          <w:szCs w:val="24"/>
          <w:lang w:eastAsia="en-US"/>
        </w:rPr>
        <w:t>paragraph 50</w:t>
      </w:r>
      <w:r w:rsidRPr="00F42348">
        <w:rPr>
          <w:rFonts w:ascii="Times New Roman" w:hAnsi="Times New Roman"/>
          <w:szCs w:val="24"/>
          <w:lang w:eastAsia="en-US"/>
        </w:rPr>
        <w:t>,</w:t>
      </w:r>
      <w:r>
        <w:rPr>
          <w:rFonts w:ascii="Times New Roman" w:hAnsi="Times New Roman"/>
          <w:szCs w:val="24"/>
          <w:lang w:eastAsia="en-US"/>
        </w:rPr>
        <w:t xml:space="preserve"> which calls</w:t>
      </w:r>
      <w:r w:rsidRPr="00F42348">
        <w:rPr>
          <w:rFonts w:ascii="Times New Roman" w:hAnsi="Times New Roman"/>
          <w:szCs w:val="24"/>
          <w:lang w:eastAsia="en-US"/>
        </w:rPr>
        <w:t xml:space="preserve"> for</w:t>
      </w:r>
      <w:r>
        <w:rPr>
          <w:rFonts w:ascii="Times New Roman" w:hAnsi="Times New Roman"/>
          <w:szCs w:val="24"/>
          <w:lang w:eastAsia="en-US"/>
        </w:rPr>
        <w:t xml:space="preserve"> </w:t>
      </w:r>
      <w:r w:rsidRPr="00847051">
        <w:rPr>
          <w:rFonts w:ascii="Times New Roman" w:hAnsi="Times New Roman"/>
          <w:b/>
          <w:bCs/>
          <w:szCs w:val="24"/>
          <w:lang w:eastAsia="en-US"/>
        </w:rPr>
        <w:t>developing guidelines to support the participation of children in the policy-making process</w:t>
      </w:r>
      <w:r>
        <w:rPr>
          <w:rFonts w:ascii="Times New Roman" w:hAnsi="Times New Roman"/>
          <w:b/>
          <w:bCs/>
          <w:szCs w:val="24"/>
          <w:lang w:eastAsia="en-US"/>
        </w:rPr>
        <w:t xml:space="preserve">, </w:t>
      </w:r>
      <w:r w:rsidRPr="00847051">
        <w:rPr>
          <w:rFonts w:ascii="Times New Roman" w:hAnsi="Times New Roman"/>
          <w:szCs w:val="24"/>
          <w:lang w:eastAsia="en-US"/>
        </w:rPr>
        <w:t xml:space="preserve">the Commission has set up an </w:t>
      </w:r>
      <w:hyperlink r:id="rId24" w:history="1">
        <w:r w:rsidRPr="00552B6F">
          <w:rPr>
            <w:rStyle w:val="Hyperlink"/>
            <w:rFonts w:ascii="Times New Roman" w:hAnsi="Times New Roman"/>
            <w:szCs w:val="24"/>
            <w:lang w:eastAsia="en-US"/>
          </w:rPr>
          <w:t>EU Children’s Participation Platform</w:t>
        </w:r>
      </w:hyperlink>
      <w:r w:rsidRPr="00847051">
        <w:rPr>
          <w:rFonts w:ascii="Times New Roman" w:hAnsi="Times New Roman"/>
          <w:szCs w:val="24"/>
          <w:lang w:eastAsia="en-US"/>
        </w:rPr>
        <w:t xml:space="preserve">. </w:t>
      </w:r>
      <w:r w:rsidR="00B907B1">
        <w:rPr>
          <w:rFonts w:ascii="Times New Roman" w:hAnsi="Times New Roman"/>
          <w:szCs w:val="24"/>
          <w:lang w:eastAsia="en-US"/>
        </w:rPr>
        <w:t>The Platform</w:t>
      </w:r>
      <w:r w:rsidRPr="00847051">
        <w:rPr>
          <w:rFonts w:ascii="Times New Roman" w:hAnsi="Times New Roman"/>
          <w:szCs w:val="24"/>
          <w:lang w:eastAsia="en-US"/>
        </w:rPr>
        <w:t xml:space="preserve"> is working towards a more systemic, coherent, meaningful, </w:t>
      </w:r>
      <w:proofErr w:type="gramStart"/>
      <w:r w:rsidRPr="00847051">
        <w:rPr>
          <w:rFonts w:ascii="Times New Roman" w:hAnsi="Times New Roman"/>
          <w:szCs w:val="24"/>
          <w:lang w:eastAsia="en-US"/>
        </w:rPr>
        <w:t>inclusive</w:t>
      </w:r>
      <w:proofErr w:type="gramEnd"/>
      <w:r w:rsidRPr="00847051">
        <w:rPr>
          <w:rFonts w:ascii="Times New Roman" w:hAnsi="Times New Roman"/>
          <w:szCs w:val="24"/>
          <w:lang w:eastAsia="en-US"/>
        </w:rPr>
        <w:t xml:space="preserve"> and safe approach to child participation, and involves children in the EU decision-making process. This hub brings together existing child participation mechanisms from 20 countries, after a year of implementation in partnership with the European Parliament, civil </w:t>
      </w:r>
      <w:proofErr w:type="gramStart"/>
      <w:r w:rsidRPr="00847051">
        <w:rPr>
          <w:rFonts w:ascii="Times New Roman" w:hAnsi="Times New Roman"/>
          <w:szCs w:val="24"/>
          <w:lang w:eastAsia="en-US"/>
        </w:rPr>
        <w:t>society</w:t>
      </w:r>
      <w:proofErr w:type="gramEnd"/>
      <w:r w:rsidRPr="00847051">
        <w:rPr>
          <w:rFonts w:ascii="Times New Roman" w:hAnsi="Times New Roman"/>
          <w:szCs w:val="24"/>
          <w:lang w:eastAsia="en-US"/>
        </w:rPr>
        <w:t xml:space="preserve"> and children themselves.</w:t>
      </w:r>
    </w:p>
    <w:p w14:paraId="43DCCC35" w14:textId="6F644474" w:rsidR="00806445" w:rsidRPr="00CF5D3B" w:rsidRDefault="00FA696E" w:rsidP="00D01914">
      <w:pPr>
        <w:spacing w:after="120"/>
        <w:rPr>
          <w:rFonts w:ascii="Times New Roman" w:hAnsi="Times New Roman"/>
          <w:szCs w:val="24"/>
          <w:lang w:eastAsia="en-US"/>
        </w:rPr>
      </w:pPr>
      <w:r>
        <w:rPr>
          <w:rFonts w:ascii="Times New Roman" w:hAnsi="Times New Roman"/>
          <w:szCs w:val="24"/>
          <w:lang w:eastAsia="en-US"/>
        </w:rPr>
        <w:t xml:space="preserve">Regarding </w:t>
      </w:r>
      <w:r w:rsidRPr="002952B0">
        <w:rPr>
          <w:rFonts w:ascii="Times New Roman" w:hAnsi="Times New Roman"/>
          <w:b/>
          <w:bCs/>
          <w:szCs w:val="24"/>
          <w:lang w:eastAsia="en-US"/>
        </w:rPr>
        <w:t>paragraph</w:t>
      </w:r>
      <w:r w:rsidR="008D21D4" w:rsidRPr="002952B0">
        <w:rPr>
          <w:rFonts w:ascii="Times New Roman" w:hAnsi="Times New Roman"/>
          <w:b/>
          <w:bCs/>
          <w:szCs w:val="24"/>
          <w:lang w:eastAsia="en-US"/>
        </w:rPr>
        <w:t xml:space="preserve"> 51</w:t>
      </w:r>
      <w:r w:rsidR="008D580B" w:rsidRPr="00F42348">
        <w:rPr>
          <w:rFonts w:ascii="Times New Roman" w:hAnsi="Times New Roman"/>
          <w:szCs w:val="24"/>
          <w:lang w:eastAsia="en-US"/>
        </w:rPr>
        <w:t>,</w:t>
      </w:r>
      <w:r w:rsidR="008D580B">
        <w:rPr>
          <w:rFonts w:ascii="Times New Roman" w:hAnsi="Times New Roman"/>
          <w:szCs w:val="24"/>
          <w:lang w:eastAsia="en-US"/>
        </w:rPr>
        <w:t xml:space="preserve"> which </w:t>
      </w:r>
      <w:r w:rsidR="008D21D4">
        <w:rPr>
          <w:rFonts w:ascii="Times New Roman" w:hAnsi="Times New Roman"/>
          <w:szCs w:val="24"/>
          <w:lang w:eastAsia="en-US"/>
        </w:rPr>
        <w:t>emphasises</w:t>
      </w:r>
      <w:r w:rsidR="008D580B">
        <w:rPr>
          <w:rFonts w:ascii="Times New Roman" w:hAnsi="Times New Roman"/>
          <w:szCs w:val="24"/>
          <w:lang w:eastAsia="en-US"/>
        </w:rPr>
        <w:t xml:space="preserve"> </w:t>
      </w:r>
      <w:r w:rsidR="00806445" w:rsidRPr="00806445">
        <w:rPr>
          <w:rFonts w:ascii="Times New Roman" w:hAnsi="Times New Roman"/>
          <w:b/>
          <w:bCs/>
          <w:szCs w:val="24"/>
          <w:lang w:eastAsia="en-US"/>
        </w:rPr>
        <w:t>the right to play and recreational activity as a structural element of children’s overall development</w:t>
      </w:r>
      <w:r w:rsidR="00806445">
        <w:rPr>
          <w:rFonts w:ascii="Times New Roman" w:hAnsi="Times New Roman"/>
          <w:szCs w:val="24"/>
          <w:lang w:eastAsia="en-US"/>
        </w:rPr>
        <w:t>, the Commission points that the C</w:t>
      </w:r>
      <w:r w:rsidR="00806445" w:rsidRPr="00806445">
        <w:rPr>
          <w:rFonts w:ascii="Times New Roman" w:hAnsi="Times New Roman"/>
          <w:szCs w:val="24"/>
          <w:lang w:eastAsia="en-US"/>
        </w:rPr>
        <w:t>ouncil recommendation on Pathways to School Success considers pupils’ well-being as a prerequisite</w:t>
      </w:r>
      <w:r w:rsidR="00806445">
        <w:rPr>
          <w:rFonts w:ascii="Times New Roman" w:hAnsi="Times New Roman"/>
          <w:szCs w:val="24"/>
          <w:lang w:eastAsia="en-US"/>
        </w:rPr>
        <w:t xml:space="preserve"> to and an inherent element of </w:t>
      </w:r>
      <w:r w:rsidR="00806445" w:rsidRPr="00806445">
        <w:rPr>
          <w:rFonts w:ascii="Times New Roman" w:hAnsi="Times New Roman"/>
          <w:szCs w:val="24"/>
          <w:lang w:eastAsia="en-US"/>
        </w:rPr>
        <w:t xml:space="preserve">academic success. The prevention and intervention measures of the policy framework for school success call on the inclusion of social and emotional education, bullying prevention and mental and physical health in curricula, from </w:t>
      </w:r>
      <w:r w:rsidR="002952B0">
        <w:rPr>
          <w:rFonts w:ascii="Times New Roman" w:hAnsi="Times New Roman"/>
          <w:szCs w:val="24"/>
          <w:lang w:eastAsia="en-US"/>
        </w:rPr>
        <w:t xml:space="preserve">early childhood education and care </w:t>
      </w:r>
      <w:r w:rsidR="00806445" w:rsidRPr="00806445">
        <w:rPr>
          <w:rFonts w:ascii="Times New Roman" w:hAnsi="Times New Roman"/>
          <w:szCs w:val="24"/>
          <w:lang w:eastAsia="en-US"/>
        </w:rPr>
        <w:t>to upper-secondary education and training.</w:t>
      </w:r>
      <w:r w:rsidR="00806445">
        <w:rPr>
          <w:rFonts w:ascii="Times New Roman" w:hAnsi="Times New Roman"/>
          <w:szCs w:val="24"/>
          <w:lang w:eastAsia="en-US"/>
        </w:rPr>
        <w:t xml:space="preserve"> </w:t>
      </w:r>
      <w:r w:rsidR="00806445" w:rsidRPr="00806445">
        <w:rPr>
          <w:rFonts w:ascii="Times New Roman" w:hAnsi="Times New Roman"/>
          <w:szCs w:val="24"/>
          <w:lang w:eastAsia="en-US"/>
        </w:rPr>
        <w:t xml:space="preserve">To further advance on this issue, the Commission launched </w:t>
      </w:r>
      <w:r w:rsidR="00D65C3A">
        <w:rPr>
          <w:rFonts w:ascii="Times New Roman" w:hAnsi="Times New Roman"/>
          <w:szCs w:val="24"/>
          <w:lang w:eastAsia="en-US"/>
        </w:rPr>
        <w:t>in</w:t>
      </w:r>
      <w:r w:rsidR="00806445" w:rsidRPr="00806445">
        <w:rPr>
          <w:rFonts w:ascii="Times New Roman" w:hAnsi="Times New Roman"/>
          <w:szCs w:val="24"/>
          <w:lang w:eastAsia="en-US"/>
        </w:rPr>
        <w:t xml:space="preserve"> March 2023 an expert group to develop proposals on strategies for creating supportive learning environments for groups at risk of underachievement and for supporting well-being at school. The expert group pays specific attention to the issues of well-being and enhancing mental health, and to preventing bullying and violence at school. It will develop policy recommendations as well as proposals for effective up-take of successful practices in schools and recommendations for awareness raising activities at EU and national level. Its work </w:t>
      </w:r>
      <w:r w:rsidR="003576E7">
        <w:rPr>
          <w:rFonts w:ascii="Times New Roman" w:hAnsi="Times New Roman"/>
          <w:szCs w:val="24"/>
          <w:lang w:eastAsia="en-US"/>
        </w:rPr>
        <w:t xml:space="preserve">is planned </w:t>
      </w:r>
      <w:r w:rsidR="00806445" w:rsidRPr="00806445">
        <w:rPr>
          <w:rFonts w:ascii="Times New Roman" w:hAnsi="Times New Roman"/>
          <w:szCs w:val="24"/>
          <w:lang w:eastAsia="en-US"/>
        </w:rPr>
        <w:t>until June 2024</w:t>
      </w:r>
      <w:r w:rsidR="003576E7">
        <w:rPr>
          <w:rFonts w:ascii="Times New Roman" w:hAnsi="Times New Roman"/>
          <w:szCs w:val="24"/>
          <w:lang w:eastAsia="en-US"/>
        </w:rPr>
        <w:t xml:space="preserve">, </w:t>
      </w:r>
      <w:r w:rsidR="00806445" w:rsidRPr="00806445">
        <w:rPr>
          <w:rFonts w:ascii="Times New Roman" w:hAnsi="Times New Roman"/>
          <w:szCs w:val="24"/>
          <w:lang w:eastAsia="en-US"/>
        </w:rPr>
        <w:t>with the aim of assisting the Commission in developing evidence-based policies on well-being at schools.</w:t>
      </w:r>
    </w:p>
    <w:sectPr w:rsidR="00806445" w:rsidRPr="00CF5D3B" w:rsidSect="000A07D2">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9D92" w14:textId="77777777" w:rsidR="00501F66" w:rsidRDefault="00501F66">
      <w:r>
        <w:separator/>
      </w:r>
    </w:p>
  </w:endnote>
  <w:endnote w:type="continuationSeparator" w:id="0">
    <w:p w14:paraId="200DAE02" w14:textId="77777777" w:rsidR="00501F66" w:rsidRDefault="0050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0F86"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37DA5408"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DAF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noProof/>
      </w:rPr>
      <w:t>3</w:t>
    </w:r>
    <w:r>
      <w:rPr>
        <w:rStyle w:val="PageNumber"/>
      </w:rPr>
      <w:fldChar w:fldCharType="end"/>
    </w:r>
  </w:p>
  <w:p w14:paraId="5497A6B3"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696100"/>
      <w:docPartObj>
        <w:docPartGallery w:val="Page Numbers (Bottom of Page)"/>
        <w:docPartUnique/>
      </w:docPartObj>
    </w:sdtPr>
    <w:sdtEndPr>
      <w:rPr>
        <w:noProof/>
      </w:rPr>
    </w:sdtEndPr>
    <w:sdtContent>
      <w:p w14:paraId="40DD6CA8" w14:textId="48A51769" w:rsidR="000F21B0" w:rsidRDefault="000F21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A4DDFA" w14:textId="40002D53" w:rsidR="005E6EC2" w:rsidRPr="00E05953" w:rsidRDefault="005E6EC2" w:rsidP="00E05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7760" w14:textId="77777777" w:rsidR="00501F66" w:rsidRDefault="00501F66">
      <w:r>
        <w:separator/>
      </w:r>
    </w:p>
  </w:footnote>
  <w:footnote w:type="continuationSeparator" w:id="0">
    <w:p w14:paraId="37DD159B" w14:textId="77777777" w:rsidR="00501F66" w:rsidRDefault="0050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4AC7" w14:textId="77777777" w:rsidR="00E05953" w:rsidRDefault="00E0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3030" w14:textId="77777777" w:rsidR="00E05953" w:rsidRDefault="00E05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68EB" w14:textId="77777777" w:rsidR="00E05953" w:rsidRDefault="00E05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996626"/>
    <w:multiLevelType w:val="hybridMultilevel"/>
    <w:tmpl w:val="167E1E8A"/>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CFA0D23A"/>
    <w:lvl w:ilvl="0" w:tplc="492C7160">
      <w:start w:val="1"/>
      <w:numFmt w:val="decimal"/>
      <w:lvlText w:val="%1."/>
      <w:lvlJc w:val="left"/>
      <w:pPr>
        <w:ind w:left="720" w:hanging="720"/>
      </w:pPr>
      <w:rPr>
        <w:rFonts w:hint="default"/>
        <w:b/>
        <w:i w:val="0"/>
      </w:rPr>
    </w:lvl>
    <w:lvl w:ilvl="1" w:tplc="8F9840AA">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CB165CC"/>
    <w:multiLevelType w:val="hybridMultilevel"/>
    <w:tmpl w:val="36F843EA"/>
    <w:lvl w:ilvl="0" w:tplc="BB28950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FF10B2E"/>
    <w:multiLevelType w:val="hybridMultilevel"/>
    <w:tmpl w:val="0C881504"/>
    <w:lvl w:ilvl="0" w:tplc="815C4178">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005920"/>
    <w:multiLevelType w:val="hybridMultilevel"/>
    <w:tmpl w:val="EF38D2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6299669">
    <w:abstractNumId w:val="7"/>
  </w:num>
  <w:num w:numId="2" w16cid:durableId="391275394">
    <w:abstractNumId w:val="1"/>
  </w:num>
  <w:num w:numId="3" w16cid:durableId="469370595">
    <w:abstractNumId w:val="34"/>
  </w:num>
  <w:num w:numId="4" w16cid:durableId="629553903">
    <w:abstractNumId w:val="15"/>
  </w:num>
  <w:num w:numId="5" w16cid:durableId="1257904894">
    <w:abstractNumId w:val="28"/>
  </w:num>
  <w:num w:numId="6" w16cid:durableId="2014608428">
    <w:abstractNumId w:val="12"/>
  </w:num>
  <w:num w:numId="7" w16cid:durableId="1566142467">
    <w:abstractNumId w:val="5"/>
  </w:num>
  <w:num w:numId="8" w16cid:durableId="751005467">
    <w:abstractNumId w:val="18"/>
  </w:num>
  <w:num w:numId="9" w16cid:durableId="1621689543">
    <w:abstractNumId w:val="33"/>
  </w:num>
  <w:num w:numId="10" w16cid:durableId="1154180879">
    <w:abstractNumId w:val="24"/>
  </w:num>
  <w:num w:numId="11" w16cid:durableId="330067913">
    <w:abstractNumId w:val="26"/>
  </w:num>
  <w:num w:numId="12" w16cid:durableId="1734812623">
    <w:abstractNumId w:val="14"/>
  </w:num>
  <w:num w:numId="13" w16cid:durableId="1513911055">
    <w:abstractNumId w:val="19"/>
  </w:num>
  <w:num w:numId="14" w16cid:durableId="325789304">
    <w:abstractNumId w:val="29"/>
  </w:num>
  <w:num w:numId="15" w16cid:durableId="467362143">
    <w:abstractNumId w:val="17"/>
  </w:num>
  <w:num w:numId="16" w16cid:durableId="861481712">
    <w:abstractNumId w:val="35"/>
  </w:num>
  <w:num w:numId="17" w16cid:durableId="888299619">
    <w:abstractNumId w:val="32"/>
  </w:num>
  <w:num w:numId="18" w16cid:durableId="1498498819">
    <w:abstractNumId w:val="22"/>
  </w:num>
  <w:num w:numId="19" w16cid:durableId="458691420">
    <w:abstractNumId w:val="23"/>
  </w:num>
  <w:num w:numId="20" w16cid:durableId="1042706000">
    <w:abstractNumId w:val="27"/>
  </w:num>
  <w:num w:numId="21" w16cid:durableId="1014192896">
    <w:abstractNumId w:val="3"/>
  </w:num>
  <w:num w:numId="22" w16cid:durableId="1513647747">
    <w:abstractNumId w:val="4"/>
  </w:num>
  <w:num w:numId="23" w16cid:durableId="1725830453">
    <w:abstractNumId w:val="21"/>
  </w:num>
  <w:num w:numId="24" w16cid:durableId="152991008">
    <w:abstractNumId w:val="30"/>
  </w:num>
  <w:num w:numId="25" w16cid:durableId="1577402608">
    <w:abstractNumId w:val="10"/>
  </w:num>
  <w:num w:numId="26" w16cid:durableId="863136596">
    <w:abstractNumId w:val="31"/>
  </w:num>
  <w:num w:numId="27" w16cid:durableId="734203558">
    <w:abstractNumId w:val="9"/>
  </w:num>
  <w:num w:numId="28" w16cid:durableId="592470197">
    <w:abstractNumId w:val="2"/>
  </w:num>
  <w:num w:numId="29" w16cid:durableId="889877280">
    <w:abstractNumId w:val="16"/>
  </w:num>
  <w:num w:numId="30" w16cid:durableId="1214149483">
    <w:abstractNumId w:val="25"/>
  </w:num>
  <w:num w:numId="31" w16cid:durableId="2009794665">
    <w:abstractNumId w:val="34"/>
  </w:num>
  <w:num w:numId="32" w16cid:durableId="832333623">
    <w:abstractNumId w:val="6"/>
  </w:num>
  <w:num w:numId="33" w16cid:durableId="522792209">
    <w:abstractNumId w:val="13"/>
  </w:num>
  <w:num w:numId="34" w16cid:durableId="616958875">
    <w:abstractNumId w:val="20"/>
  </w:num>
  <w:num w:numId="35" w16cid:durableId="188528996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529"/>
    <w:rsid w:val="00017566"/>
    <w:rsid w:val="0001768C"/>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11A"/>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93D"/>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AE3"/>
    <w:rsid w:val="000A1BDC"/>
    <w:rsid w:val="000A1CD5"/>
    <w:rsid w:val="000A1E0A"/>
    <w:rsid w:val="000A1E8A"/>
    <w:rsid w:val="000A1F30"/>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93C"/>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1B0"/>
    <w:rsid w:val="000F24AC"/>
    <w:rsid w:val="000F2713"/>
    <w:rsid w:val="000F2E1A"/>
    <w:rsid w:val="000F323C"/>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3D2"/>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681"/>
    <w:rsid w:val="0012079D"/>
    <w:rsid w:val="00120E34"/>
    <w:rsid w:val="00120E8D"/>
    <w:rsid w:val="0012121E"/>
    <w:rsid w:val="00121335"/>
    <w:rsid w:val="00121382"/>
    <w:rsid w:val="00121541"/>
    <w:rsid w:val="00121B5E"/>
    <w:rsid w:val="00121E93"/>
    <w:rsid w:val="00121EDE"/>
    <w:rsid w:val="00121F5D"/>
    <w:rsid w:val="00122706"/>
    <w:rsid w:val="00122B44"/>
    <w:rsid w:val="00123609"/>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8EE"/>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0B6"/>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9EA"/>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2F0E"/>
    <w:rsid w:val="001D31EA"/>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703"/>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2E7"/>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929"/>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2998"/>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7C6"/>
    <w:rsid w:val="001F7CC6"/>
    <w:rsid w:val="001F7DD5"/>
    <w:rsid w:val="00200026"/>
    <w:rsid w:val="0020021A"/>
    <w:rsid w:val="00200333"/>
    <w:rsid w:val="002003F9"/>
    <w:rsid w:val="0020057E"/>
    <w:rsid w:val="00200D57"/>
    <w:rsid w:val="00200EC8"/>
    <w:rsid w:val="0020101D"/>
    <w:rsid w:val="00201DC2"/>
    <w:rsid w:val="0020209F"/>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345"/>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114"/>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43D"/>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B0"/>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6F53"/>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0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240"/>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9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B72"/>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1F14"/>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6E7"/>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616"/>
    <w:rsid w:val="00362709"/>
    <w:rsid w:val="0036283F"/>
    <w:rsid w:val="00362CBC"/>
    <w:rsid w:val="00362F6B"/>
    <w:rsid w:val="00362F78"/>
    <w:rsid w:val="00363328"/>
    <w:rsid w:val="0036335B"/>
    <w:rsid w:val="003633DD"/>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6F8A"/>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0F74"/>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D7D3F"/>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078"/>
    <w:rsid w:val="004112AE"/>
    <w:rsid w:val="00411903"/>
    <w:rsid w:val="00411CCB"/>
    <w:rsid w:val="00411E7E"/>
    <w:rsid w:val="00411F4F"/>
    <w:rsid w:val="00412042"/>
    <w:rsid w:val="004123B6"/>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3FE3"/>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81B"/>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3E4"/>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C50"/>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095"/>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9AB"/>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B4"/>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BB"/>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1F66"/>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9EE"/>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A3"/>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68"/>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B6F"/>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6D52"/>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CF3"/>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4C2"/>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295"/>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84C"/>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8CF"/>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09"/>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7D7"/>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C40"/>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9B0"/>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2A7"/>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5E8"/>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8FB"/>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C7FA5"/>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A36"/>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3AF"/>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D2E"/>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61"/>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1FC"/>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1EC5"/>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0F04"/>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08B"/>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5AA"/>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445"/>
    <w:rsid w:val="00806932"/>
    <w:rsid w:val="00806B10"/>
    <w:rsid w:val="00806BF8"/>
    <w:rsid w:val="0080703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21A"/>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051"/>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452"/>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7FF"/>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0BC"/>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8D5"/>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2C"/>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BB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998"/>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9D5"/>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1D4"/>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0B"/>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6A5"/>
    <w:rsid w:val="008F0CE6"/>
    <w:rsid w:val="008F0D78"/>
    <w:rsid w:val="008F0FAA"/>
    <w:rsid w:val="008F1100"/>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BB"/>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CED"/>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B91"/>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A00"/>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4F51"/>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AD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BC0"/>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A7EBE"/>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3F"/>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DD9"/>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4C"/>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4B"/>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2F09"/>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9DB"/>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3EF0"/>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274"/>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A92"/>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37"/>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797"/>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B8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1E"/>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029"/>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7B1"/>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1BA"/>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1E84"/>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C2E"/>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1F"/>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1E13"/>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1E96"/>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1C4"/>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40"/>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E14"/>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4F00"/>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D28"/>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0E2"/>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263"/>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3B"/>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914"/>
    <w:rsid w:val="00D01AD7"/>
    <w:rsid w:val="00D01DEF"/>
    <w:rsid w:val="00D01E2C"/>
    <w:rsid w:val="00D01E95"/>
    <w:rsid w:val="00D01F9A"/>
    <w:rsid w:val="00D02198"/>
    <w:rsid w:val="00D0238E"/>
    <w:rsid w:val="00D0239F"/>
    <w:rsid w:val="00D027A1"/>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AE9"/>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9D"/>
    <w:rsid w:val="00D625F2"/>
    <w:rsid w:val="00D62AAF"/>
    <w:rsid w:val="00D62B8A"/>
    <w:rsid w:val="00D634A7"/>
    <w:rsid w:val="00D634E9"/>
    <w:rsid w:val="00D636AA"/>
    <w:rsid w:val="00D63CDA"/>
    <w:rsid w:val="00D643C5"/>
    <w:rsid w:val="00D64791"/>
    <w:rsid w:val="00D64A46"/>
    <w:rsid w:val="00D64B5A"/>
    <w:rsid w:val="00D64CE8"/>
    <w:rsid w:val="00D64DC8"/>
    <w:rsid w:val="00D64F53"/>
    <w:rsid w:val="00D65064"/>
    <w:rsid w:val="00D6563A"/>
    <w:rsid w:val="00D656B9"/>
    <w:rsid w:val="00D65BA6"/>
    <w:rsid w:val="00D65C3A"/>
    <w:rsid w:val="00D65E4D"/>
    <w:rsid w:val="00D65E8E"/>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8EC"/>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CEB"/>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DC9"/>
    <w:rsid w:val="00DD60CD"/>
    <w:rsid w:val="00DD6C24"/>
    <w:rsid w:val="00DD70F4"/>
    <w:rsid w:val="00DD786C"/>
    <w:rsid w:val="00DE0556"/>
    <w:rsid w:val="00DE074F"/>
    <w:rsid w:val="00DE0B91"/>
    <w:rsid w:val="00DE0CD8"/>
    <w:rsid w:val="00DE0EA8"/>
    <w:rsid w:val="00DE110E"/>
    <w:rsid w:val="00DE12F3"/>
    <w:rsid w:val="00DE1911"/>
    <w:rsid w:val="00DE1B4F"/>
    <w:rsid w:val="00DE1CD2"/>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6A"/>
    <w:rsid w:val="00DE7586"/>
    <w:rsid w:val="00DE75B9"/>
    <w:rsid w:val="00DE76BC"/>
    <w:rsid w:val="00DE7729"/>
    <w:rsid w:val="00DE7F68"/>
    <w:rsid w:val="00DF0007"/>
    <w:rsid w:val="00DF0008"/>
    <w:rsid w:val="00DF007B"/>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53"/>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020"/>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55"/>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31"/>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4EB"/>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1D9"/>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9A3"/>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04E"/>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1E"/>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DCB"/>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8AB"/>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DA6"/>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52"/>
    <w:rsid w:val="00F13EA3"/>
    <w:rsid w:val="00F13ECB"/>
    <w:rsid w:val="00F13F15"/>
    <w:rsid w:val="00F142C4"/>
    <w:rsid w:val="00F142CF"/>
    <w:rsid w:val="00F145D6"/>
    <w:rsid w:val="00F14823"/>
    <w:rsid w:val="00F149A5"/>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4B35"/>
    <w:rsid w:val="00F25012"/>
    <w:rsid w:val="00F25485"/>
    <w:rsid w:val="00F25A51"/>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4B"/>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348"/>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2AD"/>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35"/>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96E"/>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50A"/>
    <w:rsid w:val="00FD2617"/>
    <w:rsid w:val="00FD275C"/>
    <w:rsid w:val="00FD2778"/>
    <w:rsid w:val="00FD2B0D"/>
    <w:rsid w:val="00FD2ED7"/>
    <w:rsid w:val="00FD3303"/>
    <w:rsid w:val="00FD34F9"/>
    <w:rsid w:val="00FD356B"/>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10"/>
    <w:rsid w:val="00FE32E0"/>
    <w:rsid w:val="00FE35A4"/>
    <w:rsid w:val="00FE39B7"/>
    <w:rsid w:val="00FE3A18"/>
    <w:rsid w:val="00FE3E10"/>
    <w:rsid w:val="00FE4123"/>
    <w:rsid w:val="00FE413C"/>
    <w:rsid w:val="00FE41E6"/>
    <w:rsid w:val="00FE4734"/>
    <w:rsid w:val="00FE486D"/>
    <w:rsid w:val="00FE4A75"/>
    <w:rsid w:val="00FE4DE0"/>
    <w:rsid w:val="00FE4DF5"/>
    <w:rsid w:val="00FE4E3A"/>
    <w:rsid w:val="00FE50BC"/>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2250B"/>
  <w15:docId w15:val="{CE1FBB33-6B4D-4568-8E56-674BA066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1">
    <w:name w:val="Char Char Char1"/>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1">
    <w:name w:val="Char1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1">
    <w:name w:val="Znak Znak1"/>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Briefinglist1Char">
    <w:name w:val="Briefing list 1 Char"/>
    <w:basedOn w:val="DefaultParagraphFont"/>
    <w:link w:val="Briefinglist1"/>
    <w:locked/>
    <w:rsid w:val="00E24B55"/>
    <w:rPr>
      <w:sz w:val="24"/>
      <w:szCs w:val="24"/>
      <w:lang w:val="en-GB" w:eastAsia="en-GB"/>
    </w:rPr>
  </w:style>
  <w:style w:type="paragraph" w:customStyle="1" w:styleId="NormalHanging12a">
    <w:name w:val="NormalHanging12a"/>
    <w:basedOn w:val="Normal"/>
    <w:link w:val="NormalHanging12aChar"/>
    <w:rsid w:val="008A362C"/>
    <w:pPr>
      <w:ind w:left="567" w:hanging="567"/>
      <w:jc w:val="left"/>
    </w:pPr>
    <w:rPr>
      <w:rFonts w:ascii="Times New Roman" w:hAnsi="Times New Roman"/>
      <w:snapToGrid w:val="0"/>
      <w:lang w:eastAsia="en-US"/>
    </w:rPr>
  </w:style>
  <w:style w:type="character" w:customStyle="1" w:styleId="NormalHanging12aChar">
    <w:name w:val="NormalHanging12a Char"/>
    <w:basedOn w:val="DefaultParagraphFont"/>
    <w:link w:val="NormalHanging12a"/>
    <w:rsid w:val="008A362C"/>
    <w:rPr>
      <w:snapToGrid w:val="0"/>
      <w:sz w:val="24"/>
      <w:lang w:val="en-GB" w:eastAsia="en-US"/>
    </w:rPr>
  </w:style>
  <w:style w:type="character" w:styleId="UnresolvedMention">
    <w:name w:val="Unresolved Mention"/>
    <w:basedOn w:val="DefaultParagraphFont"/>
    <w:uiPriority w:val="99"/>
    <w:semiHidden/>
    <w:unhideWhenUsed/>
    <w:rsid w:val="00552B6F"/>
    <w:rPr>
      <w:color w:val="605E5C"/>
      <w:shd w:val="clear" w:color="auto" w:fill="E1DFDD"/>
    </w:r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L Char"/>
    <w:basedOn w:val="DefaultParagraphFont"/>
    <w:link w:val="ListParagraph"/>
    <w:uiPriority w:val="34"/>
    <w:locked/>
    <w:rsid w:val="00D027A1"/>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6825">
      <w:bodyDiv w:val="1"/>
      <w:marLeft w:val="0"/>
      <w:marRight w:val="0"/>
      <w:marTop w:val="0"/>
      <w:marBottom w:val="0"/>
      <w:divBdr>
        <w:top w:val="none" w:sz="0" w:space="0" w:color="auto"/>
        <w:left w:val="none" w:sz="0" w:space="0" w:color="auto"/>
        <w:bottom w:val="none" w:sz="0" w:space="0" w:color="auto"/>
        <w:right w:val="none" w:sz="0" w:space="0" w:color="auto"/>
      </w:divBdr>
    </w:div>
    <w:div w:id="595292278">
      <w:bodyDiv w:val="1"/>
      <w:marLeft w:val="0"/>
      <w:marRight w:val="0"/>
      <w:marTop w:val="0"/>
      <w:marBottom w:val="0"/>
      <w:divBdr>
        <w:top w:val="none" w:sz="0" w:space="0" w:color="auto"/>
        <w:left w:val="none" w:sz="0" w:space="0" w:color="auto"/>
        <w:bottom w:val="none" w:sz="0" w:space="0" w:color="auto"/>
        <w:right w:val="none" w:sz="0" w:space="0" w:color="auto"/>
      </w:divBdr>
    </w:div>
    <w:div w:id="954945300">
      <w:bodyDiv w:val="1"/>
      <w:marLeft w:val="0"/>
      <w:marRight w:val="0"/>
      <w:marTop w:val="0"/>
      <w:marBottom w:val="0"/>
      <w:divBdr>
        <w:top w:val="none" w:sz="0" w:space="0" w:color="auto"/>
        <w:left w:val="none" w:sz="0" w:space="0" w:color="auto"/>
        <w:bottom w:val="none" w:sz="0" w:space="0" w:color="auto"/>
        <w:right w:val="none" w:sz="0" w:space="0" w:color="auto"/>
      </w:divBdr>
    </w:div>
    <w:div w:id="1103888987">
      <w:bodyDiv w:val="1"/>
      <w:marLeft w:val="0"/>
      <w:marRight w:val="0"/>
      <w:marTop w:val="0"/>
      <w:marBottom w:val="0"/>
      <w:divBdr>
        <w:top w:val="none" w:sz="0" w:space="0" w:color="auto"/>
        <w:left w:val="none" w:sz="0" w:space="0" w:color="auto"/>
        <w:bottom w:val="none" w:sz="0" w:space="0" w:color="auto"/>
        <w:right w:val="none" w:sz="0" w:space="0" w:color="auto"/>
      </w:divBdr>
    </w:div>
    <w:div w:id="1625501408">
      <w:bodyDiv w:val="1"/>
      <w:marLeft w:val="0"/>
      <w:marRight w:val="0"/>
      <w:marTop w:val="0"/>
      <w:marBottom w:val="0"/>
      <w:divBdr>
        <w:top w:val="none" w:sz="0" w:space="0" w:color="auto"/>
        <w:left w:val="none" w:sz="0" w:space="0" w:color="auto"/>
        <w:bottom w:val="none" w:sz="0" w:space="0" w:color="auto"/>
        <w:right w:val="none" w:sz="0" w:space="0" w:color="auto"/>
      </w:divBdr>
    </w:div>
    <w:div w:id="205187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for-children.europa.eu/" TargetMode="External"/><Relationship Id="rId18" Type="http://schemas.openxmlformats.org/officeDocument/2006/relationships/hyperlink" Target="https://op.europa.eu/en/publication-detail/-/publication/eb9b7e17-66f5-11ed-b14f-01aa75ed71a1/language-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ommission.europa.eu/system/files/2023-10/Communication_medicines_shortages_EN_0.pdf" TargetMode="External"/><Relationship Id="rId7" Type="http://schemas.openxmlformats.org/officeDocument/2006/relationships/styles" Target="styles.xml"/><Relationship Id="rId12" Type="http://schemas.openxmlformats.org/officeDocument/2006/relationships/hyperlink" Target="https://eur-lex.europa.eu/legal-content/EN/TXT/?uri=CELEX%3A32021R1057" TargetMode="External"/><Relationship Id="rId17" Type="http://schemas.openxmlformats.org/officeDocument/2006/relationships/hyperlink" Target="https://eur-lex.europa.eu/legal-content/EN/TXT/?uri=CELEX%3A52023DC090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europa.eu/webpub/empl/european-pillar-of-social-rights/en/" TargetMode="External"/><Relationship Id="rId20" Type="http://schemas.openxmlformats.org/officeDocument/2006/relationships/hyperlink" Target="https://education.ec.europa.eu/document/european-education-area-midterm-review-process-repor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for-children.europa.e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c.europa.eu/info/law/better-regulation/have-your-say/initiatives/13884-Child-protection-integrating-systems_en" TargetMode="External"/><Relationship Id="rId23" Type="http://schemas.openxmlformats.org/officeDocument/2006/relationships/hyperlink" Target="https://commission.europa.eu/strategy-documents/commission-work-programme/commission-work-programme-2024_en"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op.europa.eu/webpub/eac/education-and-training-monitor-2022/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social/main.jsp?langId=en&amp;catId=89&amp;furtherNews=yes&amp;newsId=10558" TargetMode="External"/><Relationship Id="rId22" Type="http://schemas.openxmlformats.org/officeDocument/2006/relationships/hyperlink" Target="https://health.ec.europa.eu/funding/eu4health-programme-2021-2027-vision-healthier-european-union_en"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CE4EE98B097364BA1CE10C743F55FCB" ma:contentTypeVersion="16" ma:contentTypeDescription="Create a new document in this library." ma:contentTypeScope="" ma:versionID="639d4678511f5fcff9e9a87fb2b52ef7">
  <xsd:schema xmlns:xsd="http://www.w3.org/2001/XMLSchema" xmlns:xs="http://www.w3.org/2001/XMLSchema" xmlns:p="http://schemas.microsoft.com/office/2006/metadata/properties" xmlns:ns1="http://schemas.microsoft.com/sharepoint/v3" xmlns:ns2="http://schemas.microsoft.com/sharepoint/v3/fields" xmlns:ns3="0b55029b-5b16-416b-99bf-3f3b6110a335" xmlns:ns4="65bc8209-69a8-4ab3-a137-482f5403cf31" targetNamespace="http://schemas.microsoft.com/office/2006/metadata/properties" ma:root="true" ma:fieldsID="bf44ba5b4b4b662b901c858f79a266c1" ns1:_="" ns2:_="" ns3:_="" ns4:_="">
    <xsd:import namespace="http://schemas.microsoft.com/sharepoint/v3"/>
    <xsd:import namespace="http://schemas.microsoft.com/sharepoint/v3/fields"/>
    <xsd:import namespace="0b55029b-5b16-416b-99bf-3f3b6110a335"/>
    <xsd:import namespace="65bc8209-69a8-4ab3-a137-482f5403cf3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AuthorId" minOccurs="0"/>
                <xsd:element ref="ns3:AuthorName" minOccurs="0"/>
                <xsd:element ref="ns3:DocumentId" minOccurs="0"/>
                <xsd:element ref="ns3:DocumentTitle" minOccurs="0"/>
                <xsd:element ref="ns3:FileId" minOccurs="0"/>
                <xsd:element ref="ns3:FileTitle" minOccurs="0"/>
                <xsd:element ref="ns3:FileType" minOccurs="0"/>
                <xsd:element ref="ns3:LeadDG" minOccurs="0"/>
                <xsd:element ref="ns3:RequestID" minOccurs="0"/>
                <xsd:element ref="ns1:_dlc_Exempt"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b55029b-5b16-416b-99bf-3f3b6110a3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uthorId" ma:index="16" nillable="true" ma:displayName="AuthorId" ma:internalName="AuthorId">
      <xsd:simpleType>
        <xsd:restriction base="dms:Number"/>
      </xsd:simpleType>
    </xsd:element>
    <xsd:element name="AuthorName" ma:index="17" nillable="true" ma:displayName="AuthorName" ma:internalName="AuthorName">
      <xsd:simpleType>
        <xsd:restriction base="dms:Text">
          <xsd:maxLength value="255"/>
        </xsd:restriction>
      </xsd:simpleType>
    </xsd:element>
    <xsd:element name="DocumentId" ma:index="18" nillable="true" ma:displayName="DocumentId" ma:internalName="DocumentId">
      <xsd:simpleType>
        <xsd:restriction base="dms:Text">
          <xsd:maxLength value="255"/>
        </xsd:restriction>
      </xsd:simpleType>
    </xsd:element>
    <xsd:element name="DocumentTitle" ma:index="19" nillable="true" ma:displayName="DocumentTitle" ma:internalName="DocumentTitle">
      <xsd:simpleType>
        <xsd:restriction base="dms:Text">
          <xsd:maxLength value="255"/>
        </xsd:restriction>
      </xsd:simpleType>
    </xsd:element>
    <xsd:element name="FileId" ma:index="20" nillable="true" ma:displayName="FileId" ma:internalName="FileId">
      <xsd:simpleType>
        <xsd:restriction base="dms:Text">
          <xsd:maxLength value="255"/>
        </xsd:restriction>
      </xsd:simpleType>
    </xsd:element>
    <xsd:element name="FileTitle" ma:index="21" nillable="true" ma:displayName="FileTitle" ma:internalName="FileTitle">
      <xsd:simpleType>
        <xsd:restriction base="dms:Text">
          <xsd:maxLength value="255"/>
        </xsd:restriction>
      </xsd:simpleType>
    </xsd:element>
    <xsd:element name="FileType" ma:index="22" nillable="true" ma:displayName="FileType" ma:internalName="FileType">
      <xsd:simpleType>
        <xsd:restriction base="dms:Text">
          <xsd:maxLength value="255"/>
        </xsd:restriction>
      </xsd:simpleType>
    </xsd:element>
    <xsd:element name="LeadDG" ma:index="23" nillable="true" ma:displayName="LeadDG" ma:internalName="LeadDG">
      <xsd:simpleType>
        <xsd:restriction base="dms:Text">
          <xsd:maxLength value="255"/>
        </xsd:restriction>
      </xsd:simpleType>
    </xsd:element>
    <xsd:element name="RequestID" ma:index="24" nillable="true" ma:displayName="RequestID" ma:internalName="Reque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c8209-69a8-4ab3-a137-482f5403cf3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Id xmlns="0b55029b-5b16-416b-99bf-3f3b6110a335">668546</DocumentId>
    <LeadDG xmlns="0b55029b-5b16-416b-99bf-3f3b6110a335">EMPL</LeadDG>
    <DocumentTitle xmlns="0b55029b-5b16-416b-99bf-3f3b6110a335">Follow-up fiche to EP resolution 2023/2066(INI)</DocumentTitle>
    <_Status xmlns="http://schemas.microsoft.com/sharepoint/v3/fields">Not Started</_Status>
    <EC_Collab_DocumentLanguage xmlns="0b55029b-5b16-416b-99bf-3f3b6110a335">EN</EC_Collab_DocumentLanguage>
    <FileTitle xmlns="0b55029b-5b16-416b-99bf-3f3b6110a335">Follow-up fiche to EP resolution 2023/2066(INI) "Reducing inequalities and promoting social inclusion in times of crisis for children and their families"</FileTitle>
    <AuthorName xmlns="0b55029b-5b16-416b-99bf-3f3b6110a335">ISZKOWSKI Stefan (EMPL/D/1)</AuthorName>
    <RequestID xmlns="0b55029b-5b16-416b-99bf-3f3b6110a335">EMPL/2452</RequestID>
    <EC_Collab_Status xmlns="0b55029b-5b16-416b-99bf-3f3b6110a335">Not Started</EC_Collab_Status>
    <EC_Collab_Reference xmlns="0b55029b-5b16-416b-99bf-3f3b6110a335" xsi:nil="true"/>
    <FileType xmlns="0b55029b-5b16-416b-99bf-3f3b6110a335">Follow-up fiche</FileType>
    <AuthorId xmlns="0b55029b-5b16-416b-99bf-3f3b6110a335">32709</AuthorId>
    <FileId xmlns="0b55029b-5b16-416b-99bf-3f3b6110a335">1358658</Fil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7CE4EE98B097364BA1CE10C743F55FCB|937198175" UniqueId="3d7ed18d-c2b3-4b3a-94ca-aba3ee56beb7">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79C4E19A-70CA-45E8-ABAA-7EDF7EBB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55029b-5b16-416b-99bf-3f3b6110a335"/>
    <ds:schemaRef ds:uri="65bc8209-69a8-4ab3-a137-482f5403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E1DAF-C35A-417F-B579-535419FADD18}">
  <ds:schemaRefs>
    <ds:schemaRef ds:uri="http://schemas.openxmlformats.org/officeDocument/2006/bibliography"/>
  </ds:schemaRefs>
</ds:datastoreItem>
</file>

<file path=customXml/itemProps3.xml><?xml version="1.0" encoding="utf-8"?>
<ds:datastoreItem xmlns:ds="http://schemas.openxmlformats.org/officeDocument/2006/customXml" ds:itemID="{6CBFEBBD-BC57-4423-AA21-3CF042FC9CAA}">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65bc8209-69a8-4ab3-a137-482f5403cf31"/>
    <ds:schemaRef ds:uri="http://schemas.microsoft.com/sharepoint/v3"/>
    <ds:schemaRef ds:uri="http://www.w3.org/XML/1998/namespace"/>
    <ds:schemaRef ds:uri="http://schemas.microsoft.com/office/infopath/2007/PartnerControls"/>
    <ds:schemaRef ds:uri="http://schemas.microsoft.com/sharepoint/v3/fields"/>
    <ds:schemaRef ds:uri="http://schemas.openxmlformats.org/package/2006/metadata/core-properties"/>
    <ds:schemaRef ds:uri="0b55029b-5b16-416b-99bf-3f3b6110a335"/>
  </ds:schemaRefs>
</ds:datastoreItem>
</file>

<file path=customXml/itemProps4.xml><?xml version="1.0" encoding="utf-8"?>
<ds:datastoreItem xmlns:ds="http://schemas.openxmlformats.org/officeDocument/2006/customXml" ds:itemID="{71AE374D-1728-4770-9855-48BFA762DEFF}">
  <ds:schemaRefs>
    <ds:schemaRef ds:uri="http://schemas.microsoft.com/sharepoint/v3/contenttype/forms"/>
  </ds:schemaRefs>
</ds:datastoreItem>
</file>

<file path=customXml/itemProps5.xml><?xml version="1.0" encoding="utf-8"?>
<ds:datastoreItem xmlns:ds="http://schemas.openxmlformats.org/officeDocument/2006/customXml" ds:itemID="{27880BCF-B678-40EB-95DB-B960B1D5FE8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TEL</Template>
  <TotalTime>0</TotalTime>
  <Pages>8</Pages>
  <Words>5015</Words>
  <Characters>28989</Characters>
  <Application>Microsoft Office Word</Application>
  <DocSecurity>0</DocSecurity>
  <PresentationFormat>Microsoft Word 8.0b</PresentationFormat>
  <Lines>420</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33967</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ALMEIDA Maria Jose (SG)</cp:lastModifiedBy>
  <cp:revision>2</cp:revision>
  <cp:lastPrinted>2017-11-23T08:32:00Z</cp:lastPrinted>
  <dcterms:created xsi:type="dcterms:W3CDTF">2024-01-11T09:47:00Z</dcterms:created>
  <dcterms:modified xsi:type="dcterms:W3CDTF">2024-01-11T09:47:00Z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2023-12-04T10:08:49Z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e6645b94-d3e9-4f35-995a-0f3c84dcd84a</vt:lpwstr>
  </property>
  <property fmtid="{D5CDD505-2E9C-101B-9397-08002B2CF9AE}" pid="19" name="MSIP_Label_6bd9ddd1-4d20-43f6-abfa-fc3c07406f94_ContentBits">
    <vt:lpwstr>0</vt:lpwstr>
  </property>
  <property fmtid="{D5CDD505-2E9C-101B-9397-08002B2CF9AE}" pid="20" name="ContentTypeId">
    <vt:lpwstr>0x010100258AA79CEB83498886A3A08681123250007CE4EE98B097364BA1CE10C743F55FCB</vt:lpwstr>
  </property>
</Properties>
</file>