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A101" w14:textId="56899F83" w:rsidR="00331DB9" w:rsidRPr="00331DB9" w:rsidRDefault="004A6C66" w:rsidP="00D01914">
      <w:pPr>
        <w:spacing w:after="600"/>
        <w:jc w:val="center"/>
        <w:rPr>
          <w:rFonts w:ascii="Times New Roman" w:hAnsi="Times New Roman"/>
          <w:b/>
        </w:rPr>
      </w:pPr>
      <w:r>
        <w:rPr>
          <w:rFonts w:ascii="Times New Roman" w:hAnsi="Times New Roman"/>
          <w:b/>
        </w:rPr>
        <w:t xml:space="preserve">Suite donnée à la résolution non législative du Parlement européen </w:t>
      </w:r>
      <w:bookmarkStart w:id="0" w:name="_Hlk152933649"/>
      <w:r>
        <w:rPr>
          <w:rFonts w:ascii="Times New Roman" w:hAnsi="Times New Roman"/>
          <w:b/>
        </w:rPr>
        <w:t>sur la réduction des inégalités et la promotion de l’inclusion sociale en temps de crise pour les enfants et leurs familles</w:t>
      </w:r>
      <w:bookmarkEnd w:id="0"/>
    </w:p>
    <w:p w14:paraId="708E9720" w14:textId="578E6FC5" w:rsidR="004A6C66" w:rsidRPr="00D01914" w:rsidRDefault="00D01914" w:rsidP="00852452">
      <w:pPr>
        <w:numPr>
          <w:ilvl w:val="0"/>
          <w:numId w:val="27"/>
        </w:numPr>
        <w:ind w:left="567" w:hanging="567"/>
        <w:rPr>
          <w:rFonts w:ascii="Times New Roman" w:hAnsi="Times New Roman"/>
          <w:b/>
          <w:szCs w:val="24"/>
        </w:rPr>
      </w:pPr>
      <w:r>
        <w:rPr>
          <w:rFonts w:ascii="Times New Roman" w:hAnsi="Times New Roman"/>
          <w:b/>
        </w:rPr>
        <w:t xml:space="preserve">Rapporteure: </w:t>
      </w:r>
      <w:r>
        <w:rPr>
          <w:rFonts w:ascii="Times New Roman" w:hAnsi="Times New Roman"/>
        </w:rPr>
        <w:t>Sandra PEREIRA (La gauche/PT)</w:t>
      </w:r>
    </w:p>
    <w:p w14:paraId="294898E4" w14:textId="73A6F594" w:rsidR="004A6C66" w:rsidRPr="00F059C8" w:rsidRDefault="00535D4D" w:rsidP="00A824B4">
      <w:pPr>
        <w:numPr>
          <w:ilvl w:val="0"/>
          <w:numId w:val="27"/>
        </w:numPr>
        <w:ind w:left="567" w:hanging="567"/>
        <w:rPr>
          <w:rFonts w:ascii="Times New Roman" w:hAnsi="Times New Roman"/>
          <w:i/>
          <w:szCs w:val="24"/>
        </w:rPr>
      </w:pPr>
      <w:r>
        <w:rPr>
          <w:rFonts w:ascii="Times New Roman" w:hAnsi="Times New Roman"/>
          <w:b/>
        </w:rPr>
        <w:t xml:space="preserve">Numéro de référence: </w:t>
      </w:r>
      <w:r>
        <w:rPr>
          <w:rFonts w:ascii="Times New Roman" w:hAnsi="Times New Roman"/>
        </w:rPr>
        <w:t>2023/2066 (INI) / A9-0360/2023 / P9_TA(2023)0408</w:t>
      </w:r>
    </w:p>
    <w:p w14:paraId="611E3CD1" w14:textId="288047FC" w:rsidR="005A00C3" w:rsidRPr="00E07C2D" w:rsidRDefault="004A6C66" w:rsidP="00A824B4">
      <w:pPr>
        <w:numPr>
          <w:ilvl w:val="0"/>
          <w:numId w:val="27"/>
        </w:numPr>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 xml:space="preserve">21 novembre 2023 </w:t>
      </w:r>
    </w:p>
    <w:p w14:paraId="600FFD88" w14:textId="1EA4C54A" w:rsidR="00EC0A27" w:rsidRPr="006529B0" w:rsidRDefault="00EC0A27" w:rsidP="00A824B4">
      <w:pPr>
        <w:numPr>
          <w:ilvl w:val="0"/>
          <w:numId w:val="27"/>
        </w:numPr>
        <w:ind w:left="567" w:hanging="567"/>
        <w:rPr>
          <w:rFonts w:ascii="Times New Roman" w:hAnsi="Times New Roman"/>
          <w:i/>
          <w:szCs w:val="24"/>
        </w:rPr>
      </w:pPr>
      <w:r>
        <w:rPr>
          <w:rFonts w:ascii="Times New Roman" w:hAnsi="Times New Roman"/>
          <w:b/>
        </w:rPr>
        <w:t>Commission parlementaire compétente:</w:t>
      </w:r>
      <w:r>
        <w:t xml:space="preserve"> </w:t>
      </w:r>
      <w:r>
        <w:rPr>
          <w:rFonts w:ascii="Times New Roman" w:hAnsi="Times New Roman"/>
        </w:rPr>
        <w:t>Emploi et affaires sociales</w:t>
      </w:r>
      <w:r>
        <w:rPr>
          <w:rFonts w:ascii="Times New Roman" w:hAnsi="Times New Roman"/>
          <w:i/>
        </w:rPr>
        <w:t xml:space="preserve"> </w:t>
      </w:r>
    </w:p>
    <w:p w14:paraId="607E41EA" w14:textId="342DE665" w:rsidR="004A6C66" w:rsidRPr="006529B0" w:rsidRDefault="004A6C66" w:rsidP="00A824B4">
      <w:pPr>
        <w:widowControl w:val="0"/>
        <w:numPr>
          <w:ilvl w:val="0"/>
          <w:numId w:val="27"/>
        </w:numPr>
        <w:ind w:left="567" w:hanging="567"/>
        <w:rPr>
          <w:rFonts w:ascii="Times New Roman" w:hAnsi="Times New Roman"/>
          <w:szCs w:val="24"/>
        </w:rPr>
      </w:pPr>
      <w:r>
        <w:rPr>
          <w:rFonts w:ascii="Times New Roman" w:hAnsi="Times New Roman"/>
          <w:b/>
        </w:rPr>
        <w:t>Analyse/évaluation succincte de la résolution et des demandes qu’elle contient:</w:t>
      </w:r>
      <w:r>
        <w:rPr>
          <w:rFonts w:ascii="Times New Roman" w:hAnsi="Times New Roman"/>
        </w:rPr>
        <w:t xml:space="preserve"> </w:t>
      </w:r>
    </w:p>
    <w:p w14:paraId="07C0E2A0" w14:textId="03673564" w:rsidR="00CC6E14" w:rsidRPr="00947A00" w:rsidRDefault="00123609" w:rsidP="00D01914">
      <w:pPr>
        <w:widowControl w:val="0"/>
        <w:spacing w:after="120"/>
        <w:rPr>
          <w:rFonts w:ascii="Times New Roman" w:hAnsi="Times New Roman"/>
          <w:szCs w:val="24"/>
        </w:rPr>
      </w:pPr>
      <w:r>
        <w:rPr>
          <w:rFonts w:ascii="Times New Roman" w:hAnsi="Times New Roman"/>
        </w:rPr>
        <w:t>La présente résolution aborde de multiples aspects des inégalités et de l’exclusion sociale, en mettant particulièrement l’accent sur la situation des enfants et des familles. Elle met en évidence l’incidence plus grande de la pauvreté sur les enfants que sur les adultes, souligne l’instabilité sociale et économique mondiale et les risques engendrés par le changement climatique, qui constituent des facteurs augmentant la probabilité de nouvelles crises, et indique que les politiques familiales et d’aide à l’enfance ne reflètent pas toujours la diversité des familles et de leurs modes de vie et ne sont pas suffisamment adaptées à ces réalités. La résolution souligne que la pauvreté est un marqueur de risque important pour l’entrée dans des structures d’accueil de substitution et déplore le nombre élevé d’enfants dans des institutions d’hébergement et de soins de substitution. La résolution soulève également des préoccupations en ce qui concerne la santé publique et la médecine préventive, l’accès à la santé et la protection des droits sexuels et reproductifs, ainsi que les faibles taux de vaccination. Se référant à la stratégie de l’Union sur les droits de l’enfant (COM/2021/142 final), la résolution attire l’attention sur des cas de violence envers les enfants, de violence sexuelle, de violence et de harcèlement. La plupart des demandes formulées dans la résolution s’adressent aux États membres. Plusieurs demandes sont adressées à la Commission, dont la plupart concernent également les États membres. Une demande est adressée au Conseil et une autre est adressée aux autorités budgétaires de l’Union.</w:t>
      </w:r>
    </w:p>
    <w:p w14:paraId="1C4B59A1" w14:textId="2977EB09" w:rsidR="00F42348" w:rsidRPr="00F42348" w:rsidRDefault="004A6C66" w:rsidP="00D01914">
      <w:pPr>
        <w:numPr>
          <w:ilvl w:val="0"/>
          <w:numId w:val="27"/>
        </w:numPr>
        <w:ind w:left="567" w:hanging="567"/>
        <w:rPr>
          <w:rFonts w:ascii="Times New Roman" w:hAnsi="Times New Roman"/>
          <w:bCs/>
          <w:szCs w:val="24"/>
        </w:rPr>
      </w:pPr>
      <w:r>
        <w:rPr>
          <w:rFonts w:ascii="Times New Roman" w:hAnsi="Times New Roman"/>
          <w:b/>
        </w:rPr>
        <w:t>Réponse à ces demandes et aperçu des mesures que la Commission a prises ou envisage de prendre:</w:t>
      </w:r>
    </w:p>
    <w:p w14:paraId="730D0FD0" w14:textId="33AED405" w:rsidR="00E05953" w:rsidRDefault="00FA696E" w:rsidP="00D01914">
      <w:pPr>
        <w:spacing w:after="120"/>
        <w:rPr>
          <w:rFonts w:ascii="Times New Roman" w:hAnsi="Times New Roman"/>
          <w:bCs/>
        </w:rPr>
      </w:pPr>
      <w:bookmarkStart w:id="1" w:name="_Hlk152585286"/>
      <w:r>
        <w:rPr>
          <w:rFonts w:ascii="Times New Roman" w:hAnsi="Times New Roman"/>
        </w:rPr>
        <w:t xml:space="preserve">En ce qui concerne le </w:t>
      </w:r>
      <w:r>
        <w:rPr>
          <w:rFonts w:ascii="Times New Roman" w:hAnsi="Times New Roman"/>
          <w:b/>
        </w:rPr>
        <w:t>paragraphe 1</w:t>
      </w:r>
      <w:r>
        <w:rPr>
          <w:rFonts w:ascii="Times New Roman" w:hAnsi="Times New Roman"/>
        </w:rPr>
        <w:t xml:space="preserve"> de la résolution, qui invite à </w:t>
      </w:r>
      <w:bookmarkEnd w:id="1"/>
      <w:r>
        <w:rPr>
          <w:rFonts w:ascii="Times New Roman" w:hAnsi="Times New Roman"/>
          <w:b/>
        </w:rPr>
        <w:t>augmenter substantiellement les investissements publics dans des politiques ayant une incidence directe et indirecte sur les enfants</w:t>
      </w:r>
      <w:r>
        <w:rPr>
          <w:rFonts w:ascii="Times New Roman" w:hAnsi="Times New Roman"/>
        </w:rPr>
        <w:t xml:space="preserve">, la Commission partage les préoccupations du Parlement européen concernant les niveaux élevés de pauvreté infantile dans l’Union. La Commission rappelle qu’il existe un engagement ferme et une base juridique solide permettant aux États membres de lutter contre la pauvreté infantile par l’intermédiaire du Fonds social européen plus (FSE+), notamment au moyen de l’exigence en matière de concentration relative à la lutte contre la pauvreté infantile. Cet instrument spécifique est fixé à 5 % des enveloppes nationales pour les États membres dont le taux d’enfants exposés au risque de pauvreté ou d’exclusion sociale est supérieur à la moyenne de l’UE pour la période 2017-2019, et à un montant approprié pour tous les autres États membres. La Commission souligne que l’encouragement des synergies fait partie de la mise en œuvre du FSE+ (l’article 7, paragraphe 1, du </w:t>
      </w:r>
      <w:hyperlink r:id="rId12" w:history="1">
        <w:r>
          <w:rPr>
            <w:rStyle w:val="Hyperlink"/>
            <w:rFonts w:ascii="Times New Roman" w:hAnsi="Times New Roman"/>
          </w:rPr>
          <w:t>règlement FSE+</w:t>
        </w:r>
      </w:hyperlink>
      <w:r>
        <w:rPr>
          <w:rFonts w:ascii="Times New Roman" w:hAnsi="Times New Roman"/>
        </w:rPr>
        <w:t xml:space="preserve"> prévoit que: «Les États membres et, le cas échéant, la Commission encouragent les synergies et assurent la coordination, la complémentarité et la cohérence entre le FSE+ et les autres fonds, programmes et instruments de l’Union.»). Ce financement est en cours de mise en </w:t>
      </w:r>
      <w:r>
        <w:rPr>
          <w:rFonts w:ascii="Times New Roman" w:hAnsi="Times New Roman"/>
        </w:rPr>
        <w:lastRenderedPageBreak/>
        <w:t>œuvre par les États membres. En outre, d’autres fonds de l’Union mis à la disposition des États membres dans le cadre et en dehors du financement de la politique de cohésion de l’UE peuvent contribuer davantage à la lutte contre la pauvreté et l’exclusion des enfants.</w:t>
      </w:r>
    </w:p>
    <w:p w14:paraId="32F4311D" w14:textId="64660A38" w:rsidR="00296F53" w:rsidRDefault="00FA696E" w:rsidP="00D01914">
      <w:pPr>
        <w:spacing w:after="120"/>
        <w:rPr>
          <w:rFonts w:ascii="Times New Roman" w:hAnsi="Times New Roman"/>
          <w:bCs/>
        </w:rPr>
      </w:pPr>
      <w:r>
        <w:rPr>
          <w:rFonts w:ascii="Times New Roman" w:hAnsi="Times New Roman"/>
        </w:rPr>
        <w:t xml:space="preserve">En ce qui concerne le </w:t>
      </w:r>
      <w:r>
        <w:rPr>
          <w:rFonts w:ascii="Times New Roman" w:hAnsi="Times New Roman"/>
          <w:b/>
        </w:rPr>
        <w:t>paragraphe 2</w:t>
      </w:r>
      <w:r>
        <w:rPr>
          <w:rFonts w:ascii="Times New Roman" w:hAnsi="Times New Roman"/>
        </w:rPr>
        <w:t xml:space="preserve">, qui invite à renforcer les </w:t>
      </w:r>
      <w:r>
        <w:rPr>
          <w:rFonts w:ascii="Times New Roman" w:hAnsi="Times New Roman"/>
          <w:b/>
        </w:rPr>
        <w:t>mécanismes visant à garantir une participation significative, sûre et inclusive des enfants, des familles, des aidants et des organisations de la société civile</w:t>
      </w:r>
      <w:r>
        <w:rPr>
          <w:rFonts w:ascii="Times New Roman" w:hAnsi="Times New Roman"/>
        </w:rPr>
        <w:t xml:space="preserve">, la Commission a mis en place une </w:t>
      </w:r>
      <w:hyperlink r:id="rId13" w:history="1">
        <w:r>
          <w:rPr>
            <w:rStyle w:val="Hyperlink"/>
            <w:rFonts w:ascii="Times New Roman" w:hAnsi="Times New Roman"/>
          </w:rPr>
          <w:t>plateforme européenne de participation des enfants</w:t>
        </w:r>
      </w:hyperlink>
      <w:r>
        <w:rPr>
          <w:rFonts w:ascii="Times New Roman" w:hAnsi="Times New Roman"/>
        </w:rPr>
        <w:t>. Dans la stratégie de l’UE sur les droits de l’enfant, la Commission a également appelé les États membres de l’UE à élaborer des stratégies nationales sur les droits de l’enfant et les a invités à soutenir toutes les actions recommandées dans cette stratégie au moyen de ressources financières appropriées, y compris un financement de l’UE. Le nouveau réseau de l’UE pour les droits de l’enfant renforce le dialogue et l’apprentissage mutuel entre l’UE, les États membres, les organisations internationales et les organisations de la société civile dans le domaine des droits de l’enfant, et soutient la mise en œuvre, le suivi et l’évaluation de cette stratégie. Le train de mesures de défense de la démocratie comprend une recommandation relative à la promotion de l’implication des citoyens et des organisations de la société civile dans les processus d’élaboration des politiques publiques et de leur participation effective à ces processus, qui encourage notamment la participation constructive, inclusive et sûre des enfants et des jeunes, sans discrimination d’aucune sorte. Conformément à la recommandation, les États membres devraient tout particulièrement s’efforcer de renforcer la participation des enfants et des jeunes à la vie politique et démocratique aux niveaux local, régional et national, y compris dans les régions rurales et reculées.</w:t>
      </w:r>
    </w:p>
    <w:p w14:paraId="05F6B49D" w14:textId="12F0AE59" w:rsidR="00D027A1" w:rsidRPr="00D01914" w:rsidRDefault="00FA696E" w:rsidP="00D01914">
      <w:pPr>
        <w:spacing w:after="120"/>
        <w:rPr>
          <w:rFonts w:ascii="Times New Roman" w:hAnsi="Times New Roman"/>
          <w:i/>
          <w:iCs/>
          <w:szCs w:val="24"/>
        </w:rPr>
      </w:pPr>
      <w:r>
        <w:rPr>
          <w:rFonts w:ascii="Times New Roman" w:hAnsi="Times New Roman"/>
        </w:rPr>
        <w:t xml:space="preserve">En ce qui concerne le </w:t>
      </w:r>
      <w:r>
        <w:rPr>
          <w:rFonts w:ascii="Times New Roman" w:hAnsi="Times New Roman"/>
          <w:b/>
        </w:rPr>
        <w:t>paragraphe 4</w:t>
      </w:r>
      <w:r>
        <w:rPr>
          <w:rFonts w:ascii="Times New Roman" w:hAnsi="Times New Roman"/>
        </w:rPr>
        <w:t xml:space="preserve">, qui invite à </w:t>
      </w:r>
      <w:r>
        <w:rPr>
          <w:rFonts w:ascii="Times New Roman" w:hAnsi="Times New Roman"/>
          <w:b/>
        </w:rPr>
        <w:t>créer des emplois de qualité et à améliorer l’attractivité des professions du secteur des soins et des services sociaux</w:t>
      </w:r>
      <w:r>
        <w:rPr>
          <w:rFonts w:ascii="Times New Roman" w:hAnsi="Times New Roman"/>
        </w:rPr>
        <w:t xml:space="preserve">, la stratégie européenne en matière de soins de 2022 (COM/2022/440 final) et la recommandation du Conseil sur l'accès à des soins de longue durée abordables et de haute qualité  (2022/C 476/01) mettent l’accent sur l’amélioration des conditions de travail et des salaires du personnel du secteur des soins. Dans ce dernier document, il est recommandé aux États membres de favoriser des emplois de qualité et des conditions de travail équitables dans le domaine des soins de longue durée. Ils sont également invités à améliorer la professionnalisation et à combler les besoins en compétences et les pénuries de main-d’œuvre, en collaboration avec les partenaires sociaux. La stratégie européenne en matière de soins définit des actions au niveau de l’UE pour le personnel du secteur des soins, qui comprennent i) la création d’un nouveau comité de dialogue social sectoriel de l’UE pour les services sociaux, qui couvrira également les soins de longue durée (la première réunion a eu lieu le 12 décembre 2023); ii) </w:t>
      </w:r>
      <w:hyperlink r:id="rId14" w:history="1">
        <w:r>
          <w:rPr>
            <w:rStyle w:val="Hyperlink"/>
            <w:rFonts w:ascii="Times New Roman" w:hAnsi="Times New Roman"/>
          </w:rPr>
          <w:t>un partenariat en matière de compétences pour le secteur des soins de longue durée dans le cadre du pacte pour les compétences</w:t>
        </w:r>
      </w:hyperlink>
      <w:r>
        <w:rPr>
          <w:rFonts w:ascii="Times New Roman" w:hAnsi="Times New Roman"/>
        </w:rPr>
        <w:t>, lancé en avril 2023. Il vise à à soutenir et rendre possible la formation d’au moins 60 % des professionnels des soins de longue durée chaque année, payée ou fournie par leur employeur, y compris dans des domaines liés à la numérisation et aux soins centrés sur la personne d’ici à 2030; iii) un document d’orientation sur la veille stratégique sur les besoins et tendances actuels et futurs en matière de compétences dans l’UE, élaboré par le Centre européen pour le développement de la formation professionnelle (CEDEFOP) en septembre 2023; et iv) un nombre croissant de données du personnel du secteur des soins de longue durée: une étude thématique sur l’examen de l’application des normes de l’UE sur les conditions de travail, une analyse des questions de sécurité et de santé au travail dans le secteur de la santé et des soins de longue durée réalisée par l’Agence européenne pour la sécurité et la santé au travail (EU-OSHA), une étude portant sur les actions visant à attirer des travailleurs du secteur des soins de longue durée de pays tiers.</w:t>
      </w:r>
    </w:p>
    <w:p w14:paraId="08759AEE" w14:textId="3464ABA6" w:rsidR="00CF10E2" w:rsidRDefault="00FA696E" w:rsidP="00D01914">
      <w:pPr>
        <w:spacing w:after="120"/>
        <w:rPr>
          <w:rFonts w:ascii="Times New Roman" w:hAnsi="Times New Roman"/>
          <w:szCs w:val="24"/>
        </w:rPr>
      </w:pPr>
      <w:r>
        <w:rPr>
          <w:rFonts w:ascii="Times New Roman" w:hAnsi="Times New Roman"/>
        </w:rPr>
        <w:lastRenderedPageBreak/>
        <w:t xml:space="preserve">En ce qui concerne le </w:t>
      </w:r>
      <w:r>
        <w:rPr>
          <w:rFonts w:ascii="Times New Roman" w:hAnsi="Times New Roman"/>
          <w:b/>
        </w:rPr>
        <w:t>paragraphe 7</w:t>
      </w:r>
      <w:r>
        <w:rPr>
          <w:rFonts w:ascii="Times New Roman" w:hAnsi="Times New Roman"/>
        </w:rPr>
        <w:t xml:space="preserve">, qui invite à augmenter le </w:t>
      </w:r>
      <w:r>
        <w:rPr>
          <w:rFonts w:ascii="Times New Roman" w:hAnsi="Times New Roman"/>
          <w:b/>
        </w:rPr>
        <w:t>financement de la garantie européenne pour l’enfance, dotée d’un budget spécifique d’au moins 20 milliards d’euros pour la période 2021-</w:t>
      </w:r>
      <w:bookmarkStart w:id="2" w:name="_Hlk152937400"/>
      <w:r>
        <w:rPr>
          <w:rFonts w:ascii="Times New Roman" w:hAnsi="Times New Roman"/>
          <w:b/>
        </w:rPr>
        <w:t>2027</w:t>
      </w:r>
      <w:r>
        <w:rPr>
          <w:rFonts w:ascii="Times New Roman" w:hAnsi="Times New Roman"/>
        </w:rPr>
        <w:t xml:space="preserve">, </w:t>
      </w:r>
      <w:bookmarkEnd w:id="2"/>
      <w:r>
        <w:rPr>
          <w:rFonts w:ascii="Times New Roman" w:hAnsi="Times New Roman"/>
        </w:rPr>
        <w:t xml:space="preserve">la Commission estime que les États membres doivent désormais se concentrer sur la mise en œuvre des ressources financières existantes de l’UE [FSE+, Fonds européen de développement régional (FEDER), instrument d’appui technique, facilité pour la reprise et la résilience et autres] et mobiliser également des ressources nationales pour lutter contre la pauvreté et l’exclusion des enfants. Il convient de noter que le financement de l’UE ne peut remplacer le financement public national, mais qu’il peut constituer un important déclencheur de réformes. En ce qui concerne </w:t>
      </w:r>
      <w:r>
        <w:rPr>
          <w:rFonts w:ascii="Times New Roman" w:hAnsi="Times New Roman"/>
          <w:b/>
        </w:rPr>
        <w:t>l’appel, au même paragraphe, à associer la société civile et les parties prenantes concernées à la planification, à la mise en œuvre et à l’évaluation des fonds de l’UE</w:t>
      </w:r>
      <w:r>
        <w:rPr>
          <w:rFonts w:ascii="Times New Roman" w:hAnsi="Times New Roman"/>
        </w:rPr>
        <w:t>, le partenariat est inhérent au FSE+ et à d’autres fonds fonctionnant en gestion partagée. Le règlement (UE) 2021/1060 portant dispositions communes a instauré un principe de partenariat selon lequel les États membres doivent mettre en œuvre des «partenariats globaux» pour assurer la mise en œuvre des fonds. Les organisations de la société civile sont des partenaires potentiels essentiels pour le FSE+. Depuis 2020, la Commission mène une série de projets pilotes visant à inciter les autorités des États membres, les citoyens et les organisations de la société civile à coopérer plus étroitement tout au long du cycle de mise en œuvre. La recommandation (UE) 2021/1004 du Conseil du 14 juin 2021 établissant une garantie européenne pour l’enfance invite les États membres [paragraphe 11, point e)] à veiller, tout au long de l’élaboration, de l’application, du suivi et de l’évaluation du plan d’action, à la participation [...] des parties prenantes pertinentes représentant la société civile, des organisations non gouvernementales, des établissements d’enseignement et des organismes chargés de promouvoir l’inclusion et l’intégration sociales, les droits de l’enfant, l’éducation inclusive et la non-discrimination, y compris des organismes nationaux de promotion de l’égalité.</w:t>
      </w:r>
    </w:p>
    <w:p w14:paraId="04A88AB3" w14:textId="0004945E" w:rsidR="00C34C2E" w:rsidRDefault="00FA696E" w:rsidP="00D01914">
      <w:pPr>
        <w:spacing w:after="120"/>
        <w:rPr>
          <w:rFonts w:ascii="Times New Roman" w:hAnsi="Times New Roman"/>
          <w:szCs w:val="24"/>
        </w:rPr>
      </w:pPr>
      <w:r>
        <w:rPr>
          <w:rFonts w:ascii="Times New Roman" w:hAnsi="Times New Roman"/>
        </w:rPr>
        <w:t xml:space="preserve">En ce qui concerne le </w:t>
      </w:r>
      <w:r>
        <w:rPr>
          <w:rFonts w:ascii="Times New Roman" w:hAnsi="Times New Roman"/>
          <w:b/>
        </w:rPr>
        <w:t>paragraphe 9</w:t>
      </w:r>
      <w:r>
        <w:rPr>
          <w:rFonts w:ascii="Times New Roman" w:hAnsi="Times New Roman"/>
        </w:rPr>
        <w:t xml:space="preserve">, qui décrit les </w:t>
      </w:r>
      <w:r>
        <w:rPr>
          <w:rFonts w:ascii="Times New Roman" w:hAnsi="Times New Roman"/>
          <w:b/>
        </w:rPr>
        <w:t>fonds de l’UE comme étant gérés de manière complexe</w:t>
      </w:r>
      <w:r>
        <w:rPr>
          <w:rFonts w:ascii="Times New Roman" w:hAnsi="Times New Roman"/>
        </w:rPr>
        <w:t>, la Commission rappelle que les États membres ont toute une série de possibilités de recourir à l’assistance technique au titre du règlement portant dispositions communes [règlement (UE) 2021/1060], qui régit les fonds de l’UE, y compris le FEDER, le FSE+, le Fonds pour une transition juste et le Fonds de cohésion. La Commission met en œuvre une assistance technique centrale dans le cadre du budget accordé par les législateurs de l’UE. Afin de remédier à la complexité du financement de l’UE et de faciliter les incitations à la mise en œuvre d’opérations qui contribuent à réduire le nombre de personnes exposées au risque de pauvreté ou d’inclusion sociale, la Commission a introduit un acte délégué (UE) 2023/1676 sur les options simplifiées en matière de coûts ou de financement non lié aux coûts pour les opérations offrant des services de soins à domicile et des services de soins de proximité, ainsi que pour les opérations fournissant des services résidentiels et non résidentiels aux victimes de violence domestique et aux personnes en situation de sans-abrisme de courte ou de longue durée. Bien qu’elles ne ciblent pas spécifiquement les enfants, elles contribuent à réduire la pauvreté infantile en s’attaquant aux facteurs d’exclusion sociale et de pauvreté qui touchent les enfants.</w:t>
      </w:r>
    </w:p>
    <w:p w14:paraId="46589BBC" w14:textId="4ABC7D24" w:rsidR="004123B6" w:rsidRPr="00FA696E" w:rsidRDefault="00FA696E" w:rsidP="00D01914">
      <w:pPr>
        <w:spacing w:after="120"/>
        <w:rPr>
          <w:rFonts w:ascii="Times New Roman" w:hAnsi="Times New Roman"/>
          <w:szCs w:val="24"/>
        </w:rPr>
      </w:pPr>
      <w:r>
        <w:rPr>
          <w:rFonts w:ascii="Times New Roman" w:hAnsi="Times New Roman"/>
        </w:rPr>
        <w:t xml:space="preserve">En ce qui concerne le </w:t>
      </w:r>
      <w:r>
        <w:rPr>
          <w:rFonts w:ascii="Times New Roman" w:hAnsi="Times New Roman"/>
          <w:b/>
        </w:rPr>
        <w:t>paragraphe 14</w:t>
      </w:r>
      <w:r>
        <w:rPr>
          <w:rFonts w:ascii="Times New Roman" w:hAnsi="Times New Roman"/>
        </w:rPr>
        <w:t xml:space="preserve">, qui invite à </w:t>
      </w:r>
      <w:r>
        <w:rPr>
          <w:rFonts w:ascii="Times New Roman" w:hAnsi="Times New Roman"/>
          <w:b/>
        </w:rPr>
        <w:t>promouvoir des politiques et des services d’intervention en faveur de l’enfance axés sur la famille</w:t>
      </w:r>
      <w:r>
        <w:rPr>
          <w:rFonts w:ascii="Times New Roman" w:hAnsi="Times New Roman"/>
        </w:rPr>
        <w:t xml:space="preserve">, la </w:t>
      </w:r>
      <w:hyperlink r:id="rId15" w:history="1">
        <w:r>
          <w:rPr>
            <w:rStyle w:val="Hyperlink"/>
            <w:rFonts w:ascii="Times New Roman" w:hAnsi="Times New Roman"/>
          </w:rPr>
          <w:t>future recommandation de la Commission sur les systèmes intégrés de protection de l’enfance</w:t>
        </w:r>
      </w:hyperlink>
      <w:r>
        <w:rPr>
          <w:rFonts w:ascii="Times New Roman" w:hAnsi="Times New Roman"/>
        </w:rPr>
        <w:t xml:space="preserve"> vise à lutter contre la séparation des familles et à mettre en évidence une règle selon laquelle la pauvreté ne devrait jamais être l’unique raison pour placer les enfants en institution. Dès le plus jeune âge, chaque enfant a droit à un niveau de vie décent et à l’égalité des chances. Axée sur les besoins des enfants, la future recommandation encouragerait l’ensemble des autorités et services concernés à mieux coopérer de manière </w:t>
      </w:r>
      <w:r>
        <w:rPr>
          <w:rFonts w:ascii="Times New Roman" w:hAnsi="Times New Roman"/>
        </w:rPr>
        <w:lastRenderedPageBreak/>
        <w:t>globale, de la prévention des abus et de la violence à la protection contre toute forme de violence. Elle exposerait comment mieux utiliser les outils de l’UE existants (législation, politiques, financement) pour que les systèmes de protection de l’enfance soient plus intégrés et plus solides, en évitant le fonctionnement en silo. En outre, conformément à la stratégie de l’UE sur les droits de l’enfant, la Commission aide les États membres à mieux protéger les droits des enfants en contact avec le système de justice civile et à leur garantir un meilleur accès à la justice, grâce à la législation et au financement de l’UE, y compris pour soutenir la mise en œuvre des normes du Conseil de l’Europe, ou une assistance technique.</w:t>
      </w:r>
    </w:p>
    <w:p w14:paraId="5D68E4B6" w14:textId="3C19A140" w:rsidR="004123B6" w:rsidRDefault="00FA696E" w:rsidP="00D01914">
      <w:pPr>
        <w:spacing w:after="120"/>
        <w:rPr>
          <w:rFonts w:ascii="Times New Roman" w:hAnsi="Times New Roman"/>
          <w:szCs w:val="24"/>
        </w:rPr>
      </w:pPr>
      <w:r>
        <w:rPr>
          <w:rFonts w:ascii="Times New Roman" w:hAnsi="Times New Roman"/>
        </w:rPr>
        <w:t xml:space="preserve">En ce qui concerne le </w:t>
      </w:r>
      <w:r>
        <w:rPr>
          <w:rFonts w:ascii="Times New Roman" w:hAnsi="Times New Roman"/>
          <w:b/>
        </w:rPr>
        <w:t>paragraphe 15</w:t>
      </w:r>
      <w:r>
        <w:rPr>
          <w:rFonts w:ascii="Times New Roman" w:hAnsi="Times New Roman"/>
        </w:rPr>
        <w:t xml:space="preserve">, qui invite à </w:t>
      </w:r>
      <w:r>
        <w:rPr>
          <w:rFonts w:ascii="Times New Roman" w:hAnsi="Times New Roman"/>
          <w:b/>
        </w:rPr>
        <w:t>élaborer une stratégie européenne intégrée de lutte contre la pauvreté</w:t>
      </w:r>
      <w:r>
        <w:rPr>
          <w:rFonts w:ascii="Times New Roman" w:hAnsi="Times New Roman"/>
        </w:rPr>
        <w:t xml:space="preserve">, le </w:t>
      </w:r>
      <w:hyperlink r:id="rId16" w:history="1">
        <w:r>
          <w:rPr>
            <w:rStyle w:val="Hyperlink"/>
            <w:rFonts w:ascii="Times New Roman" w:hAnsi="Times New Roman"/>
          </w:rPr>
          <w:t>plan d’action sur le socle européen des droits sociaux</w:t>
        </w:r>
      </w:hyperlink>
      <w:r>
        <w:rPr>
          <w:rFonts w:ascii="Times New Roman" w:hAnsi="Times New Roman"/>
        </w:rPr>
        <w:t xml:space="preserve"> inclut, parmi ses objectifs pour 2030, l’objectif de réduire le nombre de personnes exposées au risque de pauvreté ou d’exclusion sociale d’au moins 15 millions par rapport aux niveaux de 2019, dont au moins 5 millions devraient être des enfants. Tous les États membres ont fixé leurs objectifs nationaux de réduction de la pauvreté, dont la somme dépasse l’objectif fixé au niveau de l’UE. En outre, 21 États membres ont fixé des objectifs nationaux complémentaires en matière de réduction de la pauvreté infantile. La Commission soutient les États membres dans leurs efforts pour atteindre ces objectifs. À cette fin, la recommandation du Conseil relative à un revenu minimum adéquat pour garantir une inclusion active (2023/C 41/01), adoptée en janvier 2023, joue un rôle particulièrement important.</w:t>
      </w:r>
    </w:p>
    <w:p w14:paraId="4A175CD2" w14:textId="08132E3B" w:rsidR="0001768C" w:rsidRDefault="0001768C" w:rsidP="00D01914">
      <w:pPr>
        <w:spacing w:after="120"/>
        <w:rPr>
          <w:rFonts w:ascii="Times New Roman" w:hAnsi="Times New Roman"/>
          <w:szCs w:val="24"/>
        </w:rPr>
      </w:pPr>
      <w:r>
        <w:rPr>
          <w:rFonts w:ascii="Times New Roman" w:hAnsi="Times New Roman"/>
        </w:rPr>
        <w:t xml:space="preserve">En ce qui concerne le </w:t>
      </w:r>
      <w:r>
        <w:rPr>
          <w:rFonts w:ascii="Times New Roman" w:hAnsi="Times New Roman"/>
          <w:b/>
        </w:rPr>
        <w:t>paragraphe 16</w:t>
      </w:r>
      <w:r>
        <w:rPr>
          <w:rFonts w:ascii="Times New Roman" w:hAnsi="Times New Roman"/>
        </w:rPr>
        <w:t xml:space="preserve">, qui invite à recommander, dans le cadre du Semestre européen, des </w:t>
      </w:r>
      <w:r>
        <w:rPr>
          <w:rFonts w:ascii="Times New Roman" w:hAnsi="Times New Roman"/>
          <w:b/>
        </w:rPr>
        <w:t>réformes visant à promouvoir l’inclusion sociale et la réduction des inégalités</w:t>
      </w:r>
      <w:r>
        <w:rPr>
          <w:rFonts w:ascii="Times New Roman" w:hAnsi="Times New Roman"/>
        </w:rPr>
        <w:t>, la Commission a relevé, dans l’</w:t>
      </w:r>
      <w:hyperlink r:id="rId17" w:history="1">
        <w:r>
          <w:rPr>
            <w:rStyle w:val="Hyperlink"/>
            <w:rFonts w:ascii="Times New Roman" w:hAnsi="Times New Roman"/>
          </w:rPr>
          <w:t>examen annuel 2024 de la croissance durable</w:t>
        </w:r>
      </w:hyperlink>
      <w:r>
        <w:rPr>
          <w:rFonts w:ascii="Times New Roman" w:hAnsi="Times New Roman"/>
        </w:rPr>
        <w:t>, qu’il demeure nécessaire de disposer de politiques adéquates et durables de protection sociale et d’inclusion.</w:t>
      </w:r>
      <w:r>
        <w:t xml:space="preserve"> </w:t>
      </w:r>
      <w:r>
        <w:rPr>
          <w:rFonts w:ascii="Times New Roman" w:hAnsi="Times New Roman"/>
        </w:rPr>
        <w:t>Les rapports par pays du Semestre européen 2024 comprendront une évaluation des progrès accomplis dans la mise en œuvre du socle européen des droits sociaux, y compris les objectifs à l’horizon 2030 en matière d’emploi, de compétences, d’éducation et de réduction de la pauvreté, tandis que les recommandations par pays de 2024 se concentreront sur une sélection limitée de défis.</w:t>
      </w:r>
      <w:r>
        <w:t xml:space="preserve"> </w:t>
      </w:r>
      <w:r>
        <w:rPr>
          <w:rFonts w:ascii="Times New Roman" w:hAnsi="Times New Roman"/>
        </w:rPr>
        <w:t>Conformément à la recommandation établissant la garantie européenne pour l’enfance, la Commission suit les progrès accomplis dans la mise en œuvre de la garantie pour l’enfance, y compris ses résultats et son incidence sur les enfants dans le besoin, également dans le tableau de bord social dans le cadre du Semestre européen. Le paragraphe 12, point a), de la recommandation établissant la garantie européenne pour l’enfance salue l’intention de la Commission de proposer aux États membres des recommandations appropriées par pays sur la lutte contre la pauvreté et l’exclusion sociale chez les enfants.</w:t>
      </w:r>
    </w:p>
    <w:p w14:paraId="1DF2FD21" w14:textId="7A67697F" w:rsidR="00622C40" w:rsidRDefault="00FA696E" w:rsidP="00D01914">
      <w:pPr>
        <w:spacing w:after="120"/>
        <w:rPr>
          <w:rFonts w:ascii="Times New Roman" w:hAnsi="Times New Roman"/>
          <w:color w:val="808080" w:themeColor="background1" w:themeShade="80"/>
          <w:szCs w:val="24"/>
        </w:rPr>
      </w:pPr>
      <w:r>
        <w:rPr>
          <w:rFonts w:ascii="Times New Roman" w:hAnsi="Times New Roman"/>
        </w:rPr>
        <w:t xml:space="preserve">En ce qui concerne le </w:t>
      </w:r>
      <w:r>
        <w:rPr>
          <w:rFonts w:ascii="Times New Roman" w:hAnsi="Times New Roman"/>
          <w:b/>
        </w:rPr>
        <w:t>paragraphe 23</w:t>
      </w:r>
      <w:r>
        <w:rPr>
          <w:rFonts w:ascii="Times New Roman" w:hAnsi="Times New Roman"/>
        </w:rPr>
        <w:t xml:space="preserve">, qui invite à </w:t>
      </w:r>
      <w:r>
        <w:rPr>
          <w:rFonts w:ascii="Times New Roman" w:hAnsi="Times New Roman"/>
          <w:b/>
        </w:rPr>
        <w:t>lutter contre la ségrégation scolaire et à faire progresser l’éducation inclusive</w:t>
      </w:r>
      <w:r>
        <w:rPr>
          <w:rFonts w:ascii="Times New Roman" w:hAnsi="Times New Roman"/>
        </w:rPr>
        <w:t xml:space="preserve">, la Commission rappelle que la première priorité du cadre stratégique de l’espace européen de l’éducation (EEE) pour la coopération dans le domaine de l’éducation et de la formation est d’améliorer la qualité, l’équité, l’inclusion et la réussite pour tous dans l’éducation et la formation. Le </w:t>
      </w:r>
      <w:hyperlink r:id="rId18" w:history="1">
        <w:r>
          <w:rPr>
            <w:rStyle w:val="Hyperlink"/>
            <w:rFonts w:ascii="Times New Roman" w:hAnsi="Times New Roman"/>
          </w:rPr>
          <w:t>rapport de 2022 sur l’état d’avancement des travaux concernant l’EEE</w:t>
        </w:r>
      </w:hyperlink>
      <w:r>
        <w:rPr>
          <w:rFonts w:ascii="Times New Roman" w:hAnsi="Times New Roman"/>
        </w:rPr>
        <w:t xml:space="preserve"> a fait de l’équité l’un des défis communs de longue date des politiques d’éducation et de formation dans les États membres, lié à la capacité limitée de la plupart des systèmes éducatifs européens à dissocier le milieu socio-économique des résultats scolaires. Le </w:t>
      </w:r>
      <w:hyperlink r:id="rId19" w:history="1">
        <w:r>
          <w:rPr>
            <w:rStyle w:val="Hyperlink"/>
            <w:rFonts w:ascii="Times New Roman" w:hAnsi="Times New Roman"/>
          </w:rPr>
          <w:t>rapport de suivi de l’éducation et de la formation de 2022</w:t>
        </w:r>
      </w:hyperlink>
      <w:r>
        <w:rPr>
          <w:rFonts w:ascii="Times New Roman" w:hAnsi="Times New Roman"/>
        </w:rPr>
        <w:t xml:space="preserve"> a introduit un nouvel indicateur d’équité et d’inclusion et a souligné que l’éducation inclusive suppose une évaluation de l’inégalité, du préjudice ou de la discrimination subis par des groupes de population spécifiques. La recommandation du Conseil concernant l'initiative «Passeport pour la réussite scolaire» </w:t>
      </w:r>
      <w:r>
        <w:rPr>
          <w:rFonts w:ascii="Times New Roman" w:hAnsi="Times New Roman"/>
        </w:rPr>
        <w:lastRenderedPageBreak/>
        <w:t xml:space="preserve">(2022/C 469/01) vise spécifiquement à aider les États membres à élaborer ou à renforcer des stratégies globales de réussite scolaire fondées sur des données probantes, qui «[promeuvent] des politiques actives de lutte contre la ségrégation, notamment en adoptant des règles d'admission propres à assurer une composition scolaire hétérogène et des politiques centrées sur la qualité de l'apprentissage, et sensibiliser aux avantages de la diversité en classe pour améliorer les résultats scolaires de tous les apprenants». Au niveau systémique, la recommandation invite à soutenir l'inclusion des apprenants en situation de handicap et/ou ayant des besoins spécifiques en matière d'éducation dans le système scolaire ordinaire, grâce au soutien effectif d'éducateurs et d'autres membres du personnel pédagogique/de conseillers formés, ou de professionnels de la santé. Cette assistance devrait s'accompagner de l'élimination des obstacles physiques dans le milieu scolaire, de la mise à disposition de matériels d'apprentissage sous une forme appropriée et de l'utilisation d'approches diversifiées et individualisées en matière d'enseignement et d'apprentissage. Le groupe de travail du cadre de coopération stratégique de l’EEE sur l’égalité et les valeurs, le groupe de travail sur les écoles et l’Agence européenne pour l’éducation adaptée et inclusive concentrent leurs travaux sur la nécessité de disposer de systèmes de financement et de soutien aux apprenants plus souples, afin de mieux répondre à toute une série de besoins, y compris pour les apprenants en situation de handicap. Le récent </w:t>
      </w:r>
      <w:hyperlink r:id="rId20" w:history="1">
        <w:r>
          <w:rPr>
            <w:rStyle w:val="Hyperlink"/>
            <w:rFonts w:ascii="Times New Roman" w:hAnsi="Times New Roman"/>
          </w:rPr>
          <w:t>rapport sur le processus d’examen à mi-parcours de l’EEE</w:t>
        </w:r>
      </w:hyperlink>
      <w:r>
        <w:rPr>
          <w:rFonts w:ascii="Times New Roman" w:hAnsi="Times New Roman"/>
        </w:rPr>
        <w:t xml:space="preserve">, publié en novembre 2023, résume les principaux messages politiques des États membres de l’UE, des institutions de l’UE et de la communauté de l’éducation et de la formation au sens large sur les actions et les mesures à prendre dans les années à venir. Stimuler l’équité et l’inclusion est un défi majeur et une priorité d’action élevée. </w:t>
      </w:r>
    </w:p>
    <w:p w14:paraId="1AD92439" w14:textId="5B020579" w:rsidR="001D31EA" w:rsidRDefault="00FA696E" w:rsidP="00D01914">
      <w:pPr>
        <w:spacing w:after="120"/>
        <w:rPr>
          <w:rFonts w:ascii="Times New Roman" w:hAnsi="Times New Roman"/>
        </w:rPr>
      </w:pPr>
      <w:r>
        <w:rPr>
          <w:rFonts w:ascii="Times New Roman" w:hAnsi="Times New Roman"/>
        </w:rPr>
        <w:t xml:space="preserve">En ce qui concerne le </w:t>
      </w:r>
      <w:r>
        <w:rPr>
          <w:rFonts w:ascii="Times New Roman" w:hAnsi="Times New Roman"/>
          <w:b/>
        </w:rPr>
        <w:t>paragraphe 25</w:t>
      </w:r>
      <w:r>
        <w:rPr>
          <w:rFonts w:ascii="Times New Roman" w:hAnsi="Times New Roman"/>
        </w:rPr>
        <w:t xml:space="preserve">, qui invite à garantir une </w:t>
      </w:r>
      <w:r>
        <w:rPr>
          <w:rFonts w:ascii="Times New Roman" w:hAnsi="Times New Roman"/>
          <w:b/>
        </w:rPr>
        <w:t>production et un stockage suffisants de médicaments de soins primaires pédiatriques importants</w:t>
      </w:r>
      <w:r>
        <w:rPr>
          <w:rFonts w:ascii="Times New Roman" w:hAnsi="Times New Roman"/>
        </w:rPr>
        <w:t xml:space="preserve">, la Commission poursuivra ses efforts pour remédier aux pénuries critiques de médicaments, comme décrit dans la </w:t>
      </w:r>
      <w:hyperlink r:id="rId21" w:history="1">
        <w:r>
          <w:rPr>
            <w:rStyle w:val="Hyperlink"/>
            <w:rFonts w:ascii="Times New Roman" w:hAnsi="Times New Roman"/>
          </w:rPr>
          <w:t>communication intitulée «Remédier aux pénuries de médicaments dans l’UE»</w:t>
        </w:r>
      </w:hyperlink>
      <w:r>
        <w:rPr>
          <w:rFonts w:ascii="Times New Roman" w:hAnsi="Times New Roman"/>
        </w:rPr>
        <w:t xml:space="preserve">. Ces travaux comprennent des formulations pédiatriques spécifiques lorsqu’elles sont identifiées par l’Agence européenne des médicaments (EMA) comme étant exposées au risque de pénurie critique. Afin d’aider les États membres à garantir la production de ces produits à long terme, la Commission a l’intention de mettre en place une «Alliance pour les médicaments critiques» d’ici le début de l’année 2024. Cela permettrait aux autorités nationales, à l’industrie, aux représentants de la société civile, à la Commission et aux agences de l’UE de mettre au point une action coordonnée au niveau de l’UE pour lutter contre les pénuries de médicaments, dans le respect des règles en matière de concurrence et des engagements internationaux de l’UE. Afin d’aider les États membres à constituer des stocks et à faciliter la mise en œuvre de la communication sur la lutte contre les pénuries de médicaments dans l’UE, la Commission élaborera avec les États membres une approche stratégique commune en matière de constitution de stocks. En outre, la Commission a l’intention de lancer une action conjointe en 2024 dans le cadre du </w:t>
      </w:r>
      <w:hyperlink r:id="rId22" w:history="1">
        <w:r>
          <w:rPr>
            <w:rStyle w:val="Hyperlink"/>
            <w:rFonts w:ascii="Times New Roman" w:hAnsi="Times New Roman"/>
          </w:rPr>
          <w:t>programme EU4Health</w:t>
        </w:r>
      </w:hyperlink>
      <w:r>
        <w:rPr>
          <w:rFonts w:ascii="Times New Roman" w:hAnsi="Times New Roman"/>
        </w:rPr>
        <w:t xml:space="preserve"> (au moyen de subventions directes aux États membres) afin de permettre aux États membres de continuer à élaborer des stratégies de stockage durables et tournées vers l’avenir au niveau national et de l’UE.</w:t>
      </w:r>
    </w:p>
    <w:p w14:paraId="488EAC12" w14:textId="2A141869" w:rsidR="000A1F30" w:rsidRPr="004D39AB" w:rsidRDefault="000A1F30" w:rsidP="00D01914">
      <w:pPr>
        <w:spacing w:after="120"/>
        <w:rPr>
          <w:rFonts w:ascii="Times New Roman" w:hAnsi="Times New Roman"/>
          <w:szCs w:val="24"/>
        </w:rPr>
      </w:pPr>
      <w:r>
        <w:rPr>
          <w:rFonts w:ascii="Times New Roman" w:hAnsi="Times New Roman"/>
        </w:rPr>
        <w:t xml:space="preserve">En ce qui concerne le </w:t>
      </w:r>
      <w:r>
        <w:rPr>
          <w:rFonts w:ascii="Times New Roman" w:hAnsi="Times New Roman"/>
          <w:b/>
        </w:rPr>
        <w:t>paragraphe 29</w:t>
      </w:r>
      <w:r>
        <w:rPr>
          <w:rFonts w:ascii="Times New Roman" w:hAnsi="Times New Roman"/>
        </w:rPr>
        <w:t xml:space="preserve">, qui met en doute </w:t>
      </w:r>
      <w:r>
        <w:rPr>
          <w:rFonts w:ascii="Times New Roman" w:hAnsi="Times New Roman"/>
          <w:b/>
        </w:rPr>
        <w:t>la mesure dans laquelle la stratégie de santé mentale de la Commission et les plans d’action nationaux prennent en compte des difficultés psychologiques résultant de la pauvreté et de l’exclusion sociale</w:t>
      </w:r>
      <w:r>
        <w:rPr>
          <w:rFonts w:ascii="Times New Roman" w:hAnsi="Times New Roman"/>
        </w:rPr>
        <w:t xml:space="preserve">, la Commission a adopté la communication sur une approche globale en matière de santé mentale le 7 juin 2023, après une vaste consultation des États membres, des parties prenantes et des citoyens. Elle recense 20 initiatives phares et des possibilités de soutien financier d’un montant de 1,23 milliard d’euros au titre de plusieurs instruments de financement de l’UE. Comme pour toutes les politiques de l’UE en matière de santé, la communication met l’accent sur la sensibilisation et la </w:t>
      </w:r>
      <w:r>
        <w:rPr>
          <w:rFonts w:ascii="Times New Roman" w:hAnsi="Times New Roman"/>
        </w:rPr>
        <w:lastRenderedPageBreak/>
        <w:t>participation des groupes vulnérables, tels que les enfants, les jeunes et les personnes socialement exclues. Des contributions spécifiques sur la santé mentale des jeunes ont été recueillies afin de préparer cette communication. Dans la communication, quatre initiatives phares ont été recensées dans le chapitre intitulé «Stimuler la santé mentale des enfants et des jeunes»: i) créer un réseau pour la santé mentale des enfants et des jeunes; ii) élaborer une boîte à outils de prévention, prenant en considération les principaux déterminants de la santé; iii) mettre au point des outils, par exemple sur un mode de vie sain et la résilience en matière de santé mentale; et iv) une meilleure protection des enfants dans la sphère numérique, en ligne et sur les médias sociaux. Au cours des prochaines années, la Commission travaillera en étroite collaboration avec les États membres pour mettre en œuvre ces actions afin de mieux protéger les enfants et les jeunes. Un groupe de rédaction dirigé par un État membre et chargé d’élaborer des «orientations de l’UE sur la stigmatisation et la discrimination» s’est réuni pour la première fois le 29 novembre 2023.</w:t>
      </w:r>
    </w:p>
    <w:p w14:paraId="7B2983A7" w14:textId="3C70E8AD" w:rsidR="00CF5D3B" w:rsidRPr="004D39AB" w:rsidRDefault="00FA696E" w:rsidP="00D01914">
      <w:pPr>
        <w:spacing w:after="120"/>
        <w:rPr>
          <w:rFonts w:ascii="Times New Roman" w:hAnsi="Times New Roman"/>
          <w:szCs w:val="24"/>
        </w:rPr>
      </w:pPr>
      <w:r>
        <w:rPr>
          <w:rFonts w:ascii="Times New Roman" w:hAnsi="Times New Roman"/>
        </w:rPr>
        <w:t xml:space="preserve">En ce qui concerne le </w:t>
      </w:r>
      <w:r>
        <w:rPr>
          <w:rFonts w:ascii="Times New Roman" w:hAnsi="Times New Roman"/>
          <w:b/>
        </w:rPr>
        <w:t>paragraphe 30</w:t>
      </w:r>
      <w:r>
        <w:rPr>
          <w:rFonts w:ascii="Times New Roman" w:hAnsi="Times New Roman"/>
        </w:rPr>
        <w:t xml:space="preserve">, qui invite à </w:t>
      </w:r>
      <w:r>
        <w:rPr>
          <w:rFonts w:ascii="Times New Roman" w:hAnsi="Times New Roman"/>
          <w:b/>
        </w:rPr>
        <w:t>protéger la santé mentale des enfants contre la surexposition et la surconsommation de contenus en ligne</w:t>
      </w:r>
      <w:r>
        <w:rPr>
          <w:rFonts w:ascii="Times New Roman" w:hAnsi="Times New Roman"/>
        </w:rPr>
        <w:t>, la Commission a lancé plusieurs initiatives majeures visant, d’une part, à promouvoir les technologies au service de la santé mentale et, d’autre part, à prévenir les risques d’effets néfastes dans le monde numérique. Cela se reflète bien dans la communication sur une approche globale en matière de santé mentale (COM/2023/298 final) adoptée en juin dernier. En outre, le règlement sur les services numériques [règlement (UE) 2022/2065] est un outil puissant pour lutter contre les risques pour la santé mentale en ligne. Il oblige les très grandes plateformes en ligne désignées (c’est-à-dire celles qui comptent plus de 45 millions d’utilisateurs dans l’UE) à évaluer les risques systémiques que leurs services font peser sur le bien-être mental. Ils doivent également mettre en place des mesures pour atténuer ces risques, par exemple en adaptant leurs systèmes de recommandation. En outre, dans le cadre de la stratégie européenne pour un internet mieux adapté aux enfants (BIK+) (COM/2022/212 final), le réseau cofinancé de centres pour un internet plus sûr et le portail BIK fournissent des ressources et un soutien aux enfants, à leurs aidants et aux éducateurs en vue d’une utilisation équilibrée des technologies numériques. Par ailleurs, le bilan de qualité du droit des consommateurs en matière d’équité numérique, qui se terminera en 2024, examine, entre autres questions, l’efficacité de la législation actuelle de l’UE en matière de protection des consommateurs dans la lutte contre la dépendance à l’égard des services numériques.</w:t>
      </w:r>
    </w:p>
    <w:p w14:paraId="22F6867B" w14:textId="6EFC0676" w:rsidR="008730BC" w:rsidRPr="008F45BB" w:rsidRDefault="00FA696E" w:rsidP="00D01914">
      <w:pPr>
        <w:spacing w:after="120"/>
        <w:rPr>
          <w:rFonts w:ascii="Times New Roman" w:hAnsi="Times New Roman"/>
          <w:szCs w:val="24"/>
        </w:rPr>
      </w:pPr>
      <w:r>
        <w:rPr>
          <w:rFonts w:ascii="Times New Roman" w:hAnsi="Times New Roman"/>
        </w:rPr>
        <w:t xml:space="preserve">En ce qui concerne le </w:t>
      </w:r>
      <w:r>
        <w:rPr>
          <w:rFonts w:ascii="Times New Roman" w:hAnsi="Times New Roman"/>
          <w:b/>
        </w:rPr>
        <w:t>paragraphe 32</w:t>
      </w:r>
      <w:r>
        <w:rPr>
          <w:rFonts w:ascii="Times New Roman" w:hAnsi="Times New Roman"/>
        </w:rPr>
        <w:t xml:space="preserve">, qui invite la </w:t>
      </w:r>
      <w:r>
        <w:rPr>
          <w:rFonts w:ascii="Times New Roman" w:hAnsi="Times New Roman"/>
          <w:b/>
        </w:rPr>
        <w:t>Commission à accélérer sa proposition de cadre régissant les services sociaux d’excellence pour les personnes handicapées</w:t>
      </w:r>
      <w:r>
        <w:rPr>
          <w:rFonts w:ascii="Times New Roman" w:hAnsi="Times New Roman"/>
        </w:rPr>
        <w:t>, la Commission s’est engagée à la présenter en 2024. Le cadre couvrira les services spécialisés destinés aux personnes handicapées ainsi que les services sociaux courants, afin de décourager toute approche différenciée en matière de prestation de services et de promouvoir l’accès à des services de qualité qui doivent être disponibles au sein de la communauté locale, afin de favoriser l’autonomie et l’inclusion sociale.</w:t>
      </w:r>
    </w:p>
    <w:p w14:paraId="139A27EA" w14:textId="5590C252" w:rsidR="00C81E13" w:rsidRDefault="00FA696E" w:rsidP="00D01914">
      <w:pPr>
        <w:spacing w:after="120"/>
        <w:rPr>
          <w:rFonts w:ascii="Times New Roman" w:hAnsi="Times New Roman"/>
          <w:szCs w:val="24"/>
        </w:rPr>
      </w:pPr>
      <w:r>
        <w:rPr>
          <w:rFonts w:ascii="Times New Roman" w:hAnsi="Times New Roman"/>
        </w:rPr>
        <w:t xml:space="preserve">En ce qui concerne le </w:t>
      </w:r>
      <w:r>
        <w:rPr>
          <w:rFonts w:ascii="Times New Roman" w:hAnsi="Times New Roman"/>
          <w:b/>
        </w:rPr>
        <w:t>paragraphe 33</w:t>
      </w:r>
      <w:r>
        <w:rPr>
          <w:rFonts w:ascii="Times New Roman" w:hAnsi="Times New Roman"/>
        </w:rPr>
        <w:t>, la Commission prend note de l’appel du Parlement à l'</w:t>
      </w:r>
      <w:r>
        <w:rPr>
          <w:rFonts w:ascii="Times New Roman" w:hAnsi="Times New Roman"/>
          <w:b/>
        </w:rPr>
        <w:t>intégration d’une</w:t>
      </w:r>
      <w:r>
        <w:rPr>
          <w:rFonts w:ascii="Times New Roman" w:hAnsi="Times New Roman"/>
        </w:rPr>
        <w:t xml:space="preserve"> </w:t>
      </w:r>
      <w:r>
        <w:rPr>
          <w:rFonts w:ascii="Times New Roman" w:hAnsi="Times New Roman"/>
          <w:b/>
        </w:rPr>
        <w:t>intervention de la petite enfance axée sur la famille dans tous les domaines d’action pertinents</w:t>
      </w:r>
      <w:r>
        <w:rPr>
          <w:rFonts w:ascii="Times New Roman" w:hAnsi="Times New Roman"/>
        </w:rPr>
        <w:t>.</w:t>
      </w:r>
      <w:r>
        <w:rPr>
          <w:rFonts w:ascii="Times New Roman" w:hAnsi="Times New Roman"/>
          <w:b/>
        </w:rPr>
        <w:t xml:space="preserve"> </w:t>
      </w:r>
      <w:r>
        <w:rPr>
          <w:rFonts w:ascii="Times New Roman" w:hAnsi="Times New Roman"/>
        </w:rPr>
        <w:t xml:space="preserve">En ce qui concerne l’appel, au </w:t>
      </w:r>
      <w:r>
        <w:rPr>
          <w:rFonts w:ascii="Times New Roman" w:hAnsi="Times New Roman"/>
          <w:b/>
        </w:rPr>
        <w:t>même paragraphe,</w:t>
      </w:r>
      <w:r>
        <w:rPr>
          <w:rFonts w:ascii="Times New Roman" w:hAnsi="Times New Roman"/>
        </w:rPr>
        <w:t xml:space="preserve"> à </w:t>
      </w:r>
      <w:r>
        <w:rPr>
          <w:rFonts w:ascii="Times New Roman" w:hAnsi="Times New Roman"/>
          <w:b/>
        </w:rPr>
        <w:t>consulter les personnes handicapées et leurs organisations représentatives</w:t>
      </w:r>
      <w:r>
        <w:rPr>
          <w:rFonts w:ascii="Times New Roman" w:hAnsi="Times New Roman"/>
        </w:rPr>
        <w:t>, la Commission est favorable à une véritable consultation des personnes handicapées et des organisations représentant leurs droits dans l’élaboration des politiques. Elle donne l’exemple en associant activement la plateforme sur le handicap et, plus largement, la société civile à l’élaboration de ses initiatives dans les domaines liés au handicap, et encourage les États membres à faire de même, y compris au moyen de leurs stratégies nationales en matière de handicap.</w:t>
      </w:r>
    </w:p>
    <w:p w14:paraId="3C2A1C4B" w14:textId="2D7B9B88" w:rsidR="002B1900" w:rsidRPr="004D39AB" w:rsidRDefault="00FA696E" w:rsidP="00D01914">
      <w:pPr>
        <w:spacing w:after="120"/>
        <w:rPr>
          <w:rFonts w:ascii="Times New Roman" w:hAnsi="Times New Roman"/>
          <w:szCs w:val="24"/>
        </w:rPr>
      </w:pPr>
      <w:r>
        <w:rPr>
          <w:rFonts w:ascii="Times New Roman" w:hAnsi="Times New Roman"/>
        </w:rPr>
        <w:lastRenderedPageBreak/>
        <w:t xml:space="preserve">En ce qui concerne le </w:t>
      </w:r>
      <w:r>
        <w:rPr>
          <w:rFonts w:ascii="Times New Roman" w:hAnsi="Times New Roman"/>
          <w:b/>
        </w:rPr>
        <w:t>paragraphe 35</w:t>
      </w:r>
      <w:r>
        <w:rPr>
          <w:rFonts w:ascii="Times New Roman" w:hAnsi="Times New Roman"/>
        </w:rPr>
        <w:t xml:space="preserve">, qui invite à recourir le plus largement possible à la </w:t>
      </w:r>
      <w:r>
        <w:rPr>
          <w:rFonts w:ascii="Times New Roman" w:hAnsi="Times New Roman"/>
          <w:b/>
        </w:rPr>
        <w:t xml:space="preserve">garantie européenne pour l’enfance en tant qu’outil permettant de faciliter l’intégration et l’inclusion sociales des enfants </w:t>
      </w:r>
      <w:r>
        <w:rPr>
          <w:rFonts w:ascii="Times New Roman" w:hAnsi="Times New Roman"/>
        </w:rPr>
        <w:t>et</w:t>
      </w:r>
      <w:r>
        <w:rPr>
          <w:rFonts w:ascii="Times New Roman" w:hAnsi="Times New Roman"/>
          <w:b/>
        </w:rPr>
        <w:t xml:space="preserve"> le renforcement des systèmes de protection de l’enfance, </w:t>
      </w:r>
      <w:r>
        <w:rPr>
          <w:rFonts w:ascii="Times New Roman" w:hAnsi="Times New Roman"/>
        </w:rPr>
        <w:t xml:space="preserve">ainsi qu’à </w:t>
      </w:r>
      <w:r>
        <w:rPr>
          <w:rFonts w:ascii="Times New Roman" w:hAnsi="Times New Roman"/>
          <w:b/>
        </w:rPr>
        <w:t>accroître les investissements et à renforcer les systèmes de protection de l’enfance et les services sociaux</w:t>
      </w:r>
      <w:r>
        <w:rPr>
          <w:rFonts w:ascii="Times New Roman" w:hAnsi="Times New Roman"/>
        </w:rPr>
        <w:t xml:space="preserve">, la Commission travaille en étroite collaboration avec les coordinateurs nationaux de la garantie pour l’enfance afin de garantir la mise en œuvre pleine et entière de la recommandation établissant la garantie européenne pour l’enfance. En outre, comme annoncé dans la stratégie de l’UE sur les droits de l’enfant et dans le </w:t>
      </w:r>
      <w:hyperlink r:id="rId23" w:history="1">
        <w:r>
          <w:rPr>
            <w:rStyle w:val="Hyperlink"/>
            <w:rFonts w:ascii="Times New Roman" w:hAnsi="Times New Roman"/>
          </w:rPr>
          <w:t>programme de travail de la Commission pour 2024</w:t>
        </w:r>
      </w:hyperlink>
      <w:r>
        <w:rPr>
          <w:rFonts w:ascii="Times New Roman" w:hAnsi="Times New Roman"/>
        </w:rPr>
        <w:t>, la Commission publiera, au cours du premier trimestre de 2024, une recommandation relative au développement et au renforcement de systèmes de protection de l’enfance plus intégrés. En plus de rendre les systèmes de protection de l’enfance plus axés sur les besoins des enfants, elle encouragera une approche intersectorielle coordonnée de l’aide à l’enfance. Dès le plus jeune âge, chaque enfant a droit à un niveau de vie décent et à l’égalité des chances. Cela est rappelé dans la stratégie de l’UE sur les droits de l’enfant, conformément aux articles 24 et 33 de la charte des droits fondamentaux de l’Union européenne. Comme le prévoit la stratégie de l’UE sur les droits de l’enfant, la Commission soutient le respect des droits de l’enfant en tant que priorité de l’UE dans l’ensemble des politiques. La Commission encourage les États membres à élaborer des stratégies nationales sur les droits de l’enfant et à soutenir toutes les actions recommandées dans la stratégie au moyen de ressources financières appropriées, y compris un financement de l’UE. Le réseau de l’UE pour les droits de l’enfant renforce le dialogue et l’apprentissage mutuel entre l’UE, les États membres, les organisations internationales et les organisations de la société civile sur les droits de l’enfant, et soutient la mise en œuvre, le suivi et l’évaluation de la stratégie.</w:t>
      </w:r>
    </w:p>
    <w:p w14:paraId="07DF98DD" w14:textId="7A0A7EC7" w:rsidR="00341F14" w:rsidRPr="00341F14" w:rsidRDefault="00FA696E" w:rsidP="00D01914">
      <w:pPr>
        <w:spacing w:after="120"/>
        <w:rPr>
          <w:rFonts w:ascii="Times New Roman" w:hAnsi="Times New Roman"/>
          <w:szCs w:val="24"/>
        </w:rPr>
      </w:pPr>
      <w:r>
        <w:rPr>
          <w:rFonts w:ascii="Times New Roman" w:hAnsi="Times New Roman"/>
        </w:rPr>
        <w:t xml:space="preserve">En ce qui concerne le </w:t>
      </w:r>
      <w:r>
        <w:rPr>
          <w:rFonts w:ascii="Times New Roman" w:hAnsi="Times New Roman"/>
          <w:b/>
        </w:rPr>
        <w:t>paragraphe 37</w:t>
      </w:r>
      <w:r>
        <w:rPr>
          <w:rFonts w:ascii="Times New Roman" w:hAnsi="Times New Roman"/>
        </w:rPr>
        <w:t xml:space="preserve">, qui invite à </w:t>
      </w:r>
      <w:r>
        <w:rPr>
          <w:rFonts w:ascii="Times New Roman" w:hAnsi="Times New Roman"/>
          <w:b/>
        </w:rPr>
        <w:t>proposer une directive-cadre sur le revenu minimum</w:t>
      </w:r>
      <w:r>
        <w:rPr>
          <w:rFonts w:ascii="Times New Roman" w:hAnsi="Times New Roman"/>
        </w:rPr>
        <w:t>, la Commission estime qu’une recommandation du Conseil constitue un instrument juridique approprié dans ce cas, conformément à la base juridique applicable. Elle permet aux États membres de fixer des objectifs ambitieux en ce qui concerne la définition et l’organisation de leurs systèmes de protection sociale tout en respectant le principe de subsidiarité et les compétences nationales. La recommandation du Conseil du 30 janvier 2023 relative à un revenu minimum adéquat pour garantir une inclusion active (2023/C 41/01) fournit des orientations aux États membres sur la manière de faire en sorte que leurs régimes de revenu minimum soient efficaces pour lutter contre la pauvreté et promouvoir l’inclusion active dans la société et sur les marchés du travail. Il est recommandé aux États membres: i) de rendre l’aide au revenu plus adéquate d’ici à 2030; ii) d’améliorer la couverture et l’utilisation du revenu minimum; iii) d’améliorer l’accès à des marchés du travail inclusifs: iv) d’améliorer l’accès aux services de soutien et aux services essentiels, et v) de promouvoir un soutien individualisé.</w:t>
      </w:r>
    </w:p>
    <w:p w14:paraId="0EA20C7C" w14:textId="40967328" w:rsidR="00DF007B" w:rsidRPr="00E24B55" w:rsidRDefault="00FA696E" w:rsidP="00D01914">
      <w:pPr>
        <w:spacing w:after="120"/>
        <w:rPr>
          <w:rFonts w:ascii="Times New Roman" w:hAnsi="Times New Roman"/>
          <w:szCs w:val="24"/>
        </w:rPr>
      </w:pPr>
      <w:r>
        <w:rPr>
          <w:rFonts w:ascii="Times New Roman" w:hAnsi="Times New Roman"/>
        </w:rPr>
        <w:t xml:space="preserve">En ce qui concerne le </w:t>
      </w:r>
      <w:r>
        <w:rPr>
          <w:rFonts w:ascii="Times New Roman" w:hAnsi="Times New Roman"/>
          <w:b/>
        </w:rPr>
        <w:t>paragraphe 38</w:t>
      </w:r>
      <w:r>
        <w:rPr>
          <w:rFonts w:ascii="Times New Roman" w:hAnsi="Times New Roman"/>
        </w:rPr>
        <w:t xml:space="preserve">, qui demande que les actions de l’UE </w:t>
      </w:r>
      <w:r>
        <w:rPr>
          <w:rFonts w:ascii="Times New Roman" w:hAnsi="Times New Roman"/>
          <w:b/>
        </w:rPr>
        <w:t>répondent aux besoins de tous les citoyens de l’Union en matière de logement</w:t>
      </w:r>
      <w:r>
        <w:rPr>
          <w:rFonts w:ascii="Times New Roman" w:hAnsi="Times New Roman"/>
        </w:rPr>
        <w:t xml:space="preserve">, le FEDER peut soutenir les investissements dans les infrastructures, les équipements et l’accès à des services de base, sans ségrégation et accessibles dans les domaines de l’éducation, de l’emploi, du logement, des soins de santé et de l’aide sociale. Dans le cadre des programmes 2021-2027, plusieurs États membres ont programmé des investissements directs dans le logement social dans le cadre de l’inclusion sociale, pour un montant d’environ 1 milliard d’euros. En outre, plusieurs autres investissements – liés aux transports, à l’efficacité énergétique, au climat ou à l’environnement – devraient également avoir une incidence positive sur le logement. Par exemple, le soutien à l’efficacité énergétique dans le secteur du logement s’élève à environ 6,2 milliards </w:t>
      </w:r>
      <w:r>
        <w:rPr>
          <w:rFonts w:ascii="Times New Roman" w:hAnsi="Times New Roman"/>
        </w:rPr>
        <w:lastRenderedPageBreak/>
        <w:t xml:space="preserve">d’euros. Il est important que les investissements se concentrent sur des mesures qui contribuent à réduire et/ou à éliminer l’isolement physique. </w:t>
      </w:r>
    </w:p>
    <w:p w14:paraId="342C2873" w14:textId="2E66A3D9" w:rsidR="00341F14" w:rsidRPr="008D21D4" w:rsidRDefault="00FA696E" w:rsidP="00D01914">
      <w:pPr>
        <w:spacing w:after="120"/>
        <w:rPr>
          <w:rFonts w:ascii="Times New Roman" w:hAnsi="Times New Roman"/>
          <w:szCs w:val="24"/>
        </w:rPr>
      </w:pPr>
      <w:r>
        <w:rPr>
          <w:rFonts w:ascii="Times New Roman" w:hAnsi="Times New Roman"/>
        </w:rPr>
        <w:t xml:space="preserve">En ce qui concerne le </w:t>
      </w:r>
      <w:r>
        <w:rPr>
          <w:rFonts w:ascii="Times New Roman" w:hAnsi="Times New Roman"/>
          <w:b/>
        </w:rPr>
        <w:t>paragraphe 41</w:t>
      </w:r>
      <w:r>
        <w:rPr>
          <w:rFonts w:ascii="Times New Roman" w:hAnsi="Times New Roman"/>
        </w:rPr>
        <w:t xml:space="preserve">, qui invite à </w:t>
      </w:r>
      <w:r>
        <w:rPr>
          <w:rFonts w:ascii="Times New Roman" w:hAnsi="Times New Roman"/>
          <w:b/>
        </w:rPr>
        <w:t>sensibiliser l’opinion publique afin de mettre un terme à la stigmatisation, aux stéréotypes et à l’exclusion sociale des enfants et des familles en situation vulnérable</w:t>
      </w:r>
      <w:r>
        <w:rPr>
          <w:rFonts w:ascii="Times New Roman" w:hAnsi="Times New Roman"/>
        </w:rPr>
        <w:t xml:space="preserve">, le paragraphe 6, point f), de la recommandation établissant la garantie européenne pour l’enfance fournit des orientations aux États membres pour les aider à prévenir et à combattre la discrimination et la stigmatisation à l’égard des enfants dans le besoin, tandis que son paragraphe 11, point d), souligne l’importance de sensibiliser le public et d’encourager et de faciliter le recours aux services couverts par la garantie. Avec le soutien de la Commission, les coordinateurs nationaux de la garantie pour l’enfance échangent des bonnes pratiques sur la meilleure manière de mettre en œuvre les recommandations susmentionnées.  </w:t>
      </w:r>
    </w:p>
    <w:p w14:paraId="77C19212" w14:textId="01776FD8" w:rsidR="00DF007B" w:rsidRDefault="00FA696E" w:rsidP="00D01914">
      <w:pPr>
        <w:spacing w:after="120"/>
        <w:rPr>
          <w:rFonts w:ascii="Times New Roman" w:hAnsi="Times New Roman"/>
          <w:szCs w:val="24"/>
        </w:rPr>
      </w:pPr>
      <w:bookmarkStart w:id="3" w:name="_Hlk152930073"/>
      <w:r>
        <w:rPr>
          <w:rFonts w:ascii="Times New Roman" w:hAnsi="Times New Roman"/>
        </w:rPr>
        <w:t xml:space="preserve">En ce qui concerne le </w:t>
      </w:r>
      <w:r>
        <w:rPr>
          <w:rFonts w:ascii="Times New Roman" w:hAnsi="Times New Roman"/>
          <w:b/>
        </w:rPr>
        <w:t>paragraphe 42</w:t>
      </w:r>
      <w:r>
        <w:rPr>
          <w:rFonts w:ascii="Times New Roman" w:hAnsi="Times New Roman"/>
        </w:rPr>
        <w:t xml:space="preserve">, qui invite à </w:t>
      </w:r>
      <w:r>
        <w:rPr>
          <w:rFonts w:ascii="Times New Roman" w:hAnsi="Times New Roman"/>
          <w:b/>
        </w:rPr>
        <w:t>accorder une attention particulière aux défis uniques auxquels sont confrontés les enfants roms</w:t>
      </w:r>
      <w:r>
        <w:rPr>
          <w:rFonts w:ascii="Times New Roman" w:hAnsi="Times New Roman"/>
        </w:rPr>
        <w:t>, le cadre stratégique de l’UE pour l’égalité, l’inclusion et la participation des Roms [COM (2020) 620 final] fixe comme objectif pour 2030 de réduire d’au moins de moitié l’écart de pauvreté entre les Roms et la population en général, tant dans tous les groupes d’âge que chez les enfants. Il invite également les États membres à mettre en œuvre des mesures visant à garantir l’inclusion socio-économique des Roms marginalisés, en particulier dans les domaines de l’éducation, de l’emploi, de la santé et du logement. En janvier 2023, la Commission a fait le point sur les cadres stratégiques nationaux en faveur des Roms, évalué les engagements pris par les États membres et fourni des orientations relatives aux améliorations nécessaires (COM/2023/7 final). Dans sa communication, la Commission concluait que des efforts supplémentaires étaient nécessaires pour lutter contre la ségrégation dans l’éducation et invitait les États membres à redoubler d’efforts pour prévenir et éradiquer la ségrégation scolaire et spatiale dont font l’objet les enfants roms, et à s’attaquer à la question des erreurs de diagnostic qui orientent de manière injustifiée les enfants roms vers un enseignement répondant à des besoins spéciaux. La Commission a également encouragé les États membres à recenser et à supprimer de manière proactive les obstacles qui empêchent les enfants roms d'accéder aux structures d'accueil et d'éducation de la petite enfance et de recevoir un enseignement de bonne qualité à tous les niveaux, dans des environnements non soumis à la ségrégation. La Commission a vivement invité les États membres à exploiter au mieux les fonds de l’UE (FSE+, FEDER, InvestEU et facilité pour la reprise et la résilience) pour contribuer à améliorer les conditions de vie et les perspectives de développement des communautés roms marginalisées et des Roms vivant dans des ménages à faibles revenus, qui sont exposés au risque de pauvreté et d’exclusion sociale. Le 19 avril 2023, la Commission européenne a décidé de saisir la Cour de justice de l’Union européenne d’un recours contre la Slovaquie au motif qu’elle n’a pas résolu efficacement le problème de la ségrégation des enfants roms dans l’éducation.</w:t>
      </w:r>
      <w:bookmarkEnd w:id="3"/>
    </w:p>
    <w:p w14:paraId="53AA9F9C" w14:textId="49507422" w:rsidR="00E24B55" w:rsidRPr="00E24B55" w:rsidRDefault="00FA696E" w:rsidP="00D01914">
      <w:pPr>
        <w:spacing w:after="120"/>
      </w:pPr>
      <w:r>
        <w:rPr>
          <w:rFonts w:ascii="Times New Roman" w:hAnsi="Times New Roman"/>
        </w:rPr>
        <w:t xml:space="preserve">En ce qui concerne le </w:t>
      </w:r>
      <w:r>
        <w:rPr>
          <w:rFonts w:ascii="Times New Roman" w:hAnsi="Times New Roman"/>
          <w:b/>
        </w:rPr>
        <w:t>paragraphe 46</w:t>
      </w:r>
      <w:r>
        <w:rPr>
          <w:rFonts w:ascii="Times New Roman" w:hAnsi="Times New Roman"/>
        </w:rPr>
        <w:t xml:space="preserve">, qui invite à </w:t>
      </w:r>
      <w:r>
        <w:rPr>
          <w:rFonts w:ascii="Times New Roman" w:hAnsi="Times New Roman"/>
          <w:b/>
        </w:rPr>
        <w:t>lutter activement contre la traite des enfants et toute forme d’exploitation</w:t>
      </w:r>
      <w:r>
        <w:rPr>
          <w:rFonts w:ascii="Times New Roman" w:hAnsi="Times New Roman"/>
        </w:rPr>
        <w:t xml:space="preserve">, la Commission recueille chaque année des données auprès des États membres, qui indiquent que près d’une victime sur quatre de la traite des êtres humains détectée dans l’UE est un enfant et que la plupart des enfants victimes enregistrées sont victimes de la traite à des fins d’exploitation sexuelle, mais aussi de mendicité forcée, de criminalité, de travail et d’autres formes d’exploitation. Les enfants courent un risque particulier d’être victimes de trafiquants en ligne. La Commission et les États membres prennent des mesures pour lutter contre la traite des enfants à des fins d’exploitation sous toutes ses formes. La directive 2011/36/UE concernant la prévention de la traite des êtres humains et la lutte contre ce phénomène ainsi que la protection des victimes adopte une approche spécifique aux enfants et </w:t>
      </w:r>
      <w:r>
        <w:rPr>
          <w:rFonts w:ascii="Times New Roman" w:hAnsi="Times New Roman"/>
        </w:rPr>
        <w:lastRenderedPageBreak/>
        <w:t>comprend des dispositions spécifiques concernant les enfants victimes. En vertu de la directive, les enfants sont toujours considérés comme vulnérables, ce qui entraîne des sanctions plus lourdes pour les trafiquants. En outre, dans le cas des enfants, tous les éléments constitutifs d’une infraction de traite des êtres humains ne doivent pas être réunis pour qu’une infraction puisse être considérée comme telle. La directive contient des dispositions détaillées sur l’assistance et l’aide aux enfants victimes, ainsi que sur leur protection dans le cadre des procédures pénales, y compris des dispositions spécifiques sur les enfants non accompagnés.</w:t>
      </w:r>
      <w:r>
        <w:t xml:space="preserve"> </w:t>
      </w:r>
      <w:r>
        <w:rPr>
          <w:rFonts w:ascii="Times New Roman" w:hAnsi="Times New Roman"/>
        </w:rPr>
        <w:t xml:space="preserve">La communication de la Commission de 2021 sur la stratégie de l’UE visant à lutter contre la traite des êtres humains 2021-2025 (COM/2021/171 final) adopte une approche globale, depuis la prévention jusqu'à la condamnation des criminels, en faisant de la protection des victimes une priorité à tous les stades, ainsi qu'en accordant une attention particulière aux enfants victimes. Parmi les actions clés de la stratégie de l’UE, la Commission a procédé à une évaluation de la directive relative à la lutte contre la traite des êtres humains et proposé des modifications ciblées. La proposition de la Commission inclut l’ajout du mariage forcé et de l’adoption illégale parmi les formes d’exploitation érigées en infraction pénale au titre de la directive, dans le but d’améliorer la réponse de la justice pénale à ces phénomènes, qui suscitent de plus en plus d’inquiétudes. </w:t>
      </w:r>
    </w:p>
    <w:p w14:paraId="780CB016" w14:textId="7F4085A8" w:rsidR="00E24B55" w:rsidRDefault="00E24B55" w:rsidP="00D01914">
      <w:pPr>
        <w:spacing w:after="120"/>
        <w:rPr>
          <w:rFonts w:ascii="Times New Roman" w:hAnsi="Times New Roman"/>
          <w:szCs w:val="24"/>
        </w:rPr>
      </w:pPr>
      <w:r>
        <w:rPr>
          <w:rFonts w:ascii="Times New Roman" w:hAnsi="Times New Roman"/>
        </w:rPr>
        <w:t xml:space="preserve">Les actions opérationnelles destinées à remédier à la traite des enfants sont menées par les États membres avec le soutien des agences de l’UE dans le cadre de la plateforme pluridisciplinaire européenne contre les menaces criminelles (EMPACT), qui vise à détecter les réseaux criminels et à identifier les victimes potentielles. Par exemple, une opération mondiale contre la traite des êtres humains a été menée en mai 2023 avec le soutien de l’Agence de l’Union européenne pour la coopération des services répressifs (Europol) et de l’Agence européenne de garde-frontières et de garde-côtes (Frontex), visant à détecter et à démanteler les groupes criminels organisés impliqués dans la traite des enfants, entre autres. La vulnérabilité des enfants face à la traite des êtres humains est abordée sous l’angle du financement, avec des actions spécifiques de lutte contre la traite des enfants dans le cadre du Fonds pour la sécurité intérieure et de l’assistance, du soutien et de l’intégration rapide des enfants victimes de la traite des êtres humains provenant de pays tiers au titre du Fonds «Asile, migration et intégration». L’UE répond également aux besoins particuliers de protection des enfants, y compris des enfants migrants, qui sont victimes de la traite, dans le cadre de son financement thématique et géographique et de ses partenariats avec les pays tiers d’origine et de transit des victimes de la traite des êtres humains. Un plan commun de lutte contre la traite des êtres humains visant à faire face aux risques de traite des êtres humains et à soutenir les victimes potentielles parmi les personnes fuyant la guerre en Ukraine a été élaboré et mis en œuvre sous la direction du coordinateur de l’UE pour la lutte contre la traite des êtres humains, en coopération avec les États membres, les agences de l’UE, les organisations de la société civile et l’Ukraine et la Moldavie. Le plan adopte une approche fondée sur les droits de l’enfant pour remédier à la vulnérabilité particulière des enfants, y compris les enfants non accompagnés et séparés de leur famille. </w:t>
      </w:r>
    </w:p>
    <w:p w14:paraId="61733AEA" w14:textId="38EAF2BD" w:rsidR="00847051" w:rsidRPr="00847051" w:rsidRDefault="00847051" w:rsidP="00D01914">
      <w:pPr>
        <w:spacing w:after="120"/>
        <w:rPr>
          <w:rFonts w:ascii="Times New Roman" w:hAnsi="Times New Roman"/>
          <w:szCs w:val="24"/>
        </w:rPr>
      </w:pPr>
      <w:r>
        <w:rPr>
          <w:rFonts w:ascii="Times New Roman" w:hAnsi="Times New Roman"/>
        </w:rPr>
        <w:t xml:space="preserve">En ce qui concerne le </w:t>
      </w:r>
      <w:r>
        <w:rPr>
          <w:rFonts w:ascii="Times New Roman" w:hAnsi="Times New Roman"/>
          <w:b/>
        </w:rPr>
        <w:t>paragraphe 50</w:t>
      </w:r>
      <w:r>
        <w:rPr>
          <w:rFonts w:ascii="Times New Roman" w:hAnsi="Times New Roman"/>
        </w:rPr>
        <w:t xml:space="preserve">, qui invite à </w:t>
      </w:r>
      <w:r>
        <w:rPr>
          <w:rFonts w:ascii="Times New Roman" w:hAnsi="Times New Roman"/>
          <w:b/>
        </w:rPr>
        <w:t>élaborer des lignes directrices afin de faciliter la participation des enfants au processus d’élaboration des politiques</w:t>
      </w:r>
      <w:r>
        <w:rPr>
          <w:rFonts w:ascii="Times New Roman" w:hAnsi="Times New Roman"/>
        </w:rPr>
        <w:t xml:space="preserve">, la Commission a mis en place une </w:t>
      </w:r>
      <w:hyperlink r:id="rId24" w:history="1">
        <w:r>
          <w:rPr>
            <w:rStyle w:val="Hyperlink"/>
            <w:rFonts w:ascii="Times New Roman" w:hAnsi="Times New Roman"/>
          </w:rPr>
          <w:t>plateforme européenne de participation des enfants</w:t>
        </w:r>
      </w:hyperlink>
      <w:r>
        <w:rPr>
          <w:rFonts w:ascii="Times New Roman" w:hAnsi="Times New Roman"/>
        </w:rPr>
        <w:t>. La plateforme œuvre à une approche plus systémique, cohérente, constructive, inclusive et sûre de la participation des enfants et associe ces derniers au processus décisionnel de l’UE. Cette plateforme rassemble les mécanismes existants de participation des enfants de 20 pays, après une année de mise en œuvre en partenariat avec le Parlement européen, la société civile et les enfants eux-mêmes.</w:t>
      </w:r>
    </w:p>
    <w:p w14:paraId="43DCCC35" w14:textId="6F644474" w:rsidR="00806445" w:rsidRPr="00CF5D3B" w:rsidRDefault="00FA696E" w:rsidP="00D01914">
      <w:pPr>
        <w:spacing w:after="120"/>
        <w:rPr>
          <w:rFonts w:ascii="Times New Roman" w:hAnsi="Times New Roman"/>
          <w:szCs w:val="24"/>
        </w:rPr>
      </w:pPr>
      <w:r>
        <w:rPr>
          <w:rFonts w:ascii="Times New Roman" w:hAnsi="Times New Roman"/>
        </w:rPr>
        <w:lastRenderedPageBreak/>
        <w:t xml:space="preserve">En ce qui concerne le </w:t>
      </w:r>
      <w:r>
        <w:rPr>
          <w:rFonts w:ascii="Times New Roman" w:hAnsi="Times New Roman"/>
          <w:b/>
        </w:rPr>
        <w:t>paragraphe 51</w:t>
      </w:r>
      <w:r>
        <w:rPr>
          <w:rFonts w:ascii="Times New Roman" w:hAnsi="Times New Roman"/>
        </w:rPr>
        <w:t xml:space="preserve">, qui met l’accent sur </w:t>
      </w:r>
      <w:r>
        <w:rPr>
          <w:rFonts w:ascii="Times New Roman" w:hAnsi="Times New Roman"/>
          <w:b/>
        </w:rPr>
        <w:t>le droit de jouer et d’exercer des activités récréatives en tant que facteur structurant dans le plein développement des enfants</w:t>
      </w:r>
      <w:r>
        <w:rPr>
          <w:rFonts w:ascii="Times New Roman" w:hAnsi="Times New Roman"/>
        </w:rPr>
        <w:t>, la Commission souligne que la recommandation du Conseil concernant l’initiative «Passeport pour la réussite scolaire» considère le bien-être des élèves comme une condition préalable à la réussite scolaire et un élément inhérent à celle-ci. Les mesures de prévention et d’intervention du cadre d’action pour la réussite scolaire appellent à l’inclusion de l’éducation sociale et émotionnelle, de la prévention du harcèlement et de la santé mentale et physique dans les programmes d’études, des infrastructures d’éducation et d’accueil de la petite enfance jusqu’au deuxième cycle de l’enseignement secondaire. Pour continuer à progresser sur cette question, la Commission a lancé, en mars 2023, un groupe d’experts chargé d’élaborer des propositions sur des stratégies visant à créer des environnements d’apprentissage favorables pour les groupes présentant un risque d’échec scolaire et de soutenir le bien-être à l’école. Le groupe d’experts accorde une attention particulière aux questions de bien-être et de l'amélioration de la santé mentale, ainsi qu’à la prévention du harcèlement et de la violence à l’école. Il élaborera des recommandations stratégiques ainsi que des propositions concernant l’adoption effective de pratiques couronnées de succès dans les établissements scolaires et des recommandations concernant des activités de sensibilisation aux niveaux européen et national. Ses travaux sont prévus jusqu’en juin 2024, dans le but d’aider la Commission à élaborer des politiques fondées sur des données probantes en matière de bien-être dans les écoles.</w:t>
      </w:r>
    </w:p>
    <w:sectPr w:rsidR="00806445" w:rsidRPr="00CF5D3B" w:rsidSect="000A07D2">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E9D92" w14:textId="77777777" w:rsidR="00501F66" w:rsidRDefault="00501F66">
      <w:r>
        <w:separator/>
      </w:r>
    </w:p>
  </w:endnote>
  <w:endnote w:type="continuationSeparator" w:id="0">
    <w:p w14:paraId="200DAE02" w14:textId="77777777" w:rsidR="00501F66" w:rsidRDefault="0050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0F86"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37DA5408"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DAFB"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2E5F">
      <w:rPr>
        <w:rStyle w:val="PageNumber"/>
      </w:rPr>
      <w:t>3</w:t>
    </w:r>
    <w:r>
      <w:rPr>
        <w:rStyle w:val="PageNumber"/>
      </w:rPr>
      <w:fldChar w:fldCharType="end"/>
    </w:r>
  </w:p>
  <w:p w14:paraId="5497A6B3"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696100"/>
      <w:docPartObj>
        <w:docPartGallery w:val="Page Numbers (Bottom of Page)"/>
        <w:docPartUnique/>
      </w:docPartObj>
    </w:sdtPr>
    <w:sdtEndPr>
      <w:rPr>
        <w:noProof/>
      </w:rPr>
    </w:sdtEndPr>
    <w:sdtContent>
      <w:p w14:paraId="40DD6CA8" w14:textId="48A51769" w:rsidR="000F21B0" w:rsidRDefault="000F21B0">
        <w:pPr>
          <w:pStyle w:val="Footer"/>
          <w:jc w:val="center"/>
        </w:pPr>
        <w:r>
          <w:fldChar w:fldCharType="begin"/>
        </w:r>
        <w:r>
          <w:instrText xml:space="preserve"> PAGE   \* MERGEFORMAT </w:instrText>
        </w:r>
        <w:r>
          <w:fldChar w:fldCharType="separate"/>
        </w:r>
        <w:r>
          <w:t>2</w:t>
        </w:r>
        <w:r>
          <w:fldChar w:fldCharType="end"/>
        </w:r>
      </w:p>
    </w:sdtContent>
  </w:sdt>
  <w:p w14:paraId="17A4DDFA" w14:textId="40002D53" w:rsidR="005E6EC2" w:rsidRPr="00E05953" w:rsidRDefault="005E6EC2" w:rsidP="00E05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87760" w14:textId="77777777" w:rsidR="00501F66" w:rsidRDefault="00501F66">
      <w:r>
        <w:separator/>
      </w:r>
    </w:p>
  </w:footnote>
  <w:footnote w:type="continuationSeparator" w:id="0">
    <w:p w14:paraId="37DD159B" w14:textId="77777777" w:rsidR="00501F66" w:rsidRDefault="0050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4AC7" w14:textId="77777777" w:rsidR="00E05953" w:rsidRDefault="00E05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3030" w14:textId="77777777" w:rsidR="00E05953" w:rsidRDefault="00E059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68EB" w14:textId="77777777" w:rsidR="00E05953" w:rsidRDefault="00E05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996626"/>
    <w:multiLevelType w:val="hybridMultilevel"/>
    <w:tmpl w:val="167E1E8A"/>
    <w:lvl w:ilvl="0" w:tplc="1F961EDC">
      <w:start w:val="1"/>
      <w:numFmt w:val="bullet"/>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2973D2"/>
    <w:multiLevelType w:val="hybridMultilevel"/>
    <w:tmpl w:val="CFA0D23A"/>
    <w:lvl w:ilvl="0" w:tplc="492C7160">
      <w:start w:val="1"/>
      <w:numFmt w:val="decimal"/>
      <w:lvlText w:val="%1."/>
      <w:lvlJc w:val="left"/>
      <w:pPr>
        <w:ind w:left="720" w:hanging="720"/>
      </w:pPr>
      <w:rPr>
        <w:rFonts w:hint="default"/>
        <w:b/>
        <w:i w:val="0"/>
      </w:rPr>
    </w:lvl>
    <w:lvl w:ilvl="1" w:tplc="8F9840AA">
      <w:start w:val="1"/>
      <w:numFmt w:val="lowerRoman"/>
      <w:lvlText w:val="(%2)"/>
      <w:lvlJc w:val="left"/>
      <w:pPr>
        <w:ind w:left="1582" w:hanging="720"/>
      </w:pPr>
      <w:rPr>
        <w:rFonts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1" w15:restartNumberingAfterBreak="0">
    <w:nsid w:val="1CB165CC"/>
    <w:multiLevelType w:val="hybridMultilevel"/>
    <w:tmpl w:val="36F843EA"/>
    <w:lvl w:ilvl="0" w:tplc="BB289504">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3" w15:restartNumberingAfterBreak="0">
    <w:nsid w:val="1FF10B2E"/>
    <w:multiLevelType w:val="hybridMultilevel"/>
    <w:tmpl w:val="0C881504"/>
    <w:lvl w:ilvl="0" w:tplc="815C4178">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8005920"/>
    <w:multiLevelType w:val="hybridMultilevel"/>
    <w:tmpl w:val="EF38D27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1"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2"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5"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9"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4"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5"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6299669">
    <w:abstractNumId w:val="7"/>
  </w:num>
  <w:num w:numId="2" w16cid:durableId="391275394">
    <w:abstractNumId w:val="1"/>
  </w:num>
  <w:num w:numId="3" w16cid:durableId="469370595">
    <w:abstractNumId w:val="34"/>
  </w:num>
  <w:num w:numId="4" w16cid:durableId="629553903">
    <w:abstractNumId w:val="15"/>
  </w:num>
  <w:num w:numId="5" w16cid:durableId="1257904894">
    <w:abstractNumId w:val="28"/>
  </w:num>
  <w:num w:numId="6" w16cid:durableId="2014608428">
    <w:abstractNumId w:val="12"/>
  </w:num>
  <w:num w:numId="7" w16cid:durableId="1566142467">
    <w:abstractNumId w:val="5"/>
  </w:num>
  <w:num w:numId="8" w16cid:durableId="751005467">
    <w:abstractNumId w:val="18"/>
  </w:num>
  <w:num w:numId="9" w16cid:durableId="1621689543">
    <w:abstractNumId w:val="33"/>
  </w:num>
  <w:num w:numId="10" w16cid:durableId="1154180879">
    <w:abstractNumId w:val="24"/>
  </w:num>
  <w:num w:numId="11" w16cid:durableId="330067913">
    <w:abstractNumId w:val="26"/>
  </w:num>
  <w:num w:numId="12" w16cid:durableId="1734812623">
    <w:abstractNumId w:val="14"/>
  </w:num>
  <w:num w:numId="13" w16cid:durableId="1513911055">
    <w:abstractNumId w:val="19"/>
  </w:num>
  <w:num w:numId="14" w16cid:durableId="325789304">
    <w:abstractNumId w:val="29"/>
  </w:num>
  <w:num w:numId="15" w16cid:durableId="467362143">
    <w:abstractNumId w:val="17"/>
  </w:num>
  <w:num w:numId="16" w16cid:durableId="861481712">
    <w:abstractNumId w:val="35"/>
  </w:num>
  <w:num w:numId="17" w16cid:durableId="888299619">
    <w:abstractNumId w:val="32"/>
  </w:num>
  <w:num w:numId="18" w16cid:durableId="1498498819">
    <w:abstractNumId w:val="22"/>
  </w:num>
  <w:num w:numId="19" w16cid:durableId="458691420">
    <w:abstractNumId w:val="23"/>
  </w:num>
  <w:num w:numId="20" w16cid:durableId="1042706000">
    <w:abstractNumId w:val="27"/>
  </w:num>
  <w:num w:numId="21" w16cid:durableId="1014192896">
    <w:abstractNumId w:val="3"/>
  </w:num>
  <w:num w:numId="22" w16cid:durableId="1513647747">
    <w:abstractNumId w:val="4"/>
  </w:num>
  <w:num w:numId="23" w16cid:durableId="1725830453">
    <w:abstractNumId w:val="21"/>
  </w:num>
  <w:num w:numId="24" w16cid:durableId="152991008">
    <w:abstractNumId w:val="30"/>
  </w:num>
  <w:num w:numId="25" w16cid:durableId="1577402608">
    <w:abstractNumId w:val="10"/>
  </w:num>
  <w:num w:numId="26" w16cid:durableId="863136596">
    <w:abstractNumId w:val="31"/>
  </w:num>
  <w:num w:numId="27" w16cid:durableId="734203558">
    <w:abstractNumId w:val="9"/>
  </w:num>
  <w:num w:numId="28" w16cid:durableId="592470197">
    <w:abstractNumId w:val="2"/>
  </w:num>
  <w:num w:numId="29" w16cid:durableId="889877280">
    <w:abstractNumId w:val="16"/>
  </w:num>
  <w:num w:numId="30" w16cid:durableId="1214149483">
    <w:abstractNumId w:val="25"/>
  </w:num>
  <w:num w:numId="31" w16cid:durableId="2009794665">
    <w:abstractNumId w:val="34"/>
  </w:num>
  <w:num w:numId="32" w16cid:durableId="832333623">
    <w:abstractNumId w:val="6"/>
  </w:num>
  <w:num w:numId="33" w16cid:durableId="522792209">
    <w:abstractNumId w:val="13"/>
  </w:num>
  <w:num w:numId="34" w16cid:durableId="616958875">
    <w:abstractNumId w:val="20"/>
  </w:num>
  <w:num w:numId="35" w16cid:durableId="1885289969">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Restart w:val="eachSect"/>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265"/>
    <w:rsid w:val="0001730F"/>
    <w:rsid w:val="00017430"/>
    <w:rsid w:val="000174AF"/>
    <w:rsid w:val="00017529"/>
    <w:rsid w:val="00017566"/>
    <w:rsid w:val="0001768C"/>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11A"/>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93D"/>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AE3"/>
    <w:rsid w:val="000A1BDC"/>
    <w:rsid w:val="000A1CD5"/>
    <w:rsid w:val="000A1E0A"/>
    <w:rsid w:val="000A1E8A"/>
    <w:rsid w:val="000A1F30"/>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93C"/>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1B0"/>
    <w:rsid w:val="000F24AC"/>
    <w:rsid w:val="000F2713"/>
    <w:rsid w:val="000F2E1A"/>
    <w:rsid w:val="000F323C"/>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3D2"/>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681"/>
    <w:rsid w:val="0012079D"/>
    <w:rsid w:val="00120E34"/>
    <w:rsid w:val="00120E8D"/>
    <w:rsid w:val="0012121E"/>
    <w:rsid w:val="00121335"/>
    <w:rsid w:val="00121382"/>
    <w:rsid w:val="00121541"/>
    <w:rsid w:val="00121B5E"/>
    <w:rsid w:val="00121E93"/>
    <w:rsid w:val="00121EDE"/>
    <w:rsid w:val="00121F5D"/>
    <w:rsid w:val="00122706"/>
    <w:rsid w:val="00122B44"/>
    <w:rsid w:val="00123609"/>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8EE"/>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0B6"/>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9EA"/>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2F0E"/>
    <w:rsid w:val="001D31EA"/>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703"/>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2E7"/>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929"/>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2998"/>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7C6"/>
    <w:rsid w:val="001F7CC6"/>
    <w:rsid w:val="001F7DD5"/>
    <w:rsid w:val="00200026"/>
    <w:rsid w:val="0020021A"/>
    <w:rsid w:val="00200333"/>
    <w:rsid w:val="002003F9"/>
    <w:rsid w:val="0020057E"/>
    <w:rsid w:val="00200D57"/>
    <w:rsid w:val="00200EC8"/>
    <w:rsid w:val="0020101D"/>
    <w:rsid w:val="00201DC2"/>
    <w:rsid w:val="0020209F"/>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345"/>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114"/>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43D"/>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B0"/>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6F53"/>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0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240"/>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B7C"/>
    <w:rsid w:val="00313C32"/>
    <w:rsid w:val="00314017"/>
    <w:rsid w:val="00314034"/>
    <w:rsid w:val="00314397"/>
    <w:rsid w:val="003144BA"/>
    <w:rsid w:val="00314523"/>
    <w:rsid w:val="00314645"/>
    <w:rsid w:val="003149A3"/>
    <w:rsid w:val="00314B2A"/>
    <w:rsid w:val="00315000"/>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9D"/>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B72"/>
    <w:rsid w:val="00333CAD"/>
    <w:rsid w:val="00333F29"/>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1F14"/>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6E7"/>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616"/>
    <w:rsid w:val="00362709"/>
    <w:rsid w:val="0036283F"/>
    <w:rsid w:val="00362CBC"/>
    <w:rsid w:val="00362F6B"/>
    <w:rsid w:val="00362F78"/>
    <w:rsid w:val="00363328"/>
    <w:rsid w:val="0036335B"/>
    <w:rsid w:val="003633DD"/>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6F8A"/>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0F74"/>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D7D3F"/>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078"/>
    <w:rsid w:val="004112AE"/>
    <w:rsid w:val="00411903"/>
    <w:rsid w:val="00411CCB"/>
    <w:rsid w:val="00411E7E"/>
    <w:rsid w:val="00411F4F"/>
    <w:rsid w:val="00412042"/>
    <w:rsid w:val="004123B6"/>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3FE3"/>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81B"/>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3E4"/>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C50"/>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095"/>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9AB"/>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B4"/>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BB"/>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1F66"/>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9EE"/>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A3"/>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68"/>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B6F"/>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6D52"/>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CF3"/>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4C2"/>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295"/>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84C"/>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8CF"/>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209"/>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7D7"/>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C40"/>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9B0"/>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2A7"/>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5E8"/>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8FB"/>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C7FA5"/>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A36"/>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3AF"/>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D2E"/>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61"/>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1FC"/>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894"/>
    <w:rsid w:val="00761949"/>
    <w:rsid w:val="00761B7E"/>
    <w:rsid w:val="00761CEB"/>
    <w:rsid w:val="00761EC5"/>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0F04"/>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08B"/>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5AA"/>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445"/>
    <w:rsid w:val="00806932"/>
    <w:rsid w:val="00806B10"/>
    <w:rsid w:val="00806BF8"/>
    <w:rsid w:val="00807038"/>
    <w:rsid w:val="00807252"/>
    <w:rsid w:val="00807383"/>
    <w:rsid w:val="00807419"/>
    <w:rsid w:val="008076A5"/>
    <w:rsid w:val="008077B2"/>
    <w:rsid w:val="0080780B"/>
    <w:rsid w:val="008078B7"/>
    <w:rsid w:val="00807CE2"/>
    <w:rsid w:val="00807CE5"/>
    <w:rsid w:val="008111F2"/>
    <w:rsid w:val="0081147E"/>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21A"/>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6069"/>
    <w:rsid w:val="008460AE"/>
    <w:rsid w:val="008462C7"/>
    <w:rsid w:val="0084644F"/>
    <w:rsid w:val="008464D2"/>
    <w:rsid w:val="008465E1"/>
    <w:rsid w:val="008465E6"/>
    <w:rsid w:val="00846905"/>
    <w:rsid w:val="00846A7E"/>
    <w:rsid w:val="00847051"/>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452"/>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7FF"/>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E6"/>
    <w:rsid w:val="0087151E"/>
    <w:rsid w:val="00871A9E"/>
    <w:rsid w:val="00871AF3"/>
    <w:rsid w:val="00871B95"/>
    <w:rsid w:val="00872461"/>
    <w:rsid w:val="008724E3"/>
    <w:rsid w:val="0087271B"/>
    <w:rsid w:val="00872DB3"/>
    <w:rsid w:val="00873001"/>
    <w:rsid w:val="00873068"/>
    <w:rsid w:val="008730BC"/>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8D5"/>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2C"/>
    <w:rsid w:val="008A368E"/>
    <w:rsid w:val="008A36F0"/>
    <w:rsid w:val="008A37E5"/>
    <w:rsid w:val="008A401D"/>
    <w:rsid w:val="008A4256"/>
    <w:rsid w:val="008A451C"/>
    <w:rsid w:val="008A47DC"/>
    <w:rsid w:val="008A4824"/>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BB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998"/>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9D5"/>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1D4"/>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0B"/>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6A5"/>
    <w:rsid w:val="008F0CE6"/>
    <w:rsid w:val="008F0D78"/>
    <w:rsid w:val="008F0FAA"/>
    <w:rsid w:val="008F1100"/>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BB"/>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CED"/>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B91"/>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A00"/>
    <w:rsid w:val="00947D9F"/>
    <w:rsid w:val="00947E10"/>
    <w:rsid w:val="00947FE4"/>
    <w:rsid w:val="00950292"/>
    <w:rsid w:val="0095032F"/>
    <w:rsid w:val="00950499"/>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4F51"/>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AD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BC0"/>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A7EBE"/>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3F"/>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DD9"/>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4C"/>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4B"/>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C9B"/>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2F09"/>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9DB"/>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3EF0"/>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274"/>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A92"/>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37"/>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797"/>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B8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1E"/>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029"/>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7B1"/>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1BA"/>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1E84"/>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C2E"/>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69"/>
    <w:rsid w:val="00C41F7A"/>
    <w:rsid w:val="00C42042"/>
    <w:rsid w:val="00C423DB"/>
    <w:rsid w:val="00C4265D"/>
    <w:rsid w:val="00C42674"/>
    <w:rsid w:val="00C428A6"/>
    <w:rsid w:val="00C42D3F"/>
    <w:rsid w:val="00C43908"/>
    <w:rsid w:val="00C43B4A"/>
    <w:rsid w:val="00C43C91"/>
    <w:rsid w:val="00C44069"/>
    <w:rsid w:val="00C4431F"/>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110D"/>
    <w:rsid w:val="00C81331"/>
    <w:rsid w:val="00C81975"/>
    <w:rsid w:val="00C81BF0"/>
    <w:rsid w:val="00C81E13"/>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1E96"/>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1C4"/>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40"/>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E14"/>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4F00"/>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D28"/>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0E2"/>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263"/>
    <w:rsid w:val="00CF2348"/>
    <w:rsid w:val="00CF2501"/>
    <w:rsid w:val="00CF255C"/>
    <w:rsid w:val="00CF2631"/>
    <w:rsid w:val="00CF27A9"/>
    <w:rsid w:val="00CF27DB"/>
    <w:rsid w:val="00CF29EB"/>
    <w:rsid w:val="00CF2D06"/>
    <w:rsid w:val="00CF3014"/>
    <w:rsid w:val="00CF36BD"/>
    <w:rsid w:val="00CF3769"/>
    <w:rsid w:val="00CF3C30"/>
    <w:rsid w:val="00CF5003"/>
    <w:rsid w:val="00CF547E"/>
    <w:rsid w:val="00CF5895"/>
    <w:rsid w:val="00CF5954"/>
    <w:rsid w:val="00CF5A41"/>
    <w:rsid w:val="00CF5B65"/>
    <w:rsid w:val="00CF5BD9"/>
    <w:rsid w:val="00CF5D3B"/>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914"/>
    <w:rsid w:val="00D01AD7"/>
    <w:rsid w:val="00D01DEF"/>
    <w:rsid w:val="00D01E2C"/>
    <w:rsid w:val="00D01E95"/>
    <w:rsid w:val="00D01F9A"/>
    <w:rsid w:val="00D02198"/>
    <w:rsid w:val="00D0238E"/>
    <w:rsid w:val="00D0239F"/>
    <w:rsid w:val="00D027A1"/>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AE9"/>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9D"/>
    <w:rsid w:val="00D625F2"/>
    <w:rsid w:val="00D62AAF"/>
    <w:rsid w:val="00D62B8A"/>
    <w:rsid w:val="00D634A7"/>
    <w:rsid w:val="00D634E9"/>
    <w:rsid w:val="00D636AA"/>
    <w:rsid w:val="00D63CDA"/>
    <w:rsid w:val="00D643C5"/>
    <w:rsid w:val="00D64791"/>
    <w:rsid w:val="00D64A46"/>
    <w:rsid w:val="00D64B5A"/>
    <w:rsid w:val="00D64CE8"/>
    <w:rsid w:val="00D64DC8"/>
    <w:rsid w:val="00D64F53"/>
    <w:rsid w:val="00D65064"/>
    <w:rsid w:val="00D6563A"/>
    <w:rsid w:val="00D656B9"/>
    <w:rsid w:val="00D65BA6"/>
    <w:rsid w:val="00D65C3A"/>
    <w:rsid w:val="00D65E4D"/>
    <w:rsid w:val="00D65E8E"/>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8EC"/>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CEB"/>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5DC9"/>
    <w:rsid w:val="00DD60CD"/>
    <w:rsid w:val="00DD6C24"/>
    <w:rsid w:val="00DD70F4"/>
    <w:rsid w:val="00DD786C"/>
    <w:rsid w:val="00DE0556"/>
    <w:rsid w:val="00DE074F"/>
    <w:rsid w:val="00DE0B91"/>
    <w:rsid w:val="00DE0CD8"/>
    <w:rsid w:val="00DE0EA8"/>
    <w:rsid w:val="00DE110E"/>
    <w:rsid w:val="00DE12F3"/>
    <w:rsid w:val="00DE1911"/>
    <w:rsid w:val="00DE1B4F"/>
    <w:rsid w:val="00DE1CD2"/>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6A"/>
    <w:rsid w:val="00DE7586"/>
    <w:rsid w:val="00DE75B9"/>
    <w:rsid w:val="00DE76BC"/>
    <w:rsid w:val="00DE7729"/>
    <w:rsid w:val="00DE7F68"/>
    <w:rsid w:val="00DF0007"/>
    <w:rsid w:val="00DF0008"/>
    <w:rsid w:val="00DF007B"/>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53"/>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020"/>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55"/>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31"/>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4EB"/>
    <w:rsid w:val="00E5199E"/>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1D9"/>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9A3"/>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04E"/>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1E1E"/>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DCB"/>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8AB"/>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DA6"/>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C38"/>
    <w:rsid w:val="00F11F62"/>
    <w:rsid w:val="00F12941"/>
    <w:rsid w:val="00F12BFC"/>
    <w:rsid w:val="00F13051"/>
    <w:rsid w:val="00F13119"/>
    <w:rsid w:val="00F133E9"/>
    <w:rsid w:val="00F133F2"/>
    <w:rsid w:val="00F1362E"/>
    <w:rsid w:val="00F13AF6"/>
    <w:rsid w:val="00F13B38"/>
    <w:rsid w:val="00F13E52"/>
    <w:rsid w:val="00F13EA3"/>
    <w:rsid w:val="00F13ECB"/>
    <w:rsid w:val="00F13F15"/>
    <w:rsid w:val="00F142C4"/>
    <w:rsid w:val="00F142CF"/>
    <w:rsid w:val="00F145D6"/>
    <w:rsid w:val="00F14823"/>
    <w:rsid w:val="00F149A5"/>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4B35"/>
    <w:rsid w:val="00F25012"/>
    <w:rsid w:val="00F25485"/>
    <w:rsid w:val="00F25A51"/>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4B"/>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348"/>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2AD"/>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35"/>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96E"/>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50A"/>
    <w:rsid w:val="00FD2617"/>
    <w:rsid w:val="00FD275C"/>
    <w:rsid w:val="00FD2778"/>
    <w:rsid w:val="00FD2B0D"/>
    <w:rsid w:val="00FD2ED7"/>
    <w:rsid w:val="00FD3303"/>
    <w:rsid w:val="00FD34F9"/>
    <w:rsid w:val="00FD356B"/>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10"/>
    <w:rsid w:val="00FE32E0"/>
    <w:rsid w:val="00FE35A4"/>
    <w:rsid w:val="00FE39B7"/>
    <w:rsid w:val="00FE3A18"/>
    <w:rsid w:val="00FE3E10"/>
    <w:rsid w:val="00FE4123"/>
    <w:rsid w:val="00FE413C"/>
    <w:rsid w:val="00FE41E6"/>
    <w:rsid w:val="00FE4734"/>
    <w:rsid w:val="00FE486D"/>
    <w:rsid w:val="00FE4A75"/>
    <w:rsid w:val="00FE4DE0"/>
    <w:rsid w:val="00FE4DF5"/>
    <w:rsid w:val="00FE4E3A"/>
    <w:rsid w:val="00FE50BC"/>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2250B"/>
  <w15:docId w15:val="{CE1FBB33-6B4D-4568-8E56-674BA066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1">
    <w:name w:val="Char Char Char1"/>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1">
    <w:name w:val="Char1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uiPriority w:val="99"/>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1st level - Bullet List Paragraph,List Paragraph1,Lettre d'introduction,Paragrafo elenco,Medium Grid 1 - Accent 21,Fiche List Paragraph,Conclusion de partie,Dot pt,No Spacing1,List Paragraph Char Char Char,Indicator Text,Numbered Para 1,L"/>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link w:val="Briefinglist1Char"/>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1">
    <w:name w:val="Znak Znak1"/>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customStyle="1" w:styleId="Briefinglist1Char">
    <w:name w:val="Briefing list 1 Char"/>
    <w:basedOn w:val="DefaultParagraphFont"/>
    <w:link w:val="Briefinglist1"/>
    <w:locked/>
    <w:rsid w:val="00E24B55"/>
    <w:rPr>
      <w:sz w:val="24"/>
      <w:szCs w:val="24"/>
      <w:lang w:val="fr-FR" w:eastAsia="en-GB"/>
    </w:rPr>
  </w:style>
  <w:style w:type="paragraph" w:customStyle="1" w:styleId="NormalHanging12a">
    <w:name w:val="NormalHanging12a"/>
    <w:basedOn w:val="Normal"/>
    <w:link w:val="NormalHanging12aChar"/>
    <w:rsid w:val="008A362C"/>
    <w:pPr>
      <w:ind w:left="567" w:hanging="567"/>
      <w:jc w:val="left"/>
    </w:pPr>
    <w:rPr>
      <w:rFonts w:ascii="Times New Roman" w:hAnsi="Times New Roman"/>
      <w:snapToGrid w:val="0"/>
      <w:lang w:eastAsia="en-US"/>
    </w:rPr>
  </w:style>
  <w:style w:type="character" w:customStyle="1" w:styleId="NormalHanging12aChar">
    <w:name w:val="NormalHanging12a Char"/>
    <w:basedOn w:val="DefaultParagraphFont"/>
    <w:link w:val="NormalHanging12a"/>
    <w:rsid w:val="008A362C"/>
    <w:rPr>
      <w:snapToGrid w:val="0"/>
      <w:sz w:val="24"/>
      <w:lang w:val="fr-FR" w:eastAsia="en-US"/>
    </w:rPr>
  </w:style>
  <w:style w:type="character" w:styleId="UnresolvedMention">
    <w:name w:val="Unresolved Mention"/>
    <w:basedOn w:val="DefaultParagraphFont"/>
    <w:uiPriority w:val="99"/>
    <w:semiHidden/>
    <w:unhideWhenUsed/>
    <w:rsid w:val="00552B6F"/>
    <w:rPr>
      <w:color w:val="605E5C"/>
      <w:shd w:val="clear" w:color="auto" w:fill="E1DFDD"/>
    </w:rPr>
  </w:style>
  <w:style w:type="character" w:customStyle="1" w:styleId="ListParagraphChar">
    <w:name w:val="List Paragraph Char"/>
    <w:aliases w:val="1st level - Bullet List Paragraph Char,List Paragraph1 Char,Lettre d'introduction Char,Paragrafo elenco Char,Medium Grid 1 - Accent 21 Char,Fiche List Paragraph Char,Conclusion de partie Char,Dot pt Char,No Spacing1 Char,L Char"/>
    <w:basedOn w:val="DefaultParagraphFont"/>
    <w:link w:val="ListParagraph"/>
    <w:uiPriority w:val="34"/>
    <w:locked/>
    <w:rsid w:val="00D027A1"/>
    <w:rPr>
      <w:rFonts w:ascii="Calibri" w:eastAsia="Calibri" w:hAnsi="Calibr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6825">
      <w:bodyDiv w:val="1"/>
      <w:marLeft w:val="0"/>
      <w:marRight w:val="0"/>
      <w:marTop w:val="0"/>
      <w:marBottom w:val="0"/>
      <w:divBdr>
        <w:top w:val="none" w:sz="0" w:space="0" w:color="auto"/>
        <w:left w:val="none" w:sz="0" w:space="0" w:color="auto"/>
        <w:bottom w:val="none" w:sz="0" w:space="0" w:color="auto"/>
        <w:right w:val="none" w:sz="0" w:space="0" w:color="auto"/>
      </w:divBdr>
    </w:div>
    <w:div w:id="595292278">
      <w:bodyDiv w:val="1"/>
      <w:marLeft w:val="0"/>
      <w:marRight w:val="0"/>
      <w:marTop w:val="0"/>
      <w:marBottom w:val="0"/>
      <w:divBdr>
        <w:top w:val="none" w:sz="0" w:space="0" w:color="auto"/>
        <w:left w:val="none" w:sz="0" w:space="0" w:color="auto"/>
        <w:bottom w:val="none" w:sz="0" w:space="0" w:color="auto"/>
        <w:right w:val="none" w:sz="0" w:space="0" w:color="auto"/>
      </w:divBdr>
    </w:div>
    <w:div w:id="954945300">
      <w:bodyDiv w:val="1"/>
      <w:marLeft w:val="0"/>
      <w:marRight w:val="0"/>
      <w:marTop w:val="0"/>
      <w:marBottom w:val="0"/>
      <w:divBdr>
        <w:top w:val="none" w:sz="0" w:space="0" w:color="auto"/>
        <w:left w:val="none" w:sz="0" w:space="0" w:color="auto"/>
        <w:bottom w:val="none" w:sz="0" w:space="0" w:color="auto"/>
        <w:right w:val="none" w:sz="0" w:space="0" w:color="auto"/>
      </w:divBdr>
    </w:div>
    <w:div w:id="1103888987">
      <w:bodyDiv w:val="1"/>
      <w:marLeft w:val="0"/>
      <w:marRight w:val="0"/>
      <w:marTop w:val="0"/>
      <w:marBottom w:val="0"/>
      <w:divBdr>
        <w:top w:val="none" w:sz="0" w:space="0" w:color="auto"/>
        <w:left w:val="none" w:sz="0" w:space="0" w:color="auto"/>
        <w:bottom w:val="none" w:sz="0" w:space="0" w:color="auto"/>
        <w:right w:val="none" w:sz="0" w:space="0" w:color="auto"/>
      </w:divBdr>
    </w:div>
    <w:div w:id="1625501408">
      <w:bodyDiv w:val="1"/>
      <w:marLeft w:val="0"/>
      <w:marRight w:val="0"/>
      <w:marTop w:val="0"/>
      <w:marBottom w:val="0"/>
      <w:divBdr>
        <w:top w:val="none" w:sz="0" w:space="0" w:color="auto"/>
        <w:left w:val="none" w:sz="0" w:space="0" w:color="auto"/>
        <w:bottom w:val="none" w:sz="0" w:space="0" w:color="auto"/>
        <w:right w:val="none" w:sz="0" w:space="0" w:color="auto"/>
      </w:divBdr>
    </w:div>
    <w:div w:id="2051878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for-children.europa.eu/" TargetMode="External"/><Relationship Id="rId18" Type="http://schemas.openxmlformats.org/officeDocument/2006/relationships/hyperlink" Target="https://op.europa.eu/fr/publication-detail/-/publication/eb9b7e17-66f5-11ed-b14f-01aa75ed71a1/language-e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commission.europa.eu/system/files/2023-10/Communication_medicines_shortages_EN_0.pdf" TargetMode="External"/><Relationship Id="rId7" Type="http://schemas.openxmlformats.org/officeDocument/2006/relationships/styles" Target="styles.xml"/><Relationship Id="rId12" Type="http://schemas.openxmlformats.org/officeDocument/2006/relationships/hyperlink" Target="https://eur-lex.europa.eu/legal-content/FR/TXT/?uri=CELEX%3A32021R1057" TargetMode="External"/><Relationship Id="rId17" Type="http://schemas.openxmlformats.org/officeDocument/2006/relationships/hyperlink" Target="https://eur-lex.europa.eu/legal-content/FR/TXT/?uri=CELEX%3A52023DC090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p.europa.eu/webpub/empl/european-pillar-of-social-rights/fr/" TargetMode="External"/><Relationship Id="rId20" Type="http://schemas.openxmlformats.org/officeDocument/2006/relationships/hyperlink" Target="https://education.ec.europa.eu/document/european-education-area-midterm-review-process-repor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for-children.europa.e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c.europa.eu/info/law/better-regulation/have-your-say/initiatives/13884-Protection-de-lenfance-integrer-les-systemes_fr" TargetMode="External"/><Relationship Id="rId23" Type="http://schemas.openxmlformats.org/officeDocument/2006/relationships/hyperlink" Target="https://commission.europa.eu/strategy-documents/commission-work-programme/commission-work-programme-2024_en?prefLang=fr"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op.europa.eu/webpub/eac/education-and-training-monitor-2022/f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social/main.jsp?langId=fr&amp;catId=89&amp;furtherNews=yes&amp;newsId=10558" TargetMode="External"/><Relationship Id="rId22" Type="http://schemas.openxmlformats.org/officeDocument/2006/relationships/hyperlink" Target="https://health.ec.europa.eu/funding/eu4health-programme-2021-2027-vision-healthier-european-union_fr"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7CE4EE98B097364BA1CE10C743F55FCB" ma:contentTypeVersion="16" ma:contentTypeDescription="Create a new document in this library." ma:contentTypeScope="" ma:versionID="639d4678511f5fcff9e9a87fb2b52ef7">
  <xsd:schema xmlns:xsd="http://www.w3.org/2001/XMLSchema" xmlns:xs="http://www.w3.org/2001/XMLSchema" xmlns:p="http://schemas.microsoft.com/office/2006/metadata/properties" xmlns:ns1="http://schemas.microsoft.com/sharepoint/v3" xmlns:ns2="http://schemas.microsoft.com/sharepoint/v3/fields" xmlns:ns3="0b55029b-5b16-416b-99bf-3f3b6110a335" xmlns:ns4="65bc8209-69a8-4ab3-a137-482f5403cf31" targetNamespace="http://schemas.microsoft.com/office/2006/metadata/properties" ma:root="true" ma:fieldsID="bf44ba5b4b4b662b901c858f79a266c1" ns1:_="" ns2:_="" ns3:_="" ns4:_="">
    <xsd:import namespace="http://schemas.microsoft.com/sharepoint/v3"/>
    <xsd:import namespace="http://schemas.microsoft.com/sharepoint/v3/fields"/>
    <xsd:import namespace="0b55029b-5b16-416b-99bf-3f3b6110a335"/>
    <xsd:import namespace="65bc8209-69a8-4ab3-a137-482f5403cf31"/>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AuthorId" minOccurs="0"/>
                <xsd:element ref="ns3:AuthorName" minOccurs="0"/>
                <xsd:element ref="ns3:DocumentId" minOccurs="0"/>
                <xsd:element ref="ns3:DocumentTitle" minOccurs="0"/>
                <xsd:element ref="ns3:FileId" minOccurs="0"/>
                <xsd:element ref="ns3:FileTitle" minOccurs="0"/>
                <xsd:element ref="ns3:FileType" minOccurs="0"/>
                <xsd:element ref="ns3:LeadDG" minOccurs="0"/>
                <xsd:element ref="ns3:RequestID" minOccurs="0"/>
                <xsd:element ref="ns1:_dlc_Exemp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b55029b-5b16-416b-99bf-3f3b6110a33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AuthorId" ma:index="16" nillable="true" ma:displayName="AuthorId" ma:internalName="AuthorId">
      <xsd:simpleType>
        <xsd:restriction base="dms:Number"/>
      </xsd:simpleType>
    </xsd:element>
    <xsd:element name="AuthorName" ma:index="17" nillable="true" ma:displayName="AuthorName" ma:internalName="AuthorName">
      <xsd:simpleType>
        <xsd:restriction base="dms:Text">
          <xsd:maxLength value="255"/>
        </xsd:restriction>
      </xsd:simpleType>
    </xsd:element>
    <xsd:element name="DocumentId" ma:index="18" nillable="true" ma:displayName="DocumentId" ma:internalName="DocumentId">
      <xsd:simpleType>
        <xsd:restriction base="dms:Text">
          <xsd:maxLength value="255"/>
        </xsd:restriction>
      </xsd:simpleType>
    </xsd:element>
    <xsd:element name="DocumentTitle" ma:index="19" nillable="true" ma:displayName="DocumentTitle" ma:internalName="DocumentTitle">
      <xsd:simpleType>
        <xsd:restriction base="dms:Text">
          <xsd:maxLength value="255"/>
        </xsd:restriction>
      </xsd:simpleType>
    </xsd:element>
    <xsd:element name="FileId" ma:index="20" nillable="true" ma:displayName="FileId" ma:internalName="FileId">
      <xsd:simpleType>
        <xsd:restriction base="dms:Text">
          <xsd:maxLength value="255"/>
        </xsd:restriction>
      </xsd:simpleType>
    </xsd:element>
    <xsd:element name="FileTitle" ma:index="21" nillable="true" ma:displayName="FileTitle" ma:internalName="FileTitle">
      <xsd:simpleType>
        <xsd:restriction base="dms:Text">
          <xsd:maxLength value="255"/>
        </xsd:restriction>
      </xsd:simpleType>
    </xsd:element>
    <xsd:element name="FileType" ma:index="22" nillable="true" ma:displayName="FileType" ma:internalName="FileType">
      <xsd:simpleType>
        <xsd:restriction base="dms:Text">
          <xsd:maxLength value="255"/>
        </xsd:restriction>
      </xsd:simpleType>
    </xsd:element>
    <xsd:element name="LeadDG" ma:index="23" nillable="true" ma:displayName="LeadDG" ma:internalName="LeadDG">
      <xsd:simpleType>
        <xsd:restriction base="dms:Text">
          <xsd:maxLength value="255"/>
        </xsd:restriction>
      </xsd:simpleType>
    </xsd:element>
    <xsd:element name="RequestID" ma:index="24" nillable="true" ma:displayName="RequestID" ma:internalName="Reque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bc8209-69a8-4ab3-a137-482f5403cf31"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EC Document</p:Name>
  <p:Description/>
  <p:Statement/>
  <p:PolicyItems>
    <p:PolicyItem featureId="Microsoft.Office.RecordsManagement.PolicyFeatures.PolicyAudit" staticId="0x010100258AA79CEB83498886A3A08681123250007CE4EE98B097364BA1CE10C743F55FCB|937198175" UniqueId="3d7ed18d-c2b3-4b3a-94ca-aba3ee56beb7">
      <p:Name>Auditing</p:Name>
      <p:Description>Audits user actions on documents and list items to the Audit Log.</p:Description>
      <p:CustomData>
        <Audit>
          <View/>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Id xmlns="0b55029b-5b16-416b-99bf-3f3b6110a335">668546</DocumentId>
    <LeadDG xmlns="0b55029b-5b16-416b-99bf-3f3b6110a335">EMPL</LeadDG>
    <DocumentTitle xmlns="0b55029b-5b16-416b-99bf-3f3b6110a335">Follow-up fiche to EP resolution 2023/2066(INI)</DocumentTitle>
    <_Status xmlns="http://schemas.microsoft.com/sharepoint/v3/fields">Not Started</_Status>
    <EC_Collab_DocumentLanguage xmlns="0b55029b-5b16-416b-99bf-3f3b6110a335">EN</EC_Collab_DocumentLanguage>
    <FileTitle xmlns="0b55029b-5b16-416b-99bf-3f3b6110a335">Follow-up fiche to EP resolution 2023/2066(INI) "Reducing inequalities and promoting social inclusion in times of crisis for children and their families"</FileTitle>
    <AuthorName xmlns="0b55029b-5b16-416b-99bf-3f3b6110a335">ISZKOWSKI Stefan (EMPL/D/1)</AuthorName>
    <RequestID xmlns="0b55029b-5b16-416b-99bf-3f3b6110a335">EMPL/2452</RequestID>
    <EC_Collab_Status xmlns="0b55029b-5b16-416b-99bf-3f3b6110a335">Not Started</EC_Collab_Status>
    <EC_Collab_Reference xmlns="0b55029b-5b16-416b-99bf-3f3b6110a335" xsi:nil="true"/>
    <FileType xmlns="0b55029b-5b16-416b-99bf-3f3b6110a335">Follow-up fiche</FileType>
    <AuthorId xmlns="0b55029b-5b16-416b-99bf-3f3b6110a335">32709</AuthorId>
    <FileId xmlns="0b55029b-5b16-416b-99bf-3f3b6110a335">1358658</FileId>
  </documentManagement>
</p:properties>
</file>

<file path=customXml/itemProps1.xml><?xml version="1.0" encoding="utf-8"?>
<ds:datastoreItem xmlns:ds="http://schemas.openxmlformats.org/officeDocument/2006/customXml" ds:itemID="{0B7E1DAF-C35A-417F-B579-535419FADD18}">
  <ds:schemaRefs>
    <ds:schemaRef ds:uri="http://schemas.openxmlformats.org/officeDocument/2006/bibliography"/>
  </ds:schemaRefs>
</ds:datastoreItem>
</file>

<file path=customXml/itemProps2.xml><?xml version="1.0" encoding="utf-8"?>
<ds:datastoreItem xmlns:ds="http://schemas.openxmlformats.org/officeDocument/2006/customXml" ds:itemID="{79C4E19A-70CA-45E8-ABAA-7EDF7EBB8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0b55029b-5b16-416b-99bf-3f3b6110a335"/>
    <ds:schemaRef ds:uri="65bc8209-69a8-4ab3-a137-482f5403c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80BCF-B678-40EB-95DB-B960B1D5FE81}">
  <ds:schemaRefs>
    <ds:schemaRef ds:uri="office.server.policy"/>
  </ds:schemaRefs>
</ds:datastoreItem>
</file>

<file path=customXml/itemProps4.xml><?xml version="1.0" encoding="utf-8"?>
<ds:datastoreItem xmlns:ds="http://schemas.openxmlformats.org/officeDocument/2006/customXml" ds:itemID="{71AE374D-1728-4770-9855-48BFA762DEFF}">
  <ds:schemaRefs>
    <ds:schemaRef ds:uri="http://schemas.microsoft.com/sharepoint/v3/contenttype/forms"/>
  </ds:schemaRefs>
</ds:datastoreItem>
</file>

<file path=customXml/itemProps5.xml><?xml version="1.0" encoding="utf-8"?>
<ds:datastoreItem xmlns:ds="http://schemas.openxmlformats.org/officeDocument/2006/customXml" ds:itemID="{6CBFEBBD-BC57-4423-AA21-3CF042FC9CAA}">
  <ds:schemaRefs>
    <ds:schemaRef ds:uri="http://schemas.microsoft.com/office/2006/documentManagement/types"/>
    <ds:schemaRef ds:uri="http://purl.org/dc/dcmitype/"/>
    <ds:schemaRef ds:uri="http://purl.org/dc/elements/1.1/"/>
    <ds:schemaRef ds:uri="http://purl.org/dc/terms/"/>
    <ds:schemaRef ds:uri="http://schemas.microsoft.com/office/2006/metadata/properties"/>
    <ds:schemaRef ds:uri="65bc8209-69a8-4ab3-a137-482f5403cf31"/>
    <ds:schemaRef ds:uri="http://schemas.microsoft.com/sharepoint/v3"/>
    <ds:schemaRef ds:uri="http://www.w3.org/XML/1998/namespace"/>
    <ds:schemaRef ds:uri="http://schemas.microsoft.com/office/infopath/2007/PartnerControls"/>
    <ds:schemaRef ds:uri="http://schemas.microsoft.com/sharepoint/v3/fields"/>
    <ds:schemaRef ds:uri="http://schemas.openxmlformats.org/package/2006/metadata/core-properties"/>
    <ds:schemaRef ds:uri="0b55029b-5b16-416b-99bf-3f3b6110a335"/>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10</Pages>
  <Words>6363</Words>
  <Characters>34619</Characters>
  <Application>Microsoft Office Word</Application>
  <DocSecurity>0</DocSecurity>
  <PresentationFormat>Microsoft Word 8.0b</PresentationFormat>
  <Lines>494</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40945</CharactersWithSpaces>
  <SharedDoc>false</SharedDoc>
  <HLinks>
    <vt:vector size="6" baseType="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dc:description/>
  <cp:lastModifiedBy>DELBAER Gerda (SG)</cp:lastModifiedBy>
  <cp:revision>2</cp:revision>
  <cp:lastPrinted>2017-11-23T08:32:00Z</cp:lastPrinted>
  <dcterms:created xsi:type="dcterms:W3CDTF">2024-02-26T13:37:00Z</dcterms:created>
  <dcterms:modified xsi:type="dcterms:W3CDTF">2024-02-26T13:37:00Z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2023-12-04T10:08:49Z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e6645b94-d3e9-4f35-995a-0f3c84dcd84a</vt:lpwstr>
  </property>
  <property fmtid="{D5CDD505-2E9C-101B-9397-08002B2CF9AE}" pid="19" name="MSIP_Label_6bd9ddd1-4d20-43f6-abfa-fc3c07406f94_ContentBits">
    <vt:lpwstr>0</vt:lpwstr>
  </property>
  <property fmtid="{D5CDD505-2E9C-101B-9397-08002B2CF9AE}" pid="20" name="ContentTypeId">
    <vt:lpwstr>0x010100258AA79CEB83498886A3A08681123250007CE4EE98B097364BA1CE10C743F55FCB</vt:lpwstr>
  </property>
</Properties>
</file>