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D78C" w14:textId="5756692B" w:rsidR="006E354F" w:rsidRPr="006361BF" w:rsidRDefault="006E354F" w:rsidP="003B5987">
      <w:pPr>
        <w:spacing w:after="600" w:line="240" w:lineRule="auto"/>
        <w:ind w:left="567" w:hanging="567"/>
        <w:jc w:val="center"/>
        <w:rPr>
          <w:rFonts w:ascii="Times New Roman" w:hAnsi="Times New Roman" w:cs="Times New Roman"/>
          <w:sz w:val="24"/>
          <w:szCs w:val="24"/>
        </w:rPr>
      </w:pPr>
      <w:r>
        <w:rPr>
          <w:rFonts w:ascii="Times New Roman" w:hAnsi="Times New Roman"/>
          <w:b/>
          <w:sz w:val="24"/>
        </w:rPr>
        <w:t xml:space="preserve">Suite donnée à la résolution du Parlement européen </w:t>
      </w:r>
      <w:bookmarkStart w:id="0" w:name="_Hlk146632301"/>
      <w:r>
        <w:rPr>
          <w:rFonts w:ascii="Times New Roman" w:hAnsi="Times New Roman"/>
          <w:b/>
          <w:sz w:val="24"/>
        </w:rPr>
        <w:t>sur le projet de décision du Conseil relative à la conclusion, au nom de l’Union, de l’accord de libre-échange entre l’Union européenne et la Nouvelle-Zélande</w:t>
      </w:r>
      <w:bookmarkEnd w:id="0"/>
    </w:p>
    <w:p w14:paraId="2B4DF000" w14:textId="6B344FB0" w:rsidR="006E354F" w:rsidRPr="006361BF" w:rsidRDefault="006E354F" w:rsidP="003B5987">
      <w:pPr>
        <w:pStyle w:val="ListParagraph"/>
        <w:numPr>
          <w:ilvl w:val="0"/>
          <w:numId w:val="1"/>
        </w:numPr>
        <w:spacing w:after="240" w:line="240" w:lineRule="auto"/>
        <w:ind w:left="567" w:hanging="567"/>
        <w:contextualSpacing w:val="0"/>
        <w:rPr>
          <w:rFonts w:ascii="Times New Roman" w:eastAsiaTheme="minorEastAsia" w:hAnsi="Times New Roman" w:cs="Times New Roman"/>
          <w:sz w:val="24"/>
          <w:szCs w:val="24"/>
        </w:rPr>
      </w:pPr>
      <w:r>
        <w:rPr>
          <w:rFonts w:ascii="Times New Roman" w:hAnsi="Times New Roman"/>
          <w:b/>
          <w:sz w:val="24"/>
        </w:rPr>
        <w:t xml:space="preserve">Rapporteur: </w:t>
      </w:r>
      <w:r>
        <w:rPr>
          <w:rFonts w:ascii="Times New Roman" w:hAnsi="Times New Roman"/>
          <w:sz w:val="24"/>
        </w:rPr>
        <w:t>Daniel CASPARY (PPE/DE)</w:t>
      </w:r>
    </w:p>
    <w:p w14:paraId="6EA38EFA" w14:textId="078A8D29" w:rsidR="006E354F" w:rsidRPr="006361BF" w:rsidRDefault="006E354F" w:rsidP="003B5987">
      <w:pPr>
        <w:pStyle w:val="ListParagraph"/>
        <w:numPr>
          <w:ilvl w:val="0"/>
          <w:numId w:val="1"/>
        </w:numPr>
        <w:spacing w:after="240" w:line="240" w:lineRule="auto"/>
        <w:ind w:left="567" w:hanging="567"/>
        <w:contextualSpacing w:val="0"/>
        <w:rPr>
          <w:rFonts w:ascii="Times New Roman" w:eastAsiaTheme="minorEastAsia" w:hAnsi="Times New Roman" w:cs="Times New Roman"/>
          <w:sz w:val="24"/>
          <w:szCs w:val="24"/>
        </w:rPr>
      </w:pPr>
      <w:r>
        <w:rPr>
          <w:rFonts w:ascii="Times New Roman" w:hAnsi="Times New Roman"/>
          <w:b/>
          <w:sz w:val="24"/>
        </w:rPr>
        <w:t>Numéros de référence:</w:t>
      </w:r>
      <w:r>
        <w:rPr>
          <w:rFonts w:ascii="Times New Roman" w:hAnsi="Times New Roman"/>
          <w:sz w:val="24"/>
        </w:rPr>
        <w:t xml:space="preserve"> 2023/0038M (NLE)/A9-0314/2023/P9_TA(2023)0418</w:t>
      </w:r>
    </w:p>
    <w:p w14:paraId="08C96250" w14:textId="6E1A3973" w:rsidR="006E354F" w:rsidRPr="006361BF" w:rsidRDefault="006E354F" w:rsidP="003B5987">
      <w:pPr>
        <w:pStyle w:val="ListParagraph"/>
        <w:numPr>
          <w:ilvl w:val="0"/>
          <w:numId w:val="1"/>
        </w:numPr>
        <w:spacing w:after="240" w:line="240" w:lineRule="auto"/>
        <w:ind w:left="567" w:hanging="567"/>
        <w:contextualSpacing w:val="0"/>
        <w:rPr>
          <w:rFonts w:ascii="Times New Roman" w:eastAsiaTheme="minorEastAsia" w:hAnsi="Times New Roman" w:cs="Times New Roman"/>
          <w:sz w:val="24"/>
          <w:szCs w:val="24"/>
        </w:rPr>
      </w:pPr>
      <w:r>
        <w:rPr>
          <w:rFonts w:ascii="Times New Roman" w:hAnsi="Times New Roman"/>
          <w:b/>
          <w:sz w:val="24"/>
        </w:rPr>
        <w:t xml:space="preserve">Date d'adoption de la résolution: </w:t>
      </w:r>
      <w:r>
        <w:rPr>
          <w:rFonts w:ascii="Times New Roman" w:hAnsi="Times New Roman"/>
          <w:sz w:val="24"/>
        </w:rPr>
        <w:t>22 novembre 2023</w:t>
      </w:r>
    </w:p>
    <w:p w14:paraId="5182E158" w14:textId="77777777" w:rsidR="006E354F" w:rsidRPr="006361BF" w:rsidRDefault="006E354F" w:rsidP="003B5987">
      <w:pPr>
        <w:pStyle w:val="ListParagraph"/>
        <w:numPr>
          <w:ilvl w:val="0"/>
          <w:numId w:val="1"/>
        </w:numPr>
        <w:spacing w:after="240" w:line="240" w:lineRule="auto"/>
        <w:ind w:left="567" w:hanging="567"/>
        <w:contextualSpacing w:val="0"/>
        <w:rPr>
          <w:rFonts w:ascii="Times New Roman" w:eastAsiaTheme="minorEastAsia" w:hAnsi="Times New Roman" w:cs="Times New Roman"/>
          <w:b/>
          <w:bCs/>
          <w:sz w:val="24"/>
          <w:szCs w:val="24"/>
        </w:rPr>
      </w:pPr>
      <w:r>
        <w:rPr>
          <w:rFonts w:ascii="Times New Roman" w:hAnsi="Times New Roman"/>
          <w:b/>
          <w:sz w:val="24"/>
        </w:rPr>
        <w:t xml:space="preserve">Commission parlementaire compétente: </w:t>
      </w:r>
      <w:r>
        <w:rPr>
          <w:rFonts w:ascii="Times New Roman" w:hAnsi="Times New Roman"/>
          <w:sz w:val="24"/>
        </w:rPr>
        <w:t>commission du commerce international (commission INTA)</w:t>
      </w:r>
    </w:p>
    <w:p w14:paraId="4FFC2330" w14:textId="6BE8B47E" w:rsidR="006E354F" w:rsidRPr="006361BF" w:rsidRDefault="006E354F" w:rsidP="003B5987">
      <w:pPr>
        <w:pStyle w:val="ListParagraph"/>
        <w:numPr>
          <w:ilvl w:val="0"/>
          <w:numId w:val="1"/>
        </w:numPr>
        <w:spacing w:after="240" w:line="240" w:lineRule="auto"/>
        <w:ind w:left="567" w:hanging="567"/>
        <w:contextualSpacing w:val="0"/>
        <w:jc w:val="both"/>
        <w:rPr>
          <w:rFonts w:ascii="Times New Roman" w:eastAsiaTheme="minorEastAsia" w:hAnsi="Times New Roman" w:cs="Times New Roman"/>
          <w:b/>
          <w:bCs/>
          <w:sz w:val="24"/>
          <w:szCs w:val="24"/>
        </w:rPr>
      </w:pPr>
      <w:r>
        <w:rPr>
          <w:rFonts w:ascii="Times New Roman" w:hAnsi="Times New Roman"/>
          <w:b/>
          <w:sz w:val="24"/>
        </w:rPr>
        <w:t>Analyse/évaluation succincte de la résolution et des demandes qu’elle contient</w:t>
      </w:r>
    </w:p>
    <w:p w14:paraId="16DED8FC" w14:textId="6D57B17E" w:rsidR="006E354F" w:rsidRPr="006361BF" w:rsidRDefault="006E354F" w:rsidP="003B5987">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réagit au projet de décision du Conseil relative à la conclusion de l’accord de libre-échange (ci-après l’«ALE») entre l’Union européenne et la Nouvelle-Zélande, signé le 9 juillet 2023 (06600/2023). Le 22 novembre 2023, le Parlement a approuvé l’ALE à une large majorité. </w:t>
      </w:r>
    </w:p>
    <w:p w14:paraId="729F33D4" w14:textId="2EA782E0" w:rsidR="00851793" w:rsidRPr="006361BF" w:rsidRDefault="006E354F" w:rsidP="003B5987">
      <w:pPr>
        <w:spacing w:after="120" w:line="240" w:lineRule="auto"/>
        <w:jc w:val="both"/>
        <w:rPr>
          <w:rFonts w:ascii="Times New Roman" w:eastAsia="Times New Roman" w:hAnsi="Times New Roman" w:cs="Times New Roman"/>
          <w:sz w:val="24"/>
          <w:szCs w:val="24"/>
        </w:rPr>
      </w:pPr>
      <w:bookmarkStart w:id="1" w:name="_Hlk146630390"/>
      <w:r>
        <w:rPr>
          <w:rFonts w:ascii="Times New Roman" w:hAnsi="Times New Roman"/>
          <w:sz w:val="24"/>
        </w:rPr>
        <w:t>Dans sa résolution, le Parlement se montre très favorable à l’ALE. Il estime que la conclusion de cet accord est de la première importance pour les relations bilatérales entre l’Union et la Nouvelle-Zélande et pour la promotion d’un commerce fondé sur des règles, et qu’il aura une incidence positive au-delà des bénéfices purement économiques. Le Parlement souligne l’importance stratégique de l’ALE étant donné le contexte géopolitique actuel, en particulier en ce qui concerne la région indo-pacifique. Il se félicite que les dispositions de l’ALE relatives à la durabilité intègrent la nouvelle approche de l’Union en matière de commerce et de développement durable, et que l’ALE soit conforme au pacte vert pour l’Europe. Il se félicite en outre des dispositions de l’ALE relatives au commerce, à l’égalité entre les hommes et les femmes et aux Maoris, la population autochtone de Nouvelle-Zélande, ainsi que des dispositions exhaustives sur les droits de propriété intellectuelle, y compris la protection des indications géographiques (IG) de l’Union et la possibilité d’étendre cette protection à d’autres IG à l’avenir.</w:t>
      </w:r>
    </w:p>
    <w:p w14:paraId="240F2F9C" w14:textId="2E684A53" w:rsidR="008A11B5" w:rsidRPr="006361BF" w:rsidRDefault="008A11B5" w:rsidP="003B5987">
      <w:pPr>
        <w:spacing w:after="120" w:line="240" w:lineRule="auto"/>
        <w:jc w:val="both"/>
        <w:rPr>
          <w:rFonts w:ascii="Times New Roman" w:eastAsia="Times New Roman" w:hAnsi="Times New Roman" w:cs="Times New Roman"/>
          <w:sz w:val="24"/>
          <w:szCs w:val="24"/>
        </w:rPr>
      </w:pPr>
      <w:r>
        <w:rPr>
          <w:rFonts w:ascii="Times New Roman" w:hAnsi="Times New Roman"/>
          <w:sz w:val="24"/>
        </w:rPr>
        <w:t>En ce qui concerne l’accès au marché, le Parlement salue le fait que les sensibilités agricoles aient été prises en compte et se félicite que l’ALE contribue à la création de conditions de concurrence équitables pour les exportations de l’Union grâce à l’inclusion de chapitres spécifiques consacrés à des mesures sanitaires et phytosanitaires, à dessystèmes alimentaires durables et au bien-être animal, et à l’ouverture des marchés publics, et note que l’ALE stimulera de manière significative les échanges bilatéraux de biens et de services. Enfin, il souligne l’importance du chapitre consacré au commerce numérique et aux petites et moyennes entreprises (PME).</w:t>
      </w:r>
    </w:p>
    <w:p w14:paraId="69ADB37E" w14:textId="426F4EDB" w:rsidR="00257D9A" w:rsidRPr="006361BF" w:rsidRDefault="00257D9A" w:rsidP="003B5987">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invite la Commission à accorder une attention particulière à la mise en œuvre de certaines dispositions, notamment celles relatives à la durabilité [réalisation des objectifs de l’accord de Paris, ratification et mise en œuvre effective, par la Nouvelle-Zélande, des conventions fondamentales en suspens de l’Organisation internationale du travail (OIT), intensification des travaux sur la réforme des subventions aux combustibles fossiles au sein de l’Organisation mondiale du commerce (OMC) et réexamen régulier de la liste des biens et services verts] (paragraphe 4); invite la Commission à surveiller la gestion des contingents </w:t>
      </w:r>
      <w:r>
        <w:rPr>
          <w:rFonts w:ascii="Times New Roman" w:hAnsi="Times New Roman"/>
          <w:sz w:val="24"/>
        </w:rPr>
        <w:lastRenderedPageBreak/>
        <w:t xml:space="preserve">tarifaires et à en rendre compte au Parlement (paragraphe 6); invite les parties à poursuivre leurs échanges sur les pratiques agricoles durables (paragraphe 6); invite les deux parties à adopter des critères de durabilité pour les marchés publics conformément aux dispositions de l’ALE (paragraphe 9); demande de mettre rapidement en place des points de contact pour les petites et moyennes entreprises (PME) et de veiller à ce que les PME aient accès aux informations pertinentes (paragraphe 11), et de manière plus générale, fait observer que la Commission devrait évaluer l’efficacité de tous les chapitres relatifs aux PME dans les accords commerciaux de l’Union afin de permettre aux PME de tirer le meilleur profit des avantages de l’ALE (paragraphe 13) et demande la mise en place en temps utile des groupes consultatifs internes dès l’entrée en vigueur de l’ALE de sorte qu’ils puissent contribuer activement à sa mise en œuvre, en particulier en ce qui concerne les incidences sur la durabilité (paragraphe 12). </w:t>
      </w:r>
    </w:p>
    <w:bookmarkEnd w:id="1"/>
    <w:p w14:paraId="2C266C6D" w14:textId="20B0FCF1" w:rsidR="006E354F" w:rsidRPr="006361BF" w:rsidRDefault="009C71BE" w:rsidP="003B5987">
      <w:pPr>
        <w:spacing w:after="120" w:line="240" w:lineRule="auto"/>
        <w:jc w:val="both"/>
        <w:rPr>
          <w:rFonts w:ascii="Times New Roman" w:eastAsia="Times New Roman" w:hAnsi="Times New Roman" w:cs="Times New Roman"/>
          <w:sz w:val="24"/>
          <w:szCs w:val="24"/>
        </w:rPr>
      </w:pPr>
      <w:r>
        <w:rPr>
          <w:rFonts w:ascii="Times New Roman" w:hAnsi="Times New Roman"/>
          <w:sz w:val="24"/>
        </w:rPr>
        <w:t>Dans l’ensemble, le Parlement se félicite de l’ouverture de perspectives commerciales plus durables, libres et équitables.</w:t>
      </w:r>
    </w:p>
    <w:p w14:paraId="591A6478" w14:textId="289EC196" w:rsidR="006E354F" w:rsidRPr="006361BF" w:rsidRDefault="006E354F" w:rsidP="003B5987">
      <w:pPr>
        <w:pStyle w:val="ListParagraph"/>
        <w:numPr>
          <w:ilvl w:val="0"/>
          <w:numId w:val="1"/>
        </w:numPr>
        <w:spacing w:after="240" w:line="240" w:lineRule="auto"/>
        <w:ind w:left="567" w:hanging="567"/>
        <w:contextualSpacing w:val="0"/>
        <w:jc w:val="both"/>
        <w:rPr>
          <w:rFonts w:ascii="Times New Roman" w:eastAsia="Times New Roman" w:hAnsi="Times New Roman" w:cs="Times New Roman"/>
          <w:sz w:val="24"/>
          <w:szCs w:val="24"/>
        </w:rPr>
      </w:pPr>
      <w:r>
        <w:rPr>
          <w:rFonts w:ascii="Times New Roman" w:hAnsi="Times New Roman"/>
          <w:b/>
          <w:sz w:val="24"/>
        </w:rPr>
        <w:t>Réponse à ces demandes et aperçu des mesures que la Commission a prises ou envisage de prendre</w:t>
      </w:r>
      <w:r>
        <w:rPr>
          <w:rFonts w:ascii="Times New Roman" w:hAnsi="Times New Roman"/>
          <w:sz w:val="24"/>
        </w:rPr>
        <w:t xml:space="preserve"> </w:t>
      </w:r>
    </w:p>
    <w:p w14:paraId="51D4570A" w14:textId="1BB87ACA" w:rsidR="00CD790B" w:rsidRPr="006361BF" w:rsidRDefault="00CD790B" w:rsidP="003B5987">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se félicite de la résolution du Parlement sur le projet de décision du Conseil relative à la conclusion de l’ALE entre l’Union européenne et la Nouvelle-Zélande. Elle se félicite que, dans sa résolution, le Parlement exprime son soutien à l’approfondissement des relations commerciales bilatérales entre l’Union et la Nouvelle-Zélande et, dans le contexte géopolitique et géoéconomique plus large, au renforcement de la présence de l’Union dans la région indo-pacifique, tout en représentant des valeurs importantes dans les domaines d’un système commercial fondé sur des règles et du commerce durable. </w:t>
      </w:r>
    </w:p>
    <w:p w14:paraId="4FC0D642" w14:textId="1EDA1B68" w:rsidR="004F4123" w:rsidRPr="006361BF" w:rsidRDefault="00F817A6" w:rsidP="003B5987">
      <w:pPr>
        <w:spacing w:after="120" w:line="240" w:lineRule="auto"/>
        <w:jc w:val="both"/>
        <w:rPr>
          <w:rFonts w:ascii="Times New Roman" w:hAnsi="Times New Roman" w:cs="Times New Roman"/>
          <w:sz w:val="24"/>
          <w:szCs w:val="24"/>
        </w:rPr>
      </w:pPr>
      <w:r>
        <w:rPr>
          <w:rFonts w:ascii="Times New Roman" w:hAnsi="Times New Roman"/>
          <w:sz w:val="24"/>
        </w:rPr>
        <w:t xml:space="preserve">La Commission convient de la nécessité d' </w:t>
      </w:r>
      <w:r>
        <w:rPr>
          <w:rFonts w:ascii="Times New Roman" w:hAnsi="Times New Roman"/>
          <w:b/>
          <w:sz w:val="24"/>
        </w:rPr>
        <w:t>apporter le plus grand soin à la mise en œuvre des dispositions de l’ALE relatives à la durabilité</w:t>
      </w:r>
      <w:r>
        <w:rPr>
          <w:rFonts w:ascii="Times New Roman" w:hAnsi="Times New Roman"/>
          <w:sz w:val="24"/>
        </w:rPr>
        <w:t>, comme l’a rappelé le Parlement (</w:t>
      </w:r>
      <w:r>
        <w:rPr>
          <w:rFonts w:ascii="Times New Roman" w:hAnsi="Times New Roman"/>
          <w:b/>
          <w:sz w:val="24"/>
        </w:rPr>
        <w:t>paragraphe 4</w:t>
      </w:r>
      <w:r>
        <w:rPr>
          <w:rFonts w:ascii="Times New Roman" w:hAnsi="Times New Roman"/>
          <w:sz w:val="24"/>
        </w:rPr>
        <w:t xml:space="preserve">). Les principes directeurs pour atteindre les objectifs de l'accord de Paris et les mettre en œuvre devraient être définis au sein de la structure institutionnelle multilatérale qui sous-tend ledit accord. En outre, </w:t>
      </w:r>
      <w:r>
        <w:rPr>
          <w:rFonts w:ascii="Times New Roman" w:hAnsi="Times New Roman"/>
        </w:rPr>
        <w:t>l’</w:t>
      </w:r>
      <w:r>
        <w:rPr>
          <w:rFonts w:ascii="Times New Roman" w:hAnsi="Times New Roman"/>
          <w:sz w:val="24"/>
        </w:rPr>
        <w:t>UE et la Nouvelle-Zélande continueront de discuter des questions liées au changement climatique, y compris au sein des organes relevant de l’accord commercial bilatéral, une fois qu’il sera entré en vigueur. La mise en œuvre des engagements en matière de commerce et de développement durable de l’ALE sera entreprise au sein du ou des comités compétents établis dans le cadre institutionnel de l'accord. La Commission suivra de près les progrès accomplis par la Nouvelle-Zélande dans la ratification et la mise en œuvre effective des conventions de l’OIT, grâce notamment à l’échange périodique d’informations prévu dans l’ALE.</w:t>
      </w:r>
      <w:r>
        <w:rPr>
          <w:rFonts w:ascii="Times New Roman" w:hAnsi="Times New Roman"/>
        </w:rPr>
        <w:t xml:space="preserve"> </w:t>
      </w:r>
      <w:r>
        <w:rPr>
          <w:rFonts w:ascii="Times New Roman" w:hAnsi="Times New Roman"/>
          <w:sz w:val="24"/>
        </w:rPr>
        <w:t xml:space="preserve">La Nouvelle-Zélande s’est engagée à déployer des efforts constants et soutenus en vue de la ratification des conventions fondamentales de l’OIT en suspens. La Commission est déterminée à intensifier les travaux sur la réforme des subventions aux combustibles fossiles au sein de l’OMC. Cet engagement commun est confirmé dans l’ALE, dans le cadre duquel l’UE et la Nouvelle-Zélande se sont engagées à renforcer leur coopération sur les aspects liés au commerce des politiques et mesures relatives aux subventions aux combustibles fossiles, tant au niveau bilatéral que dans les enceintes internationales compétentes. L’UE et la Nouvelle-Zélande sont spécifiquement convenues d’encourager les autres membres de l’OMC à travailler sur de nouvelles disciplines en matière de subventions aux combustibles fossiles au sein de l’OMC. Dans le cadre de ces travaux, l’UE et la Nouvelle-Zélande se sont engagées à coopérer étroitement sur la déclaration ministérielle plurilatérale envisagée et sur le </w:t>
      </w:r>
      <w:r>
        <w:rPr>
          <w:rFonts w:ascii="Times New Roman" w:hAnsi="Times New Roman"/>
          <w:sz w:val="24"/>
        </w:rPr>
        <w:lastRenderedPageBreak/>
        <w:t xml:space="preserve">plan de travail y afférent définissant les priorités de l’initiative de l'OMC concernant la réforme des subventions aux combustibles fossiles pour les années à venir. L’UE et la Nouvelle-Zélande concrétiseront ces engagements par l’intermédiaire du comité «Commerce et développement durable». En ce qui concerne la liste des biens et services verts, la Commission rappelle que l’ALE comprend des engagements visant à éliminer les droits de douane sur les biens environnementaux originaires de l’autre partie et des engagements en matière de services environnementaux. La liste des biens et services environnementaux est une liste indicative et non exhaustive et ne nécessite pas forcément un réexamen régulier. </w:t>
      </w:r>
    </w:p>
    <w:p w14:paraId="684DC6CC" w14:textId="4145255F" w:rsidR="000374F9" w:rsidRPr="006361BF" w:rsidRDefault="000374F9" w:rsidP="003B5987">
      <w:pPr>
        <w:spacing w:after="120" w:line="240" w:lineRule="auto"/>
        <w:jc w:val="both"/>
        <w:rPr>
          <w:rFonts w:ascii="Times New Roman" w:hAnsi="Times New Roman" w:cs="Times New Roman"/>
          <w:sz w:val="24"/>
          <w:szCs w:val="24"/>
        </w:rPr>
      </w:pPr>
      <w:r>
        <w:rPr>
          <w:rFonts w:ascii="Times New Roman" w:hAnsi="Times New Roman"/>
          <w:sz w:val="24"/>
        </w:rPr>
        <w:t>La Commission se félicite du large soutien et des félicitations du Parlement en ce qui concerne les engagements en matière de commerce et de développement durable pris entre l’Union et la Nouvelle-Zélande dans le cadre de l’ALE. Conformément à la communication de la Commission de juin 2022 intitulée «La force des partenariats commerciaux»</w:t>
      </w:r>
      <w:r w:rsidR="008B5CF9" w:rsidRPr="006361BF">
        <w:rPr>
          <w:rStyle w:val="FootnoteReference"/>
          <w:rFonts w:ascii="Times New Roman" w:hAnsi="Times New Roman" w:cs="Times New Roman"/>
          <w:sz w:val="24"/>
          <w:szCs w:val="24"/>
          <w:lang w:val="en-IE"/>
        </w:rPr>
        <w:footnoteReference w:id="1"/>
      </w:r>
      <w:r>
        <w:rPr>
          <w:rFonts w:ascii="Times New Roman" w:hAnsi="Times New Roman"/>
          <w:sz w:val="24"/>
        </w:rPr>
        <w:t>, ainsi qu’aux conclusions du Conseil</w:t>
      </w:r>
      <w:r w:rsidR="009203BD" w:rsidRPr="006361BF">
        <w:rPr>
          <w:rStyle w:val="FootnoteReference"/>
          <w:rFonts w:ascii="Times New Roman" w:hAnsi="Times New Roman" w:cs="Times New Roman"/>
          <w:sz w:val="24"/>
          <w:szCs w:val="24"/>
          <w:lang w:val="en-IE"/>
        </w:rPr>
        <w:footnoteReference w:id="2"/>
      </w:r>
      <w:r>
        <w:rPr>
          <w:rFonts w:ascii="Times New Roman" w:hAnsi="Times New Roman"/>
          <w:sz w:val="24"/>
        </w:rPr>
        <w:t xml:space="preserve"> et à la résolution du Parlement</w:t>
      </w:r>
      <w:r w:rsidR="009203BD" w:rsidRPr="006361BF">
        <w:rPr>
          <w:rStyle w:val="FootnoteReference"/>
          <w:rFonts w:ascii="Times New Roman" w:hAnsi="Times New Roman" w:cs="Times New Roman"/>
          <w:sz w:val="24"/>
          <w:szCs w:val="24"/>
          <w:lang w:val="en-IE"/>
        </w:rPr>
        <w:footnoteReference w:id="3"/>
      </w:r>
      <w:r>
        <w:rPr>
          <w:rFonts w:ascii="Times New Roman" w:hAnsi="Times New Roman"/>
          <w:sz w:val="24"/>
        </w:rPr>
        <w:t xml:space="preserve"> qui s’y rapportent, la Commission applique une approche par pays soigneusement mesurée. En ce qui concerne la Nouvelle-Zélande,</w:t>
      </w:r>
      <w:r>
        <w:rPr>
          <w:rFonts w:ascii="Times New Roman" w:hAnsi="Times New Roman"/>
        </w:rPr>
        <w:t xml:space="preserve"> </w:t>
      </w:r>
      <w:r>
        <w:rPr>
          <w:rFonts w:ascii="Times New Roman" w:hAnsi="Times New Roman"/>
          <w:sz w:val="24"/>
        </w:rPr>
        <w:t>pays présentant un niveau élevé de développement économique, une sensibilité croissante à l’égard du développement durable et un cadre réglementaire mature dans ce domaine, cette approche a permis d’atteindre un haut niveau d'engagements réalisables dans le cadre de l’ALE. La Commission continuera de chercher à atteindre des normes aussi élevées dans les négociations avec ses partenaires commerciaux, mais elle rappelle que la situation dans le pays concerné restera un paramètre important pour déterminer le niveau d’ambition approprié des futurs accords.</w:t>
      </w:r>
    </w:p>
    <w:p w14:paraId="6998675F" w14:textId="1A54ECC0" w:rsidR="00913106" w:rsidRPr="006361BF" w:rsidRDefault="00FA6E73" w:rsidP="003B5987">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soutient le point de vue du Parlement selon lequel </w:t>
      </w:r>
      <w:r>
        <w:rPr>
          <w:rFonts w:ascii="Times New Roman" w:hAnsi="Times New Roman"/>
          <w:b/>
          <w:sz w:val="24"/>
        </w:rPr>
        <w:t>une surveillance étroite de la gestion des contingents tarifaires</w:t>
      </w:r>
      <w:r>
        <w:rPr>
          <w:rFonts w:ascii="Times New Roman" w:hAnsi="Times New Roman"/>
          <w:sz w:val="24"/>
        </w:rPr>
        <w:t xml:space="preserve"> pour les produits agricoles sensibles (</w:t>
      </w:r>
      <w:r>
        <w:rPr>
          <w:rFonts w:ascii="Times New Roman" w:hAnsi="Times New Roman"/>
          <w:b/>
          <w:sz w:val="24"/>
        </w:rPr>
        <w:t>paragraphe 6</w:t>
      </w:r>
      <w:r>
        <w:rPr>
          <w:rFonts w:ascii="Times New Roman" w:hAnsi="Times New Roman"/>
          <w:sz w:val="24"/>
        </w:rPr>
        <w:t>), à savoir la viande bovine, la viande ovine et certains produits laitiers, revêt une importance cruciale. Cette surveillance sera exercée dans le cadre des procédures existantes: la Nouvelle-Zélande communiquera chaque mois ses données d’exportation à la Commission, lesquelles seront ensuite accessibles via la base de données COMEXT</w:t>
      </w:r>
      <w:r w:rsidRPr="006361BF">
        <w:rPr>
          <w:rStyle w:val="FootnoteReference"/>
          <w:rFonts w:ascii="Times New Roman" w:hAnsi="Times New Roman" w:cs="Times New Roman"/>
          <w:sz w:val="24"/>
          <w:szCs w:val="24"/>
          <w:lang w:val="en-IE"/>
        </w:rPr>
        <w:footnoteReference w:id="4"/>
      </w:r>
      <w:r>
        <w:rPr>
          <w:rFonts w:ascii="Times New Roman" w:hAnsi="Times New Roman"/>
          <w:sz w:val="24"/>
        </w:rPr>
        <w:t>, ainsi qu’agrégées et publiées dans le tableau de bord</w:t>
      </w:r>
      <w:r w:rsidRPr="006361BF">
        <w:rPr>
          <w:rStyle w:val="FootnoteReference"/>
          <w:rFonts w:ascii="Times New Roman" w:hAnsi="Times New Roman" w:cs="Times New Roman"/>
          <w:sz w:val="24"/>
          <w:szCs w:val="24"/>
          <w:lang w:val="en-IE"/>
        </w:rPr>
        <w:footnoteReference w:id="5"/>
      </w:r>
      <w:r>
        <w:rPr>
          <w:rFonts w:ascii="Times New Roman" w:hAnsi="Times New Roman"/>
          <w:sz w:val="24"/>
        </w:rPr>
        <w:t>. Le Parlement aura accès aux résultats des activités de surveillance susmentionnées grâce aux données publiées périodiquement par la Commission.</w:t>
      </w:r>
    </w:p>
    <w:p w14:paraId="17CAFF99" w14:textId="0F63A5D8" w:rsidR="00913106" w:rsidRPr="006361BF" w:rsidRDefault="00CB3EA5" w:rsidP="003B5987">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convient que la </w:t>
      </w:r>
      <w:r>
        <w:rPr>
          <w:rFonts w:ascii="Times New Roman" w:hAnsi="Times New Roman"/>
          <w:b/>
          <w:sz w:val="24"/>
        </w:rPr>
        <w:t>poursuite des échanges avec la Nouvelle-Zélande sur les pratiques agricoles durables (paragraphe 6)</w:t>
      </w:r>
      <w:r>
        <w:rPr>
          <w:rFonts w:ascii="Times New Roman" w:hAnsi="Times New Roman"/>
          <w:sz w:val="24"/>
        </w:rPr>
        <w:t xml:space="preserve"> devrait être bénéfique.</w:t>
      </w:r>
      <w:r>
        <w:rPr>
          <w:rFonts w:ascii="Times New Roman" w:hAnsi="Times New Roman"/>
          <w:b/>
          <w:sz w:val="24"/>
        </w:rPr>
        <w:t xml:space="preserve"> </w:t>
      </w:r>
      <w:r>
        <w:rPr>
          <w:rFonts w:ascii="Times New Roman" w:hAnsi="Times New Roman"/>
          <w:sz w:val="24"/>
        </w:rPr>
        <w:t>À cet effet, la Commission collabore déjà avec la Nouvelle-Zélande dans le cadre du dialogue stratégique international sur l’agriculture, version modernisée des négociations commerciales agricoles menées de longue date entre l’UE et la Nouvelle-Zélande qui leur fournit une plateforme permettant d’échanger sur les défis et les solutions communs dans les domaines du commerce agricole et de l'agriculture durable.</w:t>
      </w:r>
    </w:p>
    <w:p w14:paraId="13D38DC8" w14:textId="0FB5933F" w:rsidR="00E667BA" w:rsidRPr="006361BF" w:rsidRDefault="00E667BA" w:rsidP="003B5987">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se félicite de l’appel lancé par le Parlement aux deux parties afin qu’elles </w:t>
      </w:r>
      <w:r>
        <w:rPr>
          <w:rFonts w:ascii="Times New Roman" w:hAnsi="Times New Roman"/>
          <w:b/>
          <w:sz w:val="24"/>
        </w:rPr>
        <w:t>adoptent des critères de durabilité pour les marchés publics</w:t>
      </w:r>
      <w:r>
        <w:rPr>
          <w:rFonts w:ascii="Times New Roman" w:hAnsi="Times New Roman"/>
          <w:sz w:val="24"/>
        </w:rPr>
        <w:t xml:space="preserve"> conformément aux dispositions de l’ALE </w:t>
      </w:r>
      <w:r>
        <w:rPr>
          <w:rFonts w:ascii="Times New Roman" w:hAnsi="Times New Roman"/>
          <w:b/>
          <w:sz w:val="24"/>
        </w:rPr>
        <w:t>(paragraphe 9)</w:t>
      </w:r>
      <w:r>
        <w:rPr>
          <w:rFonts w:ascii="Times New Roman" w:hAnsi="Times New Roman"/>
          <w:sz w:val="24"/>
        </w:rPr>
        <w:t xml:space="preserve">, et convient que la durabilité est un facteur important dans tous les </w:t>
      </w:r>
      <w:r>
        <w:rPr>
          <w:rFonts w:ascii="Times New Roman" w:hAnsi="Times New Roman"/>
          <w:sz w:val="24"/>
        </w:rPr>
        <w:lastRenderedPageBreak/>
        <w:t>aspects du commerce. Elle rappelle à cet égard que, conformément aux dispositions de l'accord, chaque partie a le droit d’appliquer ses propres critères de durabilité, pour autant qu’ils ne soient pas discriminatoires et ne constituent donc pas un obstacle déguisé aux échanges.</w:t>
      </w:r>
    </w:p>
    <w:p w14:paraId="1A1B8922" w14:textId="08C4E686" w:rsidR="00711E05" w:rsidRPr="006361BF" w:rsidRDefault="00913106" w:rsidP="003B5987">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partage le point de vue selon lequel la </w:t>
      </w:r>
      <w:r>
        <w:rPr>
          <w:rFonts w:ascii="Times New Roman" w:hAnsi="Times New Roman"/>
          <w:b/>
          <w:sz w:val="24"/>
        </w:rPr>
        <w:t>mise en place rapide de points de contact pour les PME</w:t>
      </w:r>
      <w:r>
        <w:rPr>
          <w:rFonts w:ascii="Times New Roman" w:hAnsi="Times New Roman"/>
          <w:sz w:val="24"/>
        </w:rPr>
        <w:t xml:space="preserve"> et la </w:t>
      </w:r>
      <w:r>
        <w:rPr>
          <w:rFonts w:ascii="Times New Roman" w:hAnsi="Times New Roman"/>
          <w:b/>
          <w:sz w:val="24"/>
        </w:rPr>
        <w:t>garantie que les PME aient accès aux informations pertinentes (paragraphe 11)</w:t>
      </w:r>
      <w:r>
        <w:rPr>
          <w:rFonts w:ascii="Times New Roman" w:hAnsi="Times New Roman"/>
          <w:sz w:val="24"/>
        </w:rPr>
        <w:t xml:space="preserve"> profiteront aux petites et moyennes entreprises de l’UE et de la Nouvelle-Zélande. Il est important de faciliter la participation des PME des deux parties au commerce bilatéral. Plusieurs mois avant l’entrée en vigueur de l’ALE, l’UE et la Nouvelle-Zélande travaillent déjà à garantir l’accès des PME aux informations clés et à les sensibiliser davantage aux avantages de cet accord ainsi qu’à la manière d’en tirer parti. Du côté de l’UE, cela sera facilité par le portail Access2Markets ainsi que par les formations et les présentations à ce sujet qui seront régulièrement organisées. Les États membres, les organisations de promotion du commerce ainsi que les chambres de commerce des États membres continueront également à jouer un rôle important en faisant la promotion de l’ALE et en fournissant des orientations aux PME sur le terrain.</w:t>
      </w:r>
    </w:p>
    <w:p w14:paraId="5D4140A7" w14:textId="45810858" w:rsidR="00711E05" w:rsidRPr="006361BF" w:rsidRDefault="00711E05" w:rsidP="003B5987">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Le Parlement suggère que la Commission devrait, de manière plus générale, </w:t>
      </w:r>
      <w:r>
        <w:rPr>
          <w:rFonts w:ascii="Times New Roman" w:hAnsi="Times New Roman"/>
          <w:b/>
          <w:sz w:val="24"/>
        </w:rPr>
        <w:t>évaluer l’efficacité de tous les chapitres relatifs aux PME dans les accords commerciaux de l’Union</w:t>
      </w:r>
      <w:r>
        <w:rPr>
          <w:rFonts w:ascii="Times New Roman" w:hAnsi="Times New Roman"/>
          <w:sz w:val="24"/>
        </w:rPr>
        <w:t xml:space="preserve"> afin de permettre aux PME de tirer le meilleur profit des avantages des ALE </w:t>
      </w:r>
      <w:r>
        <w:rPr>
          <w:rFonts w:ascii="Times New Roman" w:hAnsi="Times New Roman"/>
          <w:b/>
          <w:sz w:val="24"/>
        </w:rPr>
        <w:t>(paragraphe 13)</w:t>
      </w:r>
      <w:r>
        <w:rPr>
          <w:rFonts w:ascii="Times New Roman" w:hAnsi="Times New Roman"/>
          <w:sz w:val="24"/>
        </w:rPr>
        <w:t>. Les chapitres relatifs aux PME des ALE complètent les dispositions et engagements matériels figurant dans d’autres chapitres de ces accords, tels que la facilitation des échanges, les procédures douanières, les règles d’origine, l’accès au marché des biens et des services, les droits de propriété intellectuelle, les marchés publics et le commerce numérique. En raison de la nature horizontale des questions présentant un intérêt pour les PME, les petites entreprises sont potentiellement les principales bénéficiaires des dispositions contenues dans d’autres chapitres. L’objectif du chapitre relatif aux PME est de traduire ces dispositions en avantages commerciaux concrets pour les petits opérateurs grâce, entre autres, à une transparence accrue des exigences en matière d’importation. Par conséquent, on ne saurait mesurer l’efficacité du chapitre relatif aux PME indépendamment des autres chapitres de l’accord. Comme indiqué plus haut, la Commission intensifie ses efforts pour faire en sorte que les PME aient connaissance de l’ALE et aient accès aux informations nécessaires pour pouvoir en tirer parti.</w:t>
      </w:r>
    </w:p>
    <w:p w14:paraId="73897D72" w14:textId="470B3873" w:rsidR="00F03308" w:rsidRPr="006361BF" w:rsidRDefault="00CB3EA5" w:rsidP="003B5987">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convient que la </w:t>
      </w:r>
      <w:r>
        <w:rPr>
          <w:rFonts w:ascii="Times New Roman" w:hAnsi="Times New Roman"/>
          <w:b/>
          <w:sz w:val="24"/>
        </w:rPr>
        <w:t>création en temps utile des groupes consultatifs internes</w:t>
      </w:r>
      <w:r>
        <w:rPr>
          <w:rFonts w:ascii="Times New Roman" w:hAnsi="Times New Roman"/>
          <w:sz w:val="24"/>
        </w:rPr>
        <w:t xml:space="preserve"> dès l’entrée en vigueur de l’ALE et </w:t>
      </w:r>
      <w:r>
        <w:rPr>
          <w:rFonts w:ascii="Times New Roman" w:hAnsi="Times New Roman"/>
          <w:b/>
          <w:sz w:val="24"/>
        </w:rPr>
        <w:t>la garantie qu’ils puissent contribuer activement à la mise en œuvre de cet accord</w:t>
      </w:r>
      <w:r>
        <w:rPr>
          <w:rFonts w:ascii="Times New Roman" w:hAnsi="Times New Roman"/>
          <w:sz w:val="24"/>
        </w:rPr>
        <w:t>, en particulier en ce qui concerne les incidences sur la durabilité (</w:t>
      </w:r>
      <w:r>
        <w:rPr>
          <w:rFonts w:ascii="Times New Roman" w:hAnsi="Times New Roman"/>
          <w:b/>
          <w:sz w:val="24"/>
        </w:rPr>
        <w:t>paragraphe 12</w:t>
      </w:r>
      <w:r>
        <w:rPr>
          <w:rFonts w:ascii="Times New Roman" w:hAnsi="Times New Roman"/>
          <w:sz w:val="24"/>
        </w:rPr>
        <w:t>), jouera un rôle important dans la bonne mise en œuvre des dispositions de l’accord. Dès l’entrée en vigueur de l’ALE, un appel à manifestation d’intérêt sera lancé afin de créer le groupe consultatif interne, conformément à la pratique bien établie tirée d’autres ALE.</w:t>
      </w:r>
    </w:p>
    <w:sectPr w:rsidR="00F03308" w:rsidRPr="006361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0B6D" w14:textId="77777777" w:rsidR="00824DD4" w:rsidRDefault="00824DD4">
      <w:pPr>
        <w:spacing w:after="0" w:line="240" w:lineRule="auto"/>
      </w:pPr>
      <w:r>
        <w:separator/>
      </w:r>
    </w:p>
  </w:endnote>
  <w:endnote w:type="continuationSeparator" w:id="0">
    <w:p w14:paraId="7DCE6106" w14:textId="77777777" w:rsidR="00824DD4" w:rsidRDefault="0082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2C08" w14:textId="77777777" w:rsidR="00FA6E73" w:rsidRDefault="00FA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20857"/>
      <w:docPartObj>
        <w:docPartGallery w:val="Page Numbers (Bottom of Page)"/>
        <w:docPartUnique/>
      </w:docPartObj>
    </w:sdtPr>
    <w:sdtEndPr>
      <w:rPr>
        <w:noProof/>
      </w:rPr>
    </w:sdtEndPr>
    <w:sdtContent>
      <w:p w14:paraId="482A8AFC" w14:textId="62E4F07F" w:rsidR="004C4589" w:rsidRDefault="004C4589">
        <w:pPr>
          <w:pStyle w:val="Footer"/>
          <w:jc w:val="right"/>
        </w:pPr>
        <w:r>
          <w:fldChar w:fldCharType="begin"/>
        </w:r>
        <w:r>
          <w:instrText xml:space="preserve"> PAGE   \* MERGEFORMAT </w:instrText>
        </w:r>
        <w:r>
          <w:fldChar w:fldCharType="separate"/>
        </w:r>
        <w:r>
          <w:t>2</w:t>
        </w:r>
        <w:r>
          <w:fldChar w:fldCharType="end"/>
        </w:r>
      </w:p>
    </w:sdtContent>
  </w:sdt>
  <w:p w14:paraId="46F0E008" w14:textId="77777777" w:rsidR="00E55839" w:rsidRDefault="00E55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2DC8" w14:textId="77777777" w:rsidR="00FA6E73" w:rsidRDefault="00FA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A7F3" w14:textId="77777777" w:rsidR="00824DD4" w:rsidRDefault="00824DD4">
      <w:pPr>
        <w:spacing w:after="0" w:line="240" w:lineRule="auto"/>
      </w:pPr>
      <w:r>
        <w:separator/>
      </w:r>
    </w:p>
  </w:footnote>
  <w:footnote w:type="continuationSeparator" w:id="0">
    <w:p w14:paraId="2B4B24D0" w14:textId="77777777" w:rsidR="00824DD4" w:rsidRDefault="00824DD4">
      <w:pPr>
        <w:spacing w:after="0" w:line="240" w:lineRule="auto"/>
      </w:pPr>
      <w:r>
        <w:continuationSeparator/>
      </w:r>
    </w:p>
  </w:footnote>
  <w:footnote w:id="1">
    <w:p w14:paraId="337457F4" w14:textId="0BF6495C" w:rsidR="008B5CF9" w:rsidRPr="003B5987" w:rsidRDefault="008B5CF9" w:rsidP="003B5987">
      <w:pPr>
        <w:pStyle w:val="FootnoteText"/>
        <w:ind w:left="357" w:hanging="35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https://eur-lex.europa.eu/legal-content/FR/TXT/?uri=CELEX%3A52022DC0409&amp;qid=1656586727707</w:t>
        </w:r>
      </w:hyperlink>
      <w:r>
        <w:rPr>
          <w:rFonts w:ascii="Times New Roman" w:hAnsi="Times New Roman"/>
        </w:rPr>
        <w:t xml:space="preserve"> </w:t>
      </w:r>
    </w:p>
  </w:footnote>
  <w:footnote w:id="2">
    <w:p w14:paraId="263504F8" w14:textId="11FDAEEB" w:rsidR="009203BD" w:rsidRPr="003B5987" w:rsidRDefault="009203BD" w:rsidP="003B5987">
      <w:pPr>
        <w:pStyle w:val="FootnoteText"/>
        <w:ind w:left="357" w:hanging="35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https://data.consilium.europa.eu/doc/document/ST-13633-2022-INIT/fr/pdf</w:t>
        </w:r>
      </w:hyperlink>
    </w:p>
  </w:footnote>
  <w:footnote w:id="3">
    <w:p w14:paraId="10DAF986" w14:textId="56797C28" w:rsidR="009203BD" w:rsidRPr="003B5987" w:rsidRDefault="009203BD" w:rsidP="003B5987">
      <w:pPr>
        <w:pStyle w:val="FootnoteText"/>
        <w:ind w:left="357" w:hanging="35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3" w:history="1">
        <w:r>
          <w:rPr>
            <w:rStyle w:val="Hyperlink"/>
            <w:rFonts w:ascii="Times New Roman" w:hAnsi="Times New Roman"/>
          </w:rPr>
          <w:t>https://www.europarl.europa.eu/doceo/document/TA-9-2022-0354_FR.html</w:t>
        </w:r>
      </w:hyperlink>
      <w:r>
        <w:rPr>
          <w:rFonts w:ascii="Times New Roman" w:hAnsi="Times New Roman"/>
        </w:rPr>
        <w:t xml:space="preserve"> </w:t>
      </w:r>
    </w:p>
  </w:footnote>
  <w:footnote w:id="4">
    <w:p w14:paraId="3BFF1964" w14:textId="02F3C971" w:rsidR="00FA6E73" w:rsidRPr="003B5987" w:rsidRDefault="00FA6E73" w:rsidP="003B5987">
      <w:pPr>
        <w:pStyle w:val="FootnoteText"/>
        <w:ind w:left="357" w:hanging="35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4" w:history="1">
        <w:r>
          <w:rPr>
            <w:rStyle w:val="Hyperlink"/>
            <w:rFonts w:ascii="Times New Roman" w:hAnsi="Times New Roman"/>
          </w:rPr>
          <w:t>Database - International trade in goods - Eurostat (europa.eu)</w:t>
        </w:r>
      </w:hyperlink>
    </w:p>
  </w:footnote>
  <w:footnote w:id="5">
    <w:p w14:paraId="236E4CDF" w14:textId="5D839E89" w:rsidR="00FA6E73" w:rsidRPr="00FA6E73" w:rsidRDefault="00FA6E73" w:rsidP="003B5987">
      <w:pPr>
        <w:pStyle w:val="FootnoteText"/>
        <w:ind w:left="357" w:hanging="357"/>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Exemple pour la viande ovine: </w:t>
      </w:r>
      <w:hyperlink r:id="rId5" w:history="1">
        <w:r>
          <w:rPr>
            <w:rStyle w:val="Hyperlink"/>
            <w:rFonts w:ascii="Times New Roman" w:hAnsi="Times New Roman"/>
          </w:rPr>
          <w:t>European Commission |</w:t>
        </w:r>
      </w:hyperlink>
      <w:hyperlink r:id="rId6" w:history="1">
        <w:r>
          <w:rPr>
            <w:rStyle w:val="Hyperlink"/>
            <w:rFonts w:ascii="Times New Roman" w:hAnsi="Times New Roman"/>
          </w:rPr>
          <w:t xml:space="preserve"> Agri-food data portal |</w:t>
        </w:r>
      </w:hyperlink>
      <w:hyperlink r:id="rId7" w:history="1">
        <w:r>
          <w:rPr>
            <w:rStyle w:val="Hyperlink"/>
            <w:rFonts w:ascii="Times New Roman" w:hAnsi="Times New Roman"/>
          </w:rPr>
          <w:t xml:space="preserve"> Agricultural markets |</w:t>
        </w:r>
      </w:hyperlink>
      <w:hyperlink r:id="rId8" w:history="1">
        <w:r>
          <w:rPr>
            <w:rStyle w:val="Hyperlink"/>
            <w:rFonts w:ascii="Times New Roman" w:hAnsi="Times New Roman"/>
          </w:rPr>
          <w:t xml:space="preserve"> Sheep and goat meat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544D" w14:textId="77777777" w:rsidR="00FA6E73" w:rsidRDefault="00FA6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4DDA" w14:textId="77777777" w:rsidR="00FA6E73" w:rsidRDefault="00FA6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A17C" w14:textId="77777777" w:rsidR="00FA6E73" w:rsidRDefault="00FA6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num w:numId="1" w16cid:durableId="78801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354F"/>
    <w:rsid w:val="00006E3E"/>
    <w:rsid w:val="000355E7"/>
    <w:rsid w:val="000374F9"/>
    <w:rsid w:val="000D4D2B"/>
    <w:rsid w:val="000F4B2B"/>
    <w:rsid w:val="000F5078"/>
    <w:rsid w:val="00100A15"/>
    <w:rsid w:val="00216E7B"/>
    <w:rsid w:val="00234B88"/>
    <w:rsid w:val="00257D9A"/>
    <w:rsid w:val="0026755F"/>
    <w:rsid w:val="00285914"/>
    <w:rsid w:val="002F3EA9"/>
    <w:rsid w:val="00390EC5"/>
    <w:rsid w:val="003B5987"/>
    <w:rsid w:val="00412223"/>
    <w:rsid w:val="00414271"/>
    <w:rsid w:val="0048037A"/>
    <w:rsid w:val="004C4589"/>
    <w:rsid w:val="004D102B"/>
    <w:rsid w:val="004F4123"/>
    <w:rsid w:val="0052061E"/>
    <w:rsid w:val="0052550E"/>
    <w:rsid w:val="00551613"/>
    <w:rsid w:val="00595E88"/>
    <w:rsid w:val="005B3CC1"/>
    <w:rsid w:val="005D34D1"/>
    <w:rsid w:val="006274AC"/>
    <w:rsid w:val="006361BF"/>
    <w:rsid w:val="00655DEE"/>
    <w:rsid w:val="006A1AB3"/>
    <w:rsid w:val="006A27B1"/>
    <w:rsid w:val="006B5014"/>
    <w:rsid w:val="006E354F"/>
    <w:rsid w:val="00711E05"/>
    <w:rsid w:val="00750F76"/>
    <w:rsid w:val="00786771"/>
    <w:rsid w:val="007A5190"/>
    <w:rsid w:val="007F02BE"/>
    <w:rsid w:val="007F1F6C"/>
    <w:rsid w:val="00802B39"/>
    <w:rsid w:val="008040CD"/>
    <w:rsid w:val="00824DD4"/>
    <w:rsid w:val="00825B9C"/>
    <w:rsid w:val="00851793"/>
    <w:rsid w:val="00885251"/>
    <w:rsid w:val="008A11B5"/>
    <w:rsid w:val="008B5CF9"/>
    <w:rsid w:val="008C0CFE"/>
    <w:rsid w:val="00900C4A"/>
    <w:rsid w:val="00910704"/>
    <w:rsid w:val="00913106"/>
    <w:rsid w:val="009203BD"/>
    <w:rsid w:val="009717BB"/>
    <w:rsid w:val="009C71BE"/>
    <w:rsid w:val="009E5D62"/>
    <w:rsid w:val="009E7314"/>
    <w:rsid w:val="00A147C6"/>
    <w:rsid w:val="00A47631"/>
    <w:rsid w:val="00A62B88"/>
    <w:rsid w:val="00A81FD8"/>
    <w:rsid w:val="00A82DE7"/>
    <w:rsid w:val="00AF0A5F"/>
    <w:rsid w:val="00B16D29"/>
    <w:rsid w:val="00B476C6"/>
    <w:rsid w:val="00B52CC9"/>
    <w:rsid w:val="00B836DC"/>
    <w:rsid w:val="00BF5981"/>
    <w:rsid w:val="00C178B7"/>
    <w:rsid w:val="00C33B02"/>
    <w:rsid w:val="00C34951"/>
    <w:rsid w:val="00CA1ACD"/>
    <w:rsid w:val="00CB3EA5"/>
    <w:rsid w:val="00CD5D12"/>
    <w:rsid w:val="00CD790B"/>
    <w:rsid w:val="00D36C48"/>
    <w:rsid w:val="00D5562B"/>
    <w:rsid w:val="00D90D63"/>
    <w:rsid w:val="00DD7563"/>
    <w:rsid w:val="00E04C68"/>
    <w:rsid w:val="00E32224"/>
    <w:rsid w:val="00E3427E"/>
    <w:rsid w:val="00E55839"/>
    <w:rsid w:val="00E667BA"/>
    <w:rsid w:val="00E96482"/>
    <w:rsid w:val="00F00BF2"/>
    <w:rsid w:val="00F03308"/>
    <w:rsid w:val="00F711BF"/>
    <w:rsid w:val="00F75706"/>
    <w:rsid w:val="00F817A6"/>
    <w:rsid w:val="00F942BD"/>
    <w:rsid w:val="00FA6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AE3A"/>
  <w15:chartTrackingRefBased/>
  <w15:docId w15:val="{7F17A56A-1474-4AF2-8CBF-F4C0E4A3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4F"/>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4F"/>
    <w:pPr>
      <w:ind w:left="720"/>
      <w:contextualSpacing/>
    </w:pPr>
  </w:style>
  <w:style w:type="paragraph" w:styleId="Footer">
    <w:name w:val="footer"/>
    <w:basedOn w:val="Normal"/>
    <w:link w:val="FooterChar"/>
    <w:uiPriority w:val="99"/>
    <w:unhideWhenUsed/>
    <w:rsid w:val="006E3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54F"/>
    <w:rPr>
      <w:rFonts w:asciiTheme="minorHAnsi" w:hAnsiTheme="minorHAnsi" w:cstheme="minorBidi"/>
      <w:sz w:val="22"/>
      <w:szCs w:val="22"/>
      <w:lang w:val="fr-FR"/>
    </w:rPr>
  </w:style>
  <w:style w:type="character" w:styleId="CommentReference">
    <w:name w:val="annotation reference"/>
    <w:basedOn w:val="DefaultParagraphFont"/>
    <w:uiPriority w:val="99"/>
    <w:semiHidden/>
    <w:unhideWhenUsed/>
    <w:rsid w:val="00595E88"/>
    <w:rPr>
      <w:sz w:val="16"/>
      <w:szCs w:val="16"/>
    </w:rPr>
  </w:style>
  <w:style w:type="paragraph" w:styleId="CommentText">
    <w:name w:val="annotation text"/>
    <w:basedOn w:val="Normal"/>
    <w:link w:val="CommentTextChar"/>
    <w:uiPriority w:val="99"/>
    <w:unhideWhenUsed/>
    <w:rsid w:val="00595E88"/>
    <w:pPr>
      <w:spacing w:line="240" w:lineRule="auto"/>
    </w:pPr>
    <w:rPr>
      <w:sz w:val="20"/>
      <w:szCs w:val="20"/>
    </w:rPr>
  </w:style>
  <w:style w:type="character" w:customStyle="1" w:styleId="CommentTextChar">
    <w:name w:val="Comment Text Char"/>
    <w:basedOn w:val="DefaultParagraphFont"/>
    <w:link w:val="CommentText"/>
    <w:uiPriority w:val="99"/>
    <w:rsid w:val="00595E88"/>
    <w:rPr>
      <w:rFonts w:asciiTheme="minorHAnsi" w:hAnsiTheme="minorHAnsi" w:cstheme="minorBidi"/>
      <w:sz w:val="20"/>
      <w:szCs w:val="20"/>
      <w:lang w:val="fr-FR"/>
    </w:rPr>
  </w:style>
  <w:style w:type="paragraph" w:styleId="CommentSubject">
    <w:name w:val="annotation subject"/>
    <w:basedOn w:val="CommentText"/>
    <w:next w:val="CommentText"/>
    <w:link w:val="CommentSubjectChar"/>
    <w:uiPriority w:val="99"/>
    <w:semiHidden/>
    <w:unhideWhenUsed/>
    <w:rsid w:val="00595E88"/>
    <w:rPr>
      <w:b/>
      <w:bCs/>
    </w:rPr>
  </w:style>
  <w:style w:type="character" w:customStyle="1" w:styleId="CommentSubjectChar">
    <w:name w:val="Comment Subject Char"/>
    <w:basedOn w:val="CommentTextChar"/>
    <w:link w:val="CommentSubject"/>
    <w:uiPriority w:val="99"/>
    <w:semiHidden/>
    <w:rsid w:val="00595E88"/>
    <w:rPr>
      <w:rFonts w:asciiTheme="minorHAnsi" w:hAnsiTheme="minorHAnsi" w:cstheme="minorBidi"/>
      <w:b/>
      <w:bCs/>
      <w:sz w:val="20"/>
      <w:szCs w:val="20"/>
      <w:lang w:val="fr-FR"/>
    </w:rPr>
  </w:style>
  <w:style w:type="table" w:styleId="TableGrid">
    <w:name w:val="Table Grid"/>
    <w:basedOn w:val="TableNormal"/>
    <w:uiPriority w:val="59"/>
    <w:rsid w:val="00F817A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E73"/>
    <w:rPr>
      <w:rFonts w:asciiTheme="minorHAnsi" w:hAnsiTheme="minorHAnsi" w:cstheme="minorBidi"/>
      <w:sz w:val="22"/>
      <w:szCs w:val="22"/>
      <w:lang w:val="fr-FR"/>
    </w:rPr>
  </w:style>
  <w:style w:type="character" w:styleId="Hyperlink">
    <w:name w:val="Hyperlink"/>
    <w:basedOn w:val="DefaultParagraphFont"/>
    <w:uiPriority w:val="99"/>
    <w:unhideWhenUsed/>
    <w:rsid w:val="00FA6E73"/>
    <w:rPr>
      <w:color w:val="0000FF"/>
      <w:u w:val="single"/>
    </w:rPr>
  </w:style>
  <w:style w:type="paragraph" w:styleId="FootnoteText">
    <w:name w:val="footnote text"/>
    <w:basedOn w:val="Normal"/>
    <w:link w:val="FootnoteTextChar"/>
    <w:uiPriority w:val="99"/>
    <w:semiHidden/>
    <w:unhideWhenUsed/>
    <w:rsid w:val="00FA6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E73"/>
    <w:rPr>
      <w:rFonts w:asciiTheme="minorHAnsi" w:hAnsiTheme="minorHAnsi" w:cstheme="minorBidi"/>
      <w:sz w:val="20"/>
      <w:szCs w:val="20"/>
      <w:lang w:val="fr-FR"/>
    </w:rPr>
  </w:style>
  <w:style w:type="character" w:styleId="FootnoteReference">
    <w:name w:val="footnote reference"/>
    <w:basedOn w:val="DefaultParagraphFont"/>
    <w:uiPriority w:val="99"/>
    <w:semiHidden/>
    <w:unhideWhenUsed/>
    <w:rsid w:val="00FA6E73"/>
    <w:rPr>
      <w:vertAlign w:val="superscript"/>
    </w:rPr>
  </w:style>
  <w:style w:type="character" w:styleId="FollowedHyperlink">
    <w:name w:val="FollowedHyperlink"/>
    <w:basedOn w:val="DefaultParagraphFont"/>
    <w:uiPriority w:val="99"/>
    <w:semiHidden/>
    <w:unhideWhenUsed/>
    <w:rsid w:val="00FA6E73"/>
    <w:rPr>
      <w:color w:val="800080" w:themeColor="followedHyperlink"/>
      <w:u w:val="single"/>
    </w:rPr>
  </w:style>
  <w:style w:type="paragraph" w:styleId="Revision">
    <w:name w:val="Revision"/>
    <w:hidden/>
    <w:uiPriority w:val="99"/>
    <w:semiHidden/>
    <w:rsid w:val="00E667BA"/>
    <w:pPr>
      <w:spacing w:after="0" w:line="240" w:lineRule="auto"/>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E32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3681">
      <w:bodyDiv w:val="1"/>
      <w:marLeft w:val="0"/>
      <w:marRight w:val="0"/>
      <w:marTop w:val="0"/>
      <w:marBottom w:val="0"/>
      <w:divBdr>
        <w:top w:val="none" w:sz="0" w:space="0" w:color="auto"/>
        <w:left w:val="none" w:sz="0" w:space="0" w:color="auto"/>
        <w:bottom w:val="none" w:sz="0" w:space="0" w:color="auto"/>
        <w:right w:val="none" w:sz="0" w:space="0" w:color="auto"/>
      </w:divBdr>
    </w:div>
    <w:div w:id="834953771">
      <w:bodyDiv w:val="1"/>
      <w:marLeft w:val="0"/>
      <w:marRight w:val="0"/>
      <w:marTop w:val="0"/>
      <w:marBottom w:val="0"/>
      <w:divBdr>
        <w:top w:val="none" w:sz="0" w:space="0" w:color="auto"/>
        <w:left w:val="none" w:sz="0" w:space="0" w:color="auto"/>
        <w:bottom w:val="none" w:sz="0" w:space="0" w:color="auto"/>
        <w:right w:val="none" w:sz="0" w:space="0" w:color="auto"/>
      </w:divBdr>
    </w:div>
    <w:div w:id="1448040687">
      <w:bodyDiv w:val="1"/>
      <w:marLeft w:val="0"/>
      <w:marRight w:val="0"/>
      <w:marTop w:val="0"/>
      <w:marBottom w:val="0"/>
      <w:divBdr>
        <w:top w:val="none" w:sz="0" w:space="0" w:color="auto"/>
        <w:left w:val="none" w:sz="0" w:space="0" w:color="auto"/>
        <w:bottom w:val="none" w:sz="0" w:space="0" w:color="auto"/>
        <w:right w:val="none" w:sz="0" w:space="0" w:color="auto"/>
      </w:divBdr>
    </w:div>
    <w:div w:id="1617832933">
      <w:bodyDiv w:val="1"/>
      <w:marLeft w:val="0"/>
      <w:marRight w:val="0"/>
      <w:marTop w:val="0"/>
      <w:marBottom w:val="0"/>
      <w:divBdr>
        <w:top w:val="none" w:sz="0" w:space="0" w:color="auto"/>
        <w:left w:val="none" w:sz="0" w:space="0" w:color="auto"/>
        <w:bottom w:val="none" w:sz="0" w:space="0" w:color="auto"/>
        <w:right w:val="none" w:sz="0" w:space="0" w:color="auto"/>
      </w:divBdr>
    </w:div>
    <w:div w:id="21085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gridata.ec.europa.eu/extensions/DataPortal/sheep-and-goat-meat.html" TargetMode="External"/><Relationship Id="rId3" Type="http://schemas.openxmlformats.org/officeDocument/2006/relationships/hyperlink" Target="https://www.europarl.europa.eu/doceo/document/TA-9-2022-0354_FR.html" TargetMode="External"/><Relationship Id="rId7" Type="http://schemas.openxmlformats.org/officeDocument/2006/relationships/hyperlink" Target="https://agridata.ec.europa.eu/extensions/DataPortal/sheep-and-goat-meat.html" TargetMode="External"/><Relationship Id="rId2" Type="http://schemas.openxmlformats.org/officeDocument/2006/relationships/hyperlink" Target="https://data.consilium.europa.eu/doc/document/ST-13633-2022-INIT/fr/pdf" TargetMode="External"/><Relationship Id="rId1" Type="http://schemas.openxmlformats.org/officeDocument/2006/relationships/hyperlink" Target="https://eur-lex.europa.eu/legal-content/FR/TXT/?uri=CELEX%3A52022DC0409&amp;qid=1656586727707" TargetMode="External"/><Relationship Id="rId6" Type="http://schemas.openxmlformats.org/officeDocument/2006/relationships/hyperlink" Target="https://agridata.ec.europa.eu/extensions/DataPortal/sheep-and-goat-meat.html" TargetMode="External"/><Relationship Id="rId5" Type="http://schemas.openxmlformats.org/officeDocument/2006/relationships/hyperlink" Target="https://agridata.ec.europa.eu/extensions/DataPortal/sheep-and-goat-meat.html" TargetMode="External"/><Relationship Id="rId4" Type="http://schemas.openxmlformats.org/officeDocument/2006/relationships/hyperlink" Target="https://ec.europa.eu/eurostat/web/international-trade-in-goods/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8B53F-BCEA-40B3-AA0F-D9B6064B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2069</Words>
  <Characters>11714</Characters>
  <Application>Microsoft Office Word</Application>
  <DocSecurity>0</DocSecurity>
  <Lines>158</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 Marianna (TRADE)</dc:creator>
  <cp:keywords/>
  <dc:description/>
  <cp:lastModifiedBy>DELBAER Gerda (SG)</cp:lastModifiedBy>
  <cp:revision>2</cp:revision>
  <cp:lastPrinted>2023-12-15T14:01:00Z</cp:lastPrinted>
  <dcterms:created xsi:type="dcterms:W3CDTF">2024-03-19T10:09:00Z</dcterms:created>
  <dcterms:modified xsi:type="dcterms:W3CDTF">2024-03-19T10:09:00Z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2023-12-06T15:40:21Z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c5cc4af8-f12b-4ea5-9d68-0ab0bfae233b</vt:lpwstr>
  </property>
  <property fmtid="{D5CDD505-2E9C-101B-9397-08002B2CF9AE}" pid="8" name="MSIP_Label_6bd9ddd1-4d20-43f6-abfa-fc3c07406f94_ContentBits">
    <vt:lpwstr>0</vt:lpwstr>
  </property>
</Properties>
</file>