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ED311" w14:textId="31FBCB76" w:rsidR="00696F22" w:rsidRPr="00C67738" w:rsidRDefault="00696F22" w:rsidP="00F83D67">
      <w:pPr>
        <w:spacing w:after="600" w:line="240" w:lineRule="auto"/>
        <w:jc w:val="center"/>
        <w:rPr>
          <w:b/>
          <w:bCs/>
          <w:szCs w:val="24"/>
        </w:rPr>
      </w:pPr>
      <w:r>
        <w:rPr>
          <w:b/>
        </w:rPr>
        <w:t>Suite donnée à la résolution non législative du Parlement européen concernant des négociations relatives à un accord sur le statut entre l’Union européenne et la République islamique de Mauritanie en ce qui concerne les activités opérationnelles menées par l’Agence européenne de garde-frontières et de garde-côtes (Frontex) en République islamique de Mauritanie</w:t>
      </w:r>
    </w:p>
    <w:p w14:paraId="10F9B5A1" w14:textId="203A89FB" w:rsidR="00696F22" w:rsidRPr="00C67738" w:rsidRDefault="00696F22" w:rsidP="00760F94">
      <w:pPr>
        <w:pStyle w:val="ListParagraph"/>
        <w:numPr>
          <w:ilvl w:val="0"/>
          <w:numId w:val="38"/>
        </w:numPr>
        <w:spacing w:after="240"/>
        <w:ind w:left="567" w:hanging="567"/>
        <w:contextualSpacing w:val="0"/>
        <w:rPr>
          <w:szCs w:val="24"/>
        </w:rPr>
      </w:pPr>
      <w:r>
        <w:rPr>
          <w:b/>
        </w:rPr>
        <w:t>Rapporteur[e]:</w:t>
      </w:r>
      <w:r>
        <w:t xml:space="preserve"> Tineke STRIK (Verts/ALE/NL) </w:t>
      </w:r>
    </w:p>
    <w:p w14:paraId="56B99B1B" w14:textId="46CB78DC" w:rsidR="00696F22" w:rsidRPr="00C67738" w:rsidRDefault="00696F22" w:rsidP="00760F94">
      <w:pPr>
        <w:pStyle w:val="ListParagraph"/>
        <w:numPr>
          <w:ilvl w:val="0"/>
          <w:numId w:val="38"/>
        </w:numPr>
        <w:spacing w:after="240"/>
        <w:ind w:left="567" w:hanging="567"/>
        <w:contextualSpacing w:val="0"/>
        <w:rPr>
          <w:szCs w:val="24"/>
        </w:rPr>
      </w:pPr>
      <w:r>
        <w:rPr>
          <w:b/>
        </w:rPr>
        <w:t xml:space="preserve">Numéro de référence: </w:t>
      </w:r>
      <w:r>
        <w:t>2023/2087 (INI) / A9-0358/2023 / P9_TA(2023)0428</w:t>
      </w:r>
    </w:p>
    <w:p w14:paraId="29804ECD" w14:textId="1E42BDA2" w:rsidR="00696F22" w:rsidRPr="00C67738" w:rsidRDefault="00696F22" w:rsidP="00760F94">
      <w:pPr>
        <w:pStyle w:val="ListParagraph"/>
        <w:numPr>
          <w:ilvl w:val="0"/>
          <w:numId w:val="38"/>
        </w:numPr>
        <w:spacing w:after="240"/>
        <w:ind w:left="567" w:hanging="567"/>
        <w:contextualSpacing w:val="0"/>
        <w:rPr>
          <w:szCs w:val="24"/>
        </w:rPr>
      </w:pPr>
      <w:r>
        <w:rPr>
          <w:b/>
        </w:rPr>
        <w:t>Date d'adoption de la résolution:</w:t>
      </w:r>
      <w:r>
        <w:t xml:space="preserve"> 22 novembre 2023</w:t>
      </w:r>
    </w:p>
    <w:p w14:paraId="3A5BC8D8" w14:textId="7DDE4389" w:rsidR="00696F22" w:rsidRPr="00C67738" w:rsidRDefault="00696F22" w:rsidP="00760F94">
      <w:pPr>
        <w:pStyle w:val="ListParagraph"/>
        <w:numPr>
          <w:ilvl w:val="0"/>
          <w:numId w:val="38"/>
        </w:numPr>
        <w:spacing w:after="240"/>
        <w:ind w:left="567" w:hanging="567"/>
        <w:contextualSpacing w:val="0"/>
        <w:rPr>
          <w:szCs w:val="24"/>
        </w:rPr>
      </w:pPr>
      <w:r>
        <w:rPr>
          <w:b/>
        </w:rPr>
        <w:t xml:space="preserve">Commission parlementaire compétente: </w:t>
      </w:r>
      <w:r>
        <w:t>commission des libertés civiles, de la justice et des affaires intérieures (LIBE)</w:t>
      </w:r>
    </w:p>
    <w:p w14:paraId="0A869C2B" w14:textId="4D265A45" w:rsidR="00B14608" w:rsidRPr="00C67738" w:rsidRDefault="00696F22" w:rsidP="00760F94">
      <w:pPr>
        <w:pStyle w:val="ListParagraph"/>
        <w:widowControl w:val="0"/>
        <w:numPr>
          <w:ilvl w:val="0"/>
          <w:numId w:val="38"/>
        </w:numPr>
        <w:spacing w:after="240"/>
        <w:ind w:left="567" w:hanging="567"/>
        <w:contextualSpacing w:val="0"/>
        <w:rPr>
          <w:b/>
          <w:szCs w:val="24"/>
        </w:rPr>
      </w:pPr>
      <w:r>
        <w:rPr>
          <w:b/>
        </w:rPr>
        <w:t xml:space="preserve">Analyse/évaluation succincte de la résolution et des demandes qu’elle contient </w:t>
      </w:r>
    </w:p>
    <w:p w14:paraId="0BA6DE4F" w14:textId="7C107D63" w:rsidR="00C67738" w:rsidRDefault="00C67738" w:rsidP="00C67738">
      <w:pPr>
        <w:pStyle w:val="paragraph"/>
        <w:spacing w:before="0" w:beforeAutospacing="0" w:after="120" w:afterAutospacing="0"/>
        <w:jc w:val="both"/>
        <w:textAlignment w:val="baseline"/>
        <w:rPr>
          <w:rStyle w:val="normaltextrun"/>
          <w:color w:val="000000"/>
          <w:shd w:val="clear" w:color="auto" w:fill="FFFFFF"/>
        </w:rPr>
      </w:pPr>
      <w:r>
        <w:rPr>
          <w:rStyle w:val="normaltextrun"/>
          <w:color w:val="000000"/>
          <w:shd w:val="clear" w:color="auto" w:fill="FFFFFF"/>
        </w:rPr>
        <w:t>L’</w:t>
      </w:r>
      <w:r>
        <w:t xml:space="preserve">Agence européenne de garde-frontières et de garde-côtes (ci-après «l’Agence» ou «Frontex») </w:t>
      </w:r>
      <w:r>
        <w:rPr>
          <w:rStyle w:val="normaltextrun"/>
          <w:color w:val="000000"/>
          <w:shd w:val="clear" w:color="auto" w:fill="FFFFFF"/>
        </w:rPr>
        <w:t>a pour mission de coopérer avec les pays tiers en ce qui concerne les domaines relevant du règlement relatif au corps européen de garde-frontières et de garde-côtes (ci-après le «règlement»)</w:t>
      </w:r>
      <w:r w:rsidRPr="00C67738">
        <w:rPr>
          <w:rStyle w:val="FootnoteReference"/>
          <w:color w:val="000000"/>
          <w:shd w:val="clear" w:color="auto" w:fill="FFFFFF"/>
        </w:rPr>
        <w:footnoteReference w:id="1"/>
      </w:r>
      <w:r>
        <w:rPr>
          <w:rStyle w:val="normaltextrun"/>
          <w:color w:val="000000"/>
          <w:shd w:val="clear" w:color="auto" w:fill="FFFFFF"/>
        </w:rPr>
        <w:t>, «y compris par le déploiement opérationnel éventuel d’équipes affectées à la gestion des frontières»</w:t>
      </w:r>
      <w:r w:rsidRPr="00C67738">
        <w:rPr>
          <w:rStyle w:val="FootnoteReference"/>
          <w:color w:val="000000"/>
          <w:shd w:val="clear" w:color="auto" w:fill="FFFFFF"/>
        </w:rPr>
        <w:footnoteReference w:id="2"/>
      </w:r>
      <w:r>
        <w:rPr>
          <w:rStyle w:val="normaltextrun"/>
          <w:color w:val="000000"/>
          <w:shd w:val="clear" w:color="auto" w:fill="FFFFFF"/>
        </w:rPr>
        <w:t xml:space="preserve"> dans ces pays tiers. Cette coopération devrait «[se concentrer] plus particulièrement [sur] les pays tiers voisins et les [...] pays d’origine ou de transit pour l’immigration illégale»</w:t>
      </w:r>
      <w:r w:rsidRPr="00C67738">
        <w:rPr>
          <w:rStyle w:val="FootnoteReference"/>
          <w:color w:val="000000"/>
          <w:shd w:val="clear" w:color="auto" w:fill="FFFFFF"/>
        </w:rPr>
        <w:footnoteReference w:id="3"/>
      </w:r>
      <w:r>
        <w:rPr>
          <w:rStyle w:val="normaltextrun"/>
          <w:color w:val="000000"/>
          <w:shd w:val="clear" w:color="auto" w:fill="FFFFFF"/>
        </w:rPr>
        <w:t>. Lorsque les circonstances requièrent le déploiement d’équipes affectées à la gestion des frontières issues du contingent permanent du corps européen de garde-frontières et de garde-côtes (ci-après dénommé «contingent permanent») dans un pays tiers où les membres des équipes exerceront des pouvoirs d’exécution, un accord sur le statut, fondé sur le modèle établi par la Commission, doit être conclu par l’Union avec le pays tiers concerné</w:t>
      </w:r>
      <w:r w:rsidRPr="00C67738">
        <w:rPr>
          <w:rStyle w:val="FootnoteReference"/>
          <w:color w:val="000000"/>
          <w:shd w:val="clear" w:color="auto" w:fill="FFFFFF"/>
        </w:rPr>
        <w:footnoteReference w:id="4"/>
      </w:r>
      <w:r>
        <w:rPr>
          <w:rStyle w:val="normaltextrun"/>
          <w:color w:val="000000"/>
          <w:shd w:val="clear" w:color="auto" w:fill="FFFFFF"/>
        </w:rPr>
        <w:t>.</w:t>
      </w:r>
    </w:p>
    <w:p w14:paraId="11531355" w14:textId="1FA7335E" w:rsidR="00C67738" w:rsidRDefault="00C67738" w:rsidP="00C67738">
      <w:pPr>
        <w:pStyle w:val="paragraph"/>
        <w:spacing w:before="0" w:beforeAutospacing="0" w:after="120" w:afterAutospacing="0"/>
        <w:jc w:val="both"/>
        <w:textAlignment w:val="baseline"/>
        <w:rPr>
          <w:rStyle w:val="normaltextrun"/>
        </w:rPr>
      </w:pPr>
      <w:r>
        <w:rPr>
          <w:rStyle w:val="normaltextrun"/>
          <w:color w:val="000000"/>
          <w:shd w:val="clear" w:color="auto" w:fill="FFFFFF"/>
        </w:rPr>
        <w:t>Le 4 juillet 2022, le Conseil a autorisé la Commission à négocier un tel accord sur le statut avec la République islamique de Mauritanie (ci-après dénommée «Mauritanie»)</w:t>
      </w:r>
      <w:r w:rsidR="00260CA7">
        <w:rPr>
          <w:rStyle w:val="FootnoteReference"/>
          <w:color w:val="000000"/>
          <w:shd w:val="clear" w:color="auto" w:fill="FFFFFF"/>
        </w:rPr>
        <w:footnoteReference w:id="5"/>
      </w:r>
      <w:r>
        <w:rPr>
          <w:rStyle w:val="normaltextrun"/>
          <w:color w:val="000000"/>
          <w:shd w:val="clear" w:color="auto" w:fill="FFFFFF"/>
        </w:rPr>
        <w:t>.</w:t>
      </w:r>
      <w:r>
        <w:t xml:space="preserve"> </w:t>
      </w:r>
      <w:r>
        <w:rPr>
          <w:rStyle w:val="normaltextrun"/>
          <w:color w:val="000000"/>
          <w:shd w:val="clear" w:color="auto" w:fill="FFFFFF"/>
        </w:rPr>
        <w:t>La Mauritanie se trouve à la croisée du Sahel et de l’Afrique subsaharienne. Elle partage sa frontière terrestre de 5 000 kilomètres avec le Maroc, l’Algérie, le Mali et le Sénégal et a longtemps servi de pays de transit pour les migrants subsahariens qui se rendent en Europe.</w:t>
      </w:r>
      <w:r>
        <w:rPr>
          <w:rStyle w:val="normaltextrun"/>
        </w:rPr>
        <w:t xml:space="preserve"> En raison de la situation géographique de la Mauritanie, les autorités de gestion des frontières du pays sont confrontées à un double défi: contrôler une longue frontière terrestre avec des </w:t>
      </w:r>
      <w:r>
        <w:rPr>
          <w:rStyle w:val="normaltextrun"/>
        </w:rPr>
        <w:lastRenderedPageBreak/>
        <w:t>voisins politiquement instables et accueillir un afflux constant</w:t>
      </w:r>
      <w:r w:rsidR="00A01E96">
        <w:rPr>
          <w:rStyle w:val="FootnoteReference"/>
        </w:rPr>
        <w:footnoteReference w:id="6"/>
      </w:r>
      <w:r>
        <w:rPr>
          <w:rStyle w:val="normaltextrun"/>
        </w:rPr>
        <w:t xml:space="preserve"> de réfugiés et de migrants cherchant à utiliser les ports du pays comme point de départ pour la dernière partie de leur voyage vers l’Union européenne.</w:t>
      </w:r>
    </w:p>
    <w:p w14:paraId="1B55A604" w14:textId="5E6A479A" w:rsidR="00B14608" w:rsidRPr="00A01E96" w:rsidRDefault="006704E7" w:rsidP="00760F94">
      <w:pPr>
        <w:pStyle w:val="paragraph"/>
        <w:spacing w:before="0" w:beforeAutospacing="0" w:after="240" w:afterAutospacing="0"/>
        <w:jc w:val="both"/>
        <w:textAlignment w:val="baseline"/>
      </w:pPr>
      <w:r>
        <w:t>La résolution adoptée par le Parlement européen concernant les négociations relatives à un accord sur le statut avec la Mauritanie est adressée à la Commission et à Frontex et comprend 27 mesures à adopter par la Commission et Frontex (respectivement 13 et 14 mesures) «si les négociations en vue d’un accord sur le statut se poursuivaient». La Commission a consulté Frontex sur les mesures qui concernent celle-ci. Les réponses de l’Agence sur ces mesures sont présentées ci-dessous.</w:t>
      </w:r>
    </w:p>
    <w:p w14:paraId="77C656D2" w14:textId="405EF089" w:rsidR="00696F22" w:rsidRDefault="00B14608" w:rsidP="00760F94">
      <w:pPr>
        <w:pStyle w:val="ListParagraph"/>
        <w:widowControl w:val="0"/>
        <w:numPr>
          <w:ilvl w:val="0"/>
          <w:numId w:val="38"/>
        </w:numPr>
        <w:spacing w:after="120"/>
        <w:rPr>
          <w:b/>
          <w:szCs w:val="24"/>
        </w:rPr>
      </w:pPr>
      <w:r>
        <w:rPr>
          <w:b/>
        </w:rPr>
        <w:t>Réponse aux demandes et aperçu des mesures que la Commission a prises ou envisage de prendre</w:t>
      </w:r>
    </w:p>
    <w:p w14:paraId="54076544" w14:textId="1587A458" w:rsidR="00E62709" w:rsidRPr="0057725B" w:rsidRDefault="008B490A" w:rsidP="00E67F06">
      <w:pPr>
        <w:pStyle w:val="paragraph"/>
        <w:spacing w:before="0" w:beforeAutospacing="0" w:after="120" w:afterAutospacing="0"/>
        <w:jc w:val="both"/>
        <w:textAlignment w:val="baseline"/>
        <w:rPr>
          <w:shd w:val="clear" w:color="auto" w:fill="FFFFFF"/>
        </w:rPr>
      </w:pPr>
      <w:r>
        <w:rPr>
          <w:shd w:val="clear" w:color="auto" w:fill="FFFFFF"/>
        </w:rPr>
        <w:t xml:space="preserve">Toutes les activités et opérations de Frontex doivent respecter pleinement le droit international et de l’Union applicable ainsi que le droit du pays hôte. En tant que tel, le personnel déployé par l’Agence est tenu d’agir dans ce cadre juridique et dans le plein respect des obligations en matière de droits fondamentaux qui y sont établies. </w:t>
      </w:r>
      <w:r>
        <w:t>Conformément au modèle d’accord sur le statut, si un pays tiers émet des instructions incompatibles avec les obligations légales applicables, il incombe à l’officier de coordination désigné par l’Agence de le communiquer à l’autorité du pays tiers et au directeur exécutif de l’Agence.</w:t>
      </w:r>
      <w:r>
        <w:rPr>
          <w:shd w:val="clear" w:color="auto" w:fill="FFFFFF"/>
        </w:rPr>
        <w:t xml:space="preserve"> Il incombe au directeur exécutif d’apporter une réponse appropriée, y compris, le cas échéant, de suspendre ou de mettre fin à l’activité opérationnelle [</w:t>
      </w:r>
      <w:r>
        <w:rPr>
          <w:b/>
          <w:bCs/>
          <w:shd w:val="clear" w:color="auto" w:fill="FFFFFF"/>
        </w:rPr>
        <w:t>paragraphe 6.1, point a)</w:t>
      </w:r>
      <w:r>
        <w:rPr>
          <w:shd w:val="clear" w:color="auto" w:fill="FFFFFF"/>
        </w:rPr>
        <w:t>].</w:t>
      </w:r>
    </w:p>
    <w:p w14:paraId="56ED1A6F" w14:textId="4D993C67" w:rsidR="008B490A" w:rsidRPr="0057725B" w:rsidRDefault="008B490A" w:rsidP="00E67F06">
      <w:pPr>
        <w:pStyle w:val="paragraph"/>
        <w:spacing w:before="0" w:beforeAutospacing="0" w:after="120" w:afterAutospacing="0"/>
        <w:jc w:val="both"/>
        <w:textAlignment w:val="baseline"/>
        <w:rPr>
          <w:shd w:val="clear" w:color="auto" w:fill="FFFFFF"/>
        </w:rPr>
      </w:pPr>
      <w:r>
        <w:rPr>
          <w:shd w:val="clear" w:color="auto" w:fill="FFFFFF"/>
        </w:rPr>
        <w:t>La Commission prend note de la position du Parlement européen concernant une application provisoire de l’accord [</w:t>
      </w:r>
      <w:r>
        <w:rPr>
          <w:b/>
          <w:bCs/>
          <w:shd w:val="clear" w:color="auto" w:fill="FFFFFF"/>
        </w:rPr>
        <w:t>paragraphe 6.1, point b)</w:t>
      </w:r>
      <w:r>
        <w:rPr>
          <w:shd w:val="clear" w:color="auto" w:fill="FFFFFF"/>
        </w:rPr>
        <w:t>].</w:t>
      </w:r>
    </w:p>
    <w:p w14:paraId="53B4D353" w14:textId="6C42055F" w:rsidR="008B490A" w:rsidRPr="0057725B" w:rsidRDefault="00C937ED" w:rsidP="00E67F06">
      <w:pPr>
        <w:pStyle w:val="paragraph"/>
        <w:spacing w:before="0" w:beforeAutospacing="0" w:after="120" w:afterAutospacing="0"/>
        <w:jc w:val="both"/>
        <w:textAlignment w:val="baseline"/>
        <w:rPr>
          <w:shd w:val="clear" w:color="auto" w:fill="FFFFFF"/>
        </w:rPr>
      </w:pPr>
      <w:r>
        <w:rPr>
          <w:shd w:val="clear" w:color="auto" w:fill="FFFFFF"/>
        </w:rPr>
        <w:t>La Commission tient à préciser que les immunités accordées au titre d’un accord sur le statut ont une incidence sur le statut juridique du personnel déployé par Frontex uniquement vis</w:t>
      </w:r>
      <w:r>
        <w:rPr>
          <w:shd w:val="clear" w:color="auto" w:fill="FFFFFF"/>
        </w:rPr>
        <w:noBreakHyphen/>
        <w:t>à</w:t>
      </w:r>
      <w:r>
        <w:rPr>
          <w:shd w:val="clear" w:color="auto" w:fill="FFFFFF"/>
        </w:rPr>
        <w:noBreakHyphen/>
        <w:t>vis du pays tiers hôte et qu’elles ne limitent en rien leurs responsabilités juridiques en dehors de ce pays. Cela étant dit, la Commission n’est pas compétente pour enjoindre aux autorités juridiques des États membres d’enquêter sur des allégations de faute à l’encontre de leurs ressortissants — employés d’agences de l’Union ou autres. En outre, la Commission estime que la décision de maintenir ou de lever l’immunité, ainsi que l’adoption d’éventuelles lignes directrices, le cas échéant, devraient rester de la compétence exclusive du directeur exécutif. Le rôle de l’officier aux droits fondamentaux est défini dans le règlement, notamment à son article 109 [</w:t>
      </w:r>
      <w:r>
        <w:rPr>
          <w:b/>
          <w:bCs/>
          <w:shd w:val="clear" w:color="auto" w:fill="FFFFFF"/>
        </w:rPr>
        <w:t>paragraphe 6.1, point c)</w:t>
      </w:r>
      <w:r>
        <w:rPr>
          <w:shd w:val="clear" w:color="auto" w:fill="FFFFFF"/>
        </w:rPr>
        <w:t>].</w:t>
      </w:r>
    </w:p>
    <w:p w14:paraId="36EEDCE7" w14:textId="4424777F" w:rsidR="00570327" w:rsidRPr="0057725B" w:rsidRDefault="00570327" w:rsidP="00E67F06">
      <w:pPr>
        <w:pStyle w:val="paragraph"/>
        <w:spacing w:before="0" w:beforeAutospacing="0" w:after="120" w:afterAutospacing="0"/>
        <w:jc w:val="both"/>
        <w:textAlignment w:val="baseline"/>
        <w:rPr>
          <w:shd w:val="clear" w:color="auto" w:fill="FFFFFF"/>
        </w:rPr>
      </w:pPr>
      <w:r>
        <w:t xml:space="preserve">La Commission a l’assurance que le mécanisme actuel de traitement des plaintes de Frontex (disponible à l’adresse </w:t>
      </w:r>
      <w:hyperlink r:id="rId8" w:history="1">
        <w:r>
          <w:rPr>
            <w:rStyle w:val="Hyperlink"/>
            <w:shd w:val="clear" w:color="auto" w:fill="FFFFFF"/>
          </w:rPr>
          <w:t>https://www.frontex.europa.eu/fundamental-rights/complaints-mechanism/</w:t>
        </w:r>
      </w:hyperlink>
      <w:r>
        <w:t>) est accessible aux personnes de l’Union et de pays tiers et qu'il est géré par l’office des droits fondamentaux de l’Agence [</w:t>
      </w:r>
      <w:r>
        <w:rPr>
          <w:b/>
          <w:bCs/>
        </w:rPr>
        <w:t>paragraphe 6.1, point d)</w:t>
      </w:r>
      <w:r>
        <w:t>].</w:t>
      </w:r>
    </w:p>
    <w:p w14:paraId="75BB6826" w14:textId="63526489" w:rsidR="00570327" w:rsidRPr="0057725B" w:rsidRDefault="00570327" w:rsidP="00E67F06">
      <w:pPr>
        <w:pStyle w:val="paragraph"/>
        <w:spacing w:before="0" w:beforeAutospacing="0" w:after="120" w:afterAutospacing="0"/>
        <w:jc w:val="both"/>
        <w:textAlignment w:val="baseline"/>
        <w:rPr>
          <w:shd w:val="clear" w:color="auto" w:fill="FFFFFF"/>
        </w:rPr>
      </w:pPr>
      <w:r>
        <w:rPr>
          <w:shd w:val="clear" w:color="auto" w:fill="FFFFFF"/>
        </w:rPr>
        <w:t>Au cours de ses négociations, la Commission s’efforce toujours d’adhérer le plus étroitement possible aux dispositions antifraude du modèle d’accord sur le statut. La Commission note que toutes les activités et opérations de Frontex doivent respecter pleinement, entre autres, le droit de l’Union applicable, y compris le cadre de l’Union en matière de lutte contre la corruption [</w:t>
      </w:r>
      <w:r>
        <w:rPr>
          <w:b/>
          <w:bCs/>
          <w:shd w:val="clear" w:color="auto" w:fill="FFFFFF"/>
        </w:rPr>
        <w:t>paragraphe 6.1, point e)</w:t>
      </w:r>
      <w:r>
        <w:rPr>
          <w:shd w:val="clear" w:color="auto" w:fill="FFFFFF"/>
        </w:rPr>
        <w:t>].</w:t>
      </w:r>
    </w:p>
    <w:p w14:paraId="216D1211" w14:textId="43893614" w:rsidR="00570327" w:rsidRPr="0057725B" w:rsidRDefault="00570327" w:rsidP="00E67F06">
      <w:pPr>
        <w:pStyle w:val="paragraph"/>
        <w:spacing w:before="0" w:beforeAutospacing="0" w:after="120" w:afterAutospacing="0"/>
        <w:jc w:val="both"/>
        <w:textAlignment w:val="baseline"/>
        <w:rPr>
          <w:shd w:val="clear" w:color="auto" w:fill="FFFFFF"/>
        </w:rPr>
      </w:pPr>
      <w:bookmarkStart w:id="0" w:name="_Hlk152679414"/>
      <w:r>
        <w:rPr>
          <w:shd w:val="clear" w:color="auto" w:fill="FFFFFF"/>
        </w:rPr>
        <w:lastRenderedPageBreak/>
        <w:t>La Commission reste fermement favorable à la finalisation d’un arrangement de travail entre Frontex et les autorités mauritaniennes compétentes, qui permettra à ces autorités d’accéder aux vastes ressources et à l’expertise de Frontex pour développer leurs propres capacités. Conformément au règlement, tout accord sur le statut doit contenir des dispositions garantissant que tous les aspects du déploiement de Frontex dans le pays tiers concerné respectent pleinement les obligations légales de l’Agence, notamment en ce qui concerne les droits fondamentaux et les obligations en matière de protection internationale. La Commission note également que, par l’intermédiaire du Fonds «Asile, migration et intégration» (FAMI), elle soutient le programme de protection du développement régional (PPDR, volet «Protection»), qui comprend le projet «Améliorer le mécanisme de protection des réfugiés et des demandeurs d’asile par l’enregistrement et la détermination du statut des réfugiés» en Mauritanie, mis en œuvre par le Haut-Commissariat des Nations unies pour les réfugiés (HCR) [</w:t>
      </w:r>
      <w:r>
        <w:rPr>
          <w:b/>
          <w:bCs/>
          <w:shd w:val="clear" w:color="auto" w:fill="FFFFFF"/>
        </w:rPr>
        <w:t>paragraphe 6.1, point f)</w:t>
      </w:r>
      <w:r>
        <w:rPr>
          <w:shd w:val="clear" w:color="auto" w:fill="FFFFFF"/>
        </w:rPr>
        <w:t>].</w:t>
      </w:r>
    </w:p>
    <w:bookmarkEnd w:id="0"/>
    <w:p w14:paraId="38D779E6" w14:textId="7D07D598" w:rsidR="00570327" w:rsidRDefault="005D7E58" w:rsidP="00E67F06">
      <w:pPr>
        <w:pStyle w:val="paragraph"/>
        <w:spacing w:before="0" w:beforeAutospacing="0" w:after="120" w:afterAutospacing="0"/>
        <w:jc w:val="both"/>
        <w:textAlignment w:val="baseline"/>
        <w:rPr>
          <w:shd w:val="clear" w:color="auto" w:fill="FFFFFF"/>
        </w:rPr>
      </w:pPr>
      <w:r>
        <w:t>Au cours de ses négociations avec la Mauritanie, la Commission s’efforcera d’adhérer le plus strictement possible au modèle d’accord sur le statut qui, conformément au règlement, exige que tous les participants à une activité ou à une opération de Frontex respectent les obligations en matière de droits fondamentaux de l’Agence et que Frontex et les autorités mauritaniennes disposent de mécanismes de traitement des plaintes pour traiter les allégations de violation des droits fondamentaux commises par leurs personnels dans le cadre d’une activité opérationnelle.</w:t>
      </w:r>
      <w:r>
        <w:rPr>
          <w:shd w:val="clear" w:color="auto" w:fill="FFFFFF"/>
        </w:rPr>
        <w:t xml:space="preserve"> La Commission note que le plan opérationnel de chaque opération conjointe lancée dans le cadre d’un accord sur le statut exige expressément que Frontex veille à ce que tous les participants à l’activité concernée aient reçu, avant leur participation à ladite activité, une formation adéquate au droit de l’Union européenne et au droit international pertinents, y compris en ce qui concerne les droits fondamentaux et l’accès à la protection internationale. Cette formation doit également comprendre des orientations pour identifier les personnes en quête de protection et les aiguiller vers les procédures appropriées et des orientations pour répondre aux besoins particuliers des enfants, y compris les mineurs non accompagnés, les victimes de la traite des êtres humains, les personnes ayant besoin d’une assistance médicale urgente et les autres personnes particulièrement vulnérables, et, en cas de participation à des opérations en mer, un volet sur la recherche et le sauvetage, avant le déploiement initial dans les activités opérationnelles organisées par l’Agence [</w:t>
      </w:r>
      <w:r>
        <w:rPr>
          <w:b/>
          <w:bCs/>
          <w:shd w:val="clear" w:color="auto" w:fill="FFFFFF"/>
        </w:rPr>
        <w:t>paragraphe 6.1, point g)</w:t>
      </w:r>
      <w:r>
        <w:rPr>
          <w:shd w:val="clear" w:color="auto" w:fill="FFFFFF"/>
        </w:rPr>
        <w:t>].</w:t>
      </w:r>
    </w:p>
    <w:p w14:paraId="1AB8D8B4" w14:textId="42573C19" w:rsidR="005D7E58" w:rsidRDefault="005D7E58" w:rsidP="00E67F06">
      <w:pPr>
        <w:pStyle w:val="paragraph"/>
        <w:spacing w:before="0" w:beforeAutospacing="0" w:after="120" w:afterAutospacing="0"/>
        <w:jc w:val="both"/>
        <w:textAlignment w:val="baseline"/>
        <w:rPr>
          <w:shd w:val="clear" w:color="auto" w:fill="FFFFFF"/>
        </w:rPr>
      </w:pPr>
      <w:r>
        <w:rPr>
          <w:shd w:val="clear" w:color="auto" w:fill="FFFFFF"/>
        </w:rPr>
        <w:t>La Commission note que tant le modèle d’accord sur le statut que le règlement offrent des garanties étendues en matière de droits de l’homme [</w:t>
      </w:r>
      <w:r>
        <w:rPr>
          <w:b/>
          <w:bCs/>
          <w:shd w:val="clear" w:color="auto" w:fill="FFFFFF"/>
        </w:rPr>
        <w:t>paragraphe 6.1, point h)</w:t>
      </w:r>
      <w:r>
        <w:rPr>
          <w:shd w:val="clear" w:color="auto" w:fill="FFFFFF"/>
        </w:rPr>
        <w:t>].</w:t>
      </w:r>
    </w:p>
    <w:p w14:paraId="191BF0FF" w14:textId="20F991E1" w:rsidR="005D7E58" w:rsidRDefault="005D7E58" w:rsidP="00E67F06">
      <w:pPr>
        <w:pStyle w:val="paragraph"/>
        <w:spacing w:before="0" w:beforeAutospacing="0" w:after="120" w:afterAutospacing="0"/>
        <w:jc w:val="both"/>
        <w:textAlignment w:val="baseline"/>
        <w:rPr>
          <w:shd w:val="clear" w:color="auto" w:fill="FFFFFF"/>
        </w:rPr>
      </w:pPr>
      <w:r>
        <w:rPr>
          <w:shd w:val="clear" w:color="auto" w:fill="FFFFFF"/>
        </w:rPr>
        <w:t>La Commission respecte et continuera de respecter les exigences en matière de rapports établies dans le traité sur le fonctionnement de l’Union européenne, le droit dérivé de l’Union européenne et l’accord-cadre sur les relations entre le Parlement et la Commission [</w:t>
      </w:r>
      <w:r>
        <w:rPr>
          <w:b/>
          <w:bCs/>
          <w:shd w:val="clear" w:color="auto" w:fill="FFFFFF"/>
        </w:rPr>
        <w:t>paragraphe 6.1, point i)</w:t>
      </w:r>
      <w:r>
        <w:rPr>
          <w:shd w:val="clear" w:color="auto" w:fill="FFFFFF"/>
        </w:rPr>
        <w:t>].</w:t>
      </w:r>
    </w:p>
    <w:p w14:paraId="00526309" w14:textId="07B175F1" w:rsidR="005D7E58" w:rsidRDefault="00B67BB3" w:rsidP="00E67F06">
      <w:pPr>
        <w:pStyle w:val="paragraph"/>
        <w:spacing w:before="0" w:beforeAutospacing="0" w:after="120" w:afterAutospacing="0"/>
        <w:jc w:val="both"/>
        <w:textAlignment w:val="baseline"/>
        <w:rPr>
          <w:shd w:val="clear" w:color="auto" w:fill="FFFFFF"/>
        </w:rPr>
      </w:pPr>
      <w:r>
        <w:rPr>
          <w:shd w:val="clear" w:color="auto" w:fill="FFFFFF"/>
        </w:rPr>
        <w:t>Étant donné que l’Agence est déjà tenue, en vertu du règlement (en particulier son article 73, paragraphes 7 et 8), d’informer le Parlement européen de ses activités opérationnelles dans les pays tiers et d’évaluer régulièrement toute coopération avec les pays tiers, la Commission estime que la duplication de cet exercice ne constituerait pas une allocation efficace des ressources [</w:t>
      </w:r>
      <w:r>
        <w:rPr>
          <w:b/>
          <w:bCs/>
          <w:shd w:val="clear" w:color="auto" w:fill="FFFFFF"/>
        </w:rPr>
        <w:t>paragraphe 6.1, point j)</w:t>
      </w:r>
      <w:r>
        <w:rPr>
          <w:shd w:val="clear" w:color="auto" w:fill="FFFFFF"/>
        </w:rPr>
        <w:t>].</w:t>
      </w:r>
    </w:p>
    <w:p w14:paraId="535B7703" w14:textId="76813D96" w:rsidR="00B67BB3" w:rsidRDefault="00B67BB3" w:rsidP="00E67F06">
      <w:pPr>
        <w:pStyle w:val="paragraph"/>
        <w:spacing w:before="0" w:beforeAutospacing="0" w:after="120" w:afterAutospacing="0"/>
        <w:jc w:val="both"/>
        <w:textAlignment w:val="baseline"/>
        <w:rPr>
          <w:shd w:val="clear" w:color="auto" w:fill="FFFFFF"/>
        </w:rPr>
      </w:pPr>
      <w:r>
        <w:rPr>
          <w:shd w:val="clear" w:color="auto" w:fill="FFFFFF"/>
        </w:rPr>
        <w:t xml:space="preserve">La Commission soutient la conclusion d’un arrangement de travail entre Frontex et les autorités mauritaniennes compétentes, dans le cadre duquel des formations sur les droits fondamentaux pourront être organisées. Frontex et son office des droits fondamentaux s’efforcent de garantir que l’ensemble du programme de formation de l’Agence intègre des éléments sur le respect concret des droits fondamentaux sur le terrain. Par conséquent, toute formation de Frontex destinée aux autorités mauritaniennes fournirait aussi l’occasion de </w:t>
      </w:r>
      <w:r>
        <w:rPr>
          <w:shd w:val="clear" w:color="auto" w:fill="FFFFFF"/>
        </w:rPr>
        <w:lastRenderedPageBreak/>
        <w:t>dispenser une formation contextualisée en matière de gestion des frontières conforme aux droits de l’homme [</w:t>
      </w:r>
      <w:r>
        <w:rPr>
          <w:b/>
          <w:bCs/>
          <w:shd w:val="clear" w:color="auto" w:fill="FFFFFF"/>
        </w:rPr>
        <w:t>paragraphe 6.1, point k)</w:t>
      </w:r>
      <w:r>
        <w:rPr>
          <w:shd w:val="clear" w:color="auto" w:fill="FFFFFF"/>
        </w:rPr>
        <w:t>].</w:t>
      </w:r>
    </w:p>
    <w:p w14:paraId="4D1F40AC" w14:textId="5CEFDF51" w:rsidR="005907E4" w:rsidRDefault="005907E4" w:rsidP="00E67F06">
      <w:pPr>
        <w:pStyle w:val="paragraph"/>
        <w:spacing w:before="0" w:beforeAutospacing="0" w:after="120" w:afterAutospacing="0"/>
        <w:jc w:val="both"/>
        <w:textAlignment w:val="baseline"/>
        <w:rPr>
          <w:shd w:val="clear" w:color="auto" w:fill="FFFFFF"/>
        </w:rPr>
      </w:pPr>
      <w:r>
        <w:rPr>
          <w:shd w:val="clear" w:color="auto" w:fill="FFFFFF"/>
        </w:rPr>
        <w:t>Un accord sur le statut ne permet pas de fournir un soutien matériel aux autorités de pays tiers. Tout équipement déployé par Frontex dans un pays tiers dans le cadre d’une opération conjointe au titre d’un accord sur le statut est déployé uniquement pour la durée de cette opération et est ensuite récupéré par l’Agence [</w:t>
      </w:r>
      <w:r>
        <w:rPr>
          <w:b/>
          <w:bCs/>
          <w:shd w:val="clear" w:color="auto" w:fill="FFFFFF"/>
        </w:rPr>
        <w:t>paragraphe 6.1, point l)</w:t>
      </w:r>
      <w:r>
        <w:rPr>
          <w:shd w:val="clear" w:color="auto" w:fill="FFFFFF"/>
        </w:rPr>
        <w:t>].</w:t>
      </w:r>
    </w:p>
    <w:p w14:paraId="5AEB50A9" w14:textId="38103905" w:rsidR="001D7D21" w:rsidRDefault="009D55E4" w:rsidP="00E67F06">
      <w:pPr>
        <w:pStyle w:val="paragraph"/>
        <w:spacing w:before="0" w:beforeAutospacing="0" w:after="120" w:afterAutospacing="0"/>
        <w:jc w:val="both"/>
        <w:textAlignment w:val="baseline"/>
        <w:rPr>
          <w:shd w:val="clear" w:color="auto" w:fill="FFFFFF"/>
        </w:rPr>
      </w:pPr>
      <w:r>
        <w:rPr>
          <w:shd w:val="clear" w:color="auto" w:fill="FFFFFF"/>
        </w:rPr>
        <w:t>Le règlement contient une seule référence (considérant 88) à l’évaluation des droits fondamentaux par la Commission en lien avec les accords sur le statut. Une analyse d’impact des «domaines liés au déploiement potentiel de Frontex» ne peut être réalisée avant d’engager des négociations, car ce sont ces négociations qui déterminent la portée géographique et matérielle du déploiement de Frontex. La Commission fait observer que ces évaluations sont publiées sous la forme d’un document de travail des services de la Commission lié à sa proposition de décision du Conseil relative à la conclusion de l’accord sur le statut concerné et qu’elles sont donc accessibles au public [</w:t>
      </w:r>
      <w:r>
        <w:rPr>
          <w:b/>
          <w:bCs/>
          <w:shd w:val="clear" w:color="auto" w:fill="FFFFFF"/>
        </w:rPr>
        <w:t>paragraphe 6.1, point m)</w:t>
      </w:r>
      <w:r>
        <w:rPr>
          <w:shd w:val="clear" w:color="auto" w:fill="FFFFFF"/>
        </w:rPr>
        <w:t>].</w:t>
      </w:r>
    </w:p>
    <w:p w14:paraId="34835C99" w14:textId="2F0C68B3" w:rsidR="001D7D21" w:rsidRPr="001D7D21" w:rsidRDefault="001D7D21" w:rsidP="00E67F06">
      <w:pPr>
        <w:pStyle w:val="paragraph"/>
        <w:spacing w:before="0" w:beforeAutospacing="0" w:after="120" w:afterAutospacing="0"/>
        <w:jc w:val="both"/>
        <w:textAlignment w:val="baseline"/>
        <w:rPr>
          <w:shd w:val="clear" w:color="auto" w:fill="FFFFFF"/>
        </w:rPr>
      </w:pPr>
      <w:r>
        <w:rPr>
          <w:shd w:val="clear" w:color="auto" w:fill="FFFFFF"/>
        </w:rPr>
        <w:t>L’Agence confirme que son officier aux droits fondamentaux est activement consulté à chaque étape du processus avant le lancement de toute opération conjointe (tant pour les déploiements sur le territoire d’États membres que pour les déploiements sur le territoire de pays tiers), conformément aux exigences du règlement. Il s’agit notamment d’une consultation proactive qui a lieu avec l’officier aux droits fondamentaux lors des phases de planification et d’élaboration de chaque plan opérationnel, l’officier aux droits fondamentaux étant également invité à formuler des observations dans un document distinct afin d’examiner, entre autres, s’il y a lieu de lancer l’opération conjointe prévue et, dans l’affirmative, si des mesures d’atténuation doivent être mises en place par l’Agence et, le cas échéant, lesquelles [</w:t>
      </w:r>
      <w:r>
        <w:rPr>
          <w:b/>
          <w:bCs/>
          <w:shd w:val="clear" w:color="auto" w:fill="FFFFFF"/>
        </w:rPr>
        <w:t>paragraphe 6.2, point a)</w:t>
      </w:r>
      <w:r>
        <w:rPr>
          <w:shd w:val="clear" w:color="auto" w:fill="FFFFFF"/>
        </w:rPr>
        <w:t>].</w:t>
      </w:r>
    </w:p>
    <w:p w14:paraId="2E841FF1" w14:textId="006A7723" w:rsidR="001D7D21" w:rsidRPr="001D7D21" w:rsidRDefault="001D7D21" w:rsidP="00E67F06">
      <w:pPr>
        <w:pStyle w:val="paragraph"/>
        <w:spacing w:before="0" w:beforeAutospacing="0" w:after="120" w:afterAutospacing="0"/>
        <w:jc w:val="both"/>
        <w:textAlignment w:val="baseline"/>
        <w:rPr>
          <w:shd w:val="clear" w:color="auto" w:fill="FFFFFF"/>
        </w:rPr>
      </w:pPr>
      <w:r>
        <w:rPr>
          <w:shd w:val="clear" w:color="auto" w:fill="FFFFFF"/>
        </w:rPr>
        <w:t>L’Agence informe régulièrement le forum consultatif de Frontex de sa coopération avec les pays tiers, y compris en fournissant des informations actualisées spécifiques sur les opérations conjointes lancées dans des pays tiers qui mettent en œuvre des accords sur le statut. Conformément à la pratique habituelle, l’Agence est toujours disponible pour faciliter la réalisation de visites sur place sur les lieux d’opérations conjointes et fournir un soutien à ces visites en temps utile et de manière efficace, sous réserve de l’accord du pays tiers hôte, conformément à l’article 108, paragraphe 5, du règlement [</w:t>
      </w:r>
      <w:r>
        <w:rPr>
          <w:b/>
          <w:bCs/>
          <w:shd w:val="clear" w:color="auto" w:fill="FFFFFF"/>
        </w:rPr>
        <w:t>paragraphe 6.2, point b)</w:t>
      </w:r>
      <w:r>
        <w:rPr>
          <w:shd w:val="clear" w:color="auto" w:fill="FFFFFF"/>
        </w:rPr>
        <w:t>].</w:t>
      </w:r>
    </w:p>
    <w:p w14:paraId="6FA81D18" w14:textId="0AE7ED29" w:rsidR="001D7D21" w:rsidRPr="001D7D21" w:rsidRDefault="001D7D21" w:rsidP="00E67F06">
      <w:pPr>
        <w:pStyle w:val="paragraph"/>
        <w:spacing w:before="0" w:beforeAutospacing="0" w:after="120" w:afterAutospacing="0"/>
        <w:jc w:val="both"/>
        <w:textAlignment w:val="baseline"/>
        <w:rPr>
          <w:shd w:val="clear" w:color="auto" w:fill="FFFFFF"/>
        </w:rPr>
      </w:pPr>
      <w:r>
        <w:rPr>
          <w:shd w:val="clear" w:color="auto" w:fill="FFFFFF"/>
        </w:rPr>
        <w:t>L’Agence indique que tous les plans opérationnels mettant en œuvre des accords sur le statut contiennent un mécanisme solide et formel pour traiter les plaintes adressées à Frontex (dans la «Partie générale») et celles adressées au pays tiers concerné (dans les «Plans d’activité spécifique» particuliers). En outre, Frontex conclut un protocole d’accord sur un mécanisme de traitement des plaintes avec le ministère de l’intérieur de chaque pays tiers avec lequel un accord sur le statut est en vigueur et l’officier aux droits fondamentaux conclut un mémorandum similaire avec le bureau du Médiateur du pays concerné. Cela garantit que toutes les plaintes déposées sont examinées sur la base de leur bien-fondé et ne sont pas clôturées parce qu’elles ont été introduites dans le mécanisme de traitement des plaintes de la partie qui n’est pas concernée [</w:t>
      </w:r>
      <w:r>
        <w:rPr>
          <w:b/>
          <w:bCs/>
          <w:shd w:val="clear" w:color="auto" w:fill="FFFFFF"/>
        </w:rPr>
        <w:t>paragraphe 6.2, point c) i)</w:t>
      </w:r>
      <w:r>
        <w:rPr>
          <w:shd w:val="clear" w:color="auto" w:fill="FFFFFF"/>
        </w:rPr>
        <w:t>].</w:t>
      </w:r>
    </w:p>
    <w:p w14:paraId="5B0EEC50" w14:textId="648EC6C2" w:rsidR="001D7D21" w:rsidRPr="001D7D21" w:rsidRDefault="00D01639" w:rsidP="00E67F06">
      <w:pPr>
        <w:pStyle w:val="paragraph"/>
        <w:spacing w:before="0" w:beforeAutospacing="0" w:after="120" w:afterAutospacing="0"/>
        <w:jc w:val="both"/>
        <w:textAlignment w:val="baseline"/>
        <w:rPr>
          <w:shd w:val="clear" w:color="auto" w:fill="FFFFFF"/>
        </w:rPr>
      </w:pPr>
      <w:r>
        <w:rPr>
          <w:shd w:val="clear" w:color="auto" w:fill="FFFFFF"/>
        </w:rPr>
        <w:t xml:space="preserve">L’Agence note que, conformément à la souveraineté nationale, un pays tiers hôte doit accepter la portée et la zone opérationnelle de toute opération conjointe avant qu’elle puisse être lancée. </w:t>
      </w:r>
      <w:r>
        <w:t>Il en va de même pour octroyer à l’officier aux droits fondamentaux et aux contrôleurs des droits fondamentaux l’accès complet à la zone opérationnelle. Frontex s’engage à soutenir et à faciliter ces visites sur place, mais l’approbation du pays tiers hôte est requise avant que ces visites puissent avoir lieu.</w:t>
      </w:r>
      <w:r>
        <w:rPr>
          <w:shd w:val="clear" w:color="auto" w:fill="FFFFFF"/>
        </w:rPr>
        <w:t xml:space="preserve"> Si le pays tiers concerné refuse ce plein accès à la zone opérationnelle pour des raisons injustifiées, le directeur exécutif de Frontex se réserve le droit </w:t>
      </w:r>
      <w:r>
        <w:rPr>
          <w:shd w:val="clear" w:color="auto" w:fill="FFFFFF"/>
        </w:rPr>
        <w:lastRenderedPageBreak/>
        <w:t>de suspendre l’opération conjointe, d’y mettre un terme ou d’y renoncer à la suite d’une évaluation de l’office des droits fondamentaux, conformément à l’article 46 du règlement [</w:t>
      </w:r>
      <w:r>
        <w:rPr>
          <w:b/>
          <w:bCs/>
          <w:shd w:val="clear" w:color="auto" w:fill="FFFFFF"/>
        </w:rPr>
        <w:t>paragraphe 6.2, point c) ii)</w:t>
      </w:r>
      <w:r>
        <w:rPr>
          <w:shd w:val="clear" w:color="auto" w:fill="FFFFFF"/>
        </w:rPr>
        <w:t>].</w:t>
      </w:r>
    </w:p>
    <w:p w14:paraId="668CA5A2" w14:textId="08A0CF55" w:rsidR="001D7D21" w:rsidRPr="001D7D21" w:rsidRDefault="001D7D21" w:rsidP="00E67F06">
      <w:pPr>
        <w:pStyle w:val="paragraph"/>
        <w:spacing w:before="0" w:beforeAutospacing="0" w:after="120" w:afterAutospacing="0"/>
        <w:jc w:val="both"/>
        <w:textAlignment w:val="baseline"/>
        <w:rPr>
          <w:shd w:val="clear" w:color="auto" w:fill="FFFFFF"/>
        </w:rPr>
      </w:pPr>
      <w:r>
        <w:rPr>
          <w:shd w:val="clear" w:color="auto" w:fill="FFFFFF"/>
        </w:rPr>
        <w:t>Toutes les collectes et analyses de données à caractère personnel effectuées par Frontex sont conformes au régime juridique de l’Union européenne en matière de protection des données à caractère personnel et aux outils étendus dont l’Agence dispose pour garantir la protection et le respect des droits fondamentaux conformément au règlement. En outre, conformément au mandat de l’Agence, aucune donnée opérationnelle à caractère personnel n’est jamais transférée vers un pays tiers [</w:t>
      </w:r>
      <w:r>
        <w:rPr>
          <w:b/>
          <w:bCs/>
          <w:shd w:val="clear" w:color="auto" w:fill="FFFFFF"/>
        </w:rPr>
        <w:t>paragraphe 6.2, point c) iii)</w:t>
      </w:r>
      <w:r>
        <w:rPr>
          <w:shd w:val="clear" w:color="auto" w:fill="FFFFFF"/>
        </w:rPr>
        <w:t>].</w:t>
      </w:r>
    </w:p>
    <w:p w14:paraId="3CBB1942" w14:textId="5E00520A" w:rsidR="001D7D21" w:rsidRPr="001D7D21" w:rsidRDefault="001D7D21" w:rsidP="00E67F06">
      <w:pPr>
        <w:pStyle w:val="paragraph"/>
        <w:spacing w:before="0" w:beforeAutospacing="0" w:after="120" w:afterAutospacing="0"/>
        <w:jc w:val="both"/>
        <w:textAlignment w:val="baseline"/>
        <w:rPr>
          <w:shd w:val="clear" w:color="auto" w:fill="FFFFFF"/>
        </w:rPr>
      </w:pPr>
      <w:r>
        <w:rPr>
          <w:shd w:val="clear" w:color="auto" w:fill="FFFFFF"/>
        </w:rPr>
        <w:t>Le HCR figure actuellement sur la liste des participants à toutes les opérations conjointes lancées dans le cadre des accords sur le statut actuellement en vigueur (Albanie, Monténégro, Serbie, Moldavie et Macédoine du Nord). L’Agence garantit que cette pratique générale sera maintenue pour les futures opérations conjointes lancées dans des pays tiers, y compris en Mauritanie si un accord sur le statut est conclu avec l’Union européenne [</w:t>
      </w:r>
      <w:r>
        <w:rPr>
          <w:b/>
          <w:bCs/>
          <w:shd w:val="clear" w:color="auto" w:fill="FFFFFF"/>
        </w:rPr>
        <w:t>paragraphe 6.2, point c) iv)</w:t>
      </w:r>
      <w:r>
        <w:rPr>
          <w:shd w:val="clear" w:color="auto" w:fill="FFFFFF"/>
        </w:rPr>
        <w:t>].</w:t>
      </w:r>
    </w:p>
    <w:p w14:paraId="70C4D7E8" w14:textId="5E67195B" w:rsidR="001D7D21" w:rsidRPr="001D7D21" w:rsidRDefault="001D7D21" w:rsidP="00E67F06">
      <w:pPr>
        <w:pStyle w:val="paragraph"/>
        <w:spacing w:before="0" w:beforeAutospacing="0" w:after="120" w:afterAutospacing="0"/>
        <w:jc w:val="both"/>
        <w:textAlignment w:val="baseline"/>
        <w:rPr>
          <w:shd w:val="clear" w:color="auto" w:fill="FFFFFF"/>
        </w:rPr>
      </w:pPr>
      <w:r>
        <w:rPr>
          <w:shd w:val="clear" w:color="auto" w:fill="FFFFFF"/>
        </w:rPr>
        <w:t>La «Partie générale» de chaque plan opérationnel comprend des instructions générales sur la manière de garantir la protection des droits fondamentaux pendant l’activité opérationnelle concernée. Ces instructions générales exigent expressément que Frontex veille à ce que tous les participants à l’activité opérationnelle aient reçu, avant leur participation aux activités opérationnelles, une formation adéquate sur le droit de l’Union européenne et le droit international pertinents, y compris sur les droits fondamentaux et l’accès à la protection internationale. La formation doit également comprendre des orientations pour identifier les personnes en quête de protection et les aiguiller vers les procédures appropriées, des orientations pour répondre aux besoins particuliers des enfants, y compris les mineurs non accompagnés, les victimes de la traite des êtres humains, les personnes ayant besoin d’une assistance médicale urgente et les autres personnes particulièrement vulnérables, et, en cas de participation à des opérations en mer, un volet sur la recherche et le sauvetage, avant le déploiement initial dans les activités opérationnelles organisées par l’Agence [</w:t>
      </w:r>
      <w:r>
        <w:rPr>
          <w:b/>
          <w:bCs/>
          <w:shd w:val="clear" w:color="auto" w:fill="FFFFFF"/>
        </w:rPr>
        <w:t>paragraphe 6.2, point c) v)</w:t>
      </w:r>
      <w:r>
        <w:rPr>
          <w:shd w:val="clear" w:color="auto" w:fill="FFFFFF"/>
        </w:rPr>
        <w:t>].</w:t>
      </w:r>
    </w:p>
    <w:p w14:paraId="3D46AF36" w14:textId="4C187983" w:rsidR="001D7D21" w:rsidRPr="001D7D21" w:rsidRDefault="001D7D21" w:rsidP="00E67F06">
      <w:pPr>
        <w:pStyle w:val="paragraph"/>
        <w:spacing w:before="0" w:beforeAutospacing="0" w:after="120" w:afterAutospacing="0"/>
        <w:jc w:val="both"/>
        <w:textAlignment w:val="baseline"/>
        <w:rPr>
          <w:shd w:val="clear" w:color="auto" w:fill="FFFFFF"/>
        </w:rPr>
      </w:pPr>
      <w:r>
        <w:rPr>
          <w:shd w:val="clear" w:color="auto" w:fill="FFFFFF"/>
        </w:rPr>
        <w:t>Frontex peut confirmer qu’elle respecte pleinement ses règles relatives aux privilèges et immunités des membres de l’équipe conformément à l’accord sur le statut applicable, à savoir: 1) les règles relatives aux modalités de levée de l’immunité, 2) la manière de certifier qu’un acte d’un membre de l’équipe a été accompli dans l’exercice de ses fonctions, et 3) la manière de traiter de telles demandes émanant du pays tiers concerné. Frontex confirme également qu’elle s’engage à ce que le rôle important de l’officier aux droits fondamentaux soit et continue d’être inscrit dans les plans opérationnels conclus avec des pays tiers [</w:t>
      </w:r>
      <w:r>
        <w:rPr>
          <w:b/>
          <w:bCs/>
          <w:shd w:val="clear" w:color="auto" w:fill="FFFFFF"/>
        </w:rPr>
        <w:t>paragraphe 6.2, point d)</w:t>
      </w:r>
      <w:r>
        <w:rPr>
          <w:shd w:val="clear" w:color="auto" w:fill="FFFFFF"/>
        </w:rPr>
        <w:t>].</w:t>
      </w:r>
    </w:p>
    <w:p w14:paraId="565436CE" w14:textId="3B4D355E" w:rsidR="00B67BB3" w:rsidRDefault="001D7D21" w:rsidP="00E67F06">
      <w:pPr>
        <w:pStyle w:val="paragraph"/>
        <w:spacing w:before="0" w:beforeAutospacing="0" w:after="120" w:afterAutospacing="0"/>
        <w:jc w:val="both"/>
        <w:textAlignment w:val="baseline"/>
        <w:rPr>
          <w:shd w:val="clear" w:color="auto" w:fill="FFFFFF"/>
        </w:rPr>
      </w:pPr>
      <w:r>
        <w:rPr>
          <w:shd w:val="clear" w:color="auto" w:fill="FFFFFF"/>
        </w:rPr>
        <w:t>L’Agence dispose déjà d’un mécanisme de traitement des plaintes à cette fin, qui est géré par l’officier aux droits fondamentaux, lequel exerce ses fonctions et toute indépendance [</w:t>
      </w:r>
      <w:r>
        <w:rPr>
          <w:b/>
          <w:bCs/>
          <w:shd w:val="clear" w:color="auto" w:fill="FFFFFF"/>
        </w:rPr>
        <w:t>paragraphe 6.2, point e)</w:t>
      </w:r>
      <w:r>
        <w:rPr>
          <w:shd w:val="clear" w:color="auto" w:fill="FFFFFF"/>
        </w:rPr>
        <w:t>].</w:t>
      </w:r>
    </w:p>
    <w:p w14:paraId="25D0C718" w14:textId="5BD89F90" w:rsidR="005D4649" w:rsidRDefault="005D4649" w:rsidP="00E67F06">
      <w:pPr>
        <w:pStyle w:val="paragraph"/>
        <w:spacing w:before="0" w:beforeAutospacing="0" w:after="120" w:afterAutospacing="0"/>
        <w:jc w:val="both"/>
        <w:textAlignment w:val="baseline"/>
        <w:rPr>
          <w:shd w:val="clear" w:color="auto" w:fill="FFFFFF"/>
        </w:rPr>
      </w:pPr>
      <w:r>
        <w:rPr>
          <w:shd w:val="clear" w:color="auto" w:fill="FFFFFF"/>
        </w:rPr>
        <w:t>Conformément à sa pratique habituelle, Frontex s’engage à négocier un protocole d’accord sur un mécanisme de traitement des plaintes avec le ministère mauritanien de l’intérieur. L’officier aux droits fondamentaux s’emploierait également à conclure un mémorandum similaire avec le bureau du Médiateur mauritanien [</w:t>
      </w:r>
      <w:r>
        <w:rPr>
          <w:b/>
          <w:bCs/>
          <w:shd w:val="clear" w:color="auto" w:fill="FFFFFF"/>
        </w:rPr>
        <w:t>paragraphe 6.2, point f)</w:t>
      </w:r>
      <w:r>
        <w:rPr>
          <w:shd w:val="clear" w:color="auto" w:fill="FFFFFF"/>
        </w:rPr>
        <w:t>].</w:t>
      </w:r>
    </w:p>
    <w:p w14:paraId="3C852298" w14:textId="42A29704" w:rsidR="005D4649" w:rsidRPr="005D4649" w:rsidRDefault="003838C6" w:rsidP="00E67F06">
      <w:pPr>
        <w:pStyle w:val="paragraph"/>
        <w:spacing w:before="0" w:beforeAutospacing="0" w:after="120" w:afterAutospacing="0"/>
        <w:jc w:val="both"/>
        <w:textAlignment w:val="baseline"/>
        <w:rPr>
          <w:shd w:val="clear" w:color="auto" w:fill="FFFFFF"/>
        </w:rPr>
      </w:pPr>
      <w:r>
        <w:rPr>
          <w:shd w:val="clear" w:color="auto" w:fill="FFFFFF"/>
        </w:rPr>
        <w:t xml:space="preserve">Conformément aux principes de souveraineté nationale, il faudrait que la Mauritanie accepte le déploiement permanent, par l’officier aux droits fondamentaux, d’un contrôleur des droits fondamentaux pour surveiller les opérations dans le pays, étant donné que, pour assurer un contrôle efficace, l’accès à la zone opérationnelle serait nécessaire. En outre, c’est l’officier </w:t>
      </w:r>
      <w:r>
        <w:rPr>
          <w:shd w:val="clear" w:color="auto" w:fill="FFFFFF"/>
        </w:rPr>
        <w:lastRenderedPageBreak/>
        <w:t>aux droits fondamentaux qui propose le déploiement d’un contrôleur des droits fondamentaux et non l’Agence elle-même. Néanmoins, Frontex s’engage à continuer de soutenir activement et faciliter un tel contrôle. Si un pays tiers refuse le déploiement permanent d’un contrôleur des droits fondamentaux pour des motifs injustifiés, le directeur exécutif de Frontex se réserve le droit de suspendre l’opération conjointe concernée, d’y mettre un terme ou d’y renoncer à la suite d'une évaluation de l'officier aux droits fondamentaux, conformément à l’article 46 du règlement [</w:t>
      </w:r>
      <w:r>
        <w:rPr>
          <w:b/>
          <w:bCs/>
          <w:shd w:val="clear" w:color="auto" w:fill="FFFFFF"/>
        </w:rPr>
        <w:t>paragraphe 6.2, point g)</w:t>
      </w:r>
      <w:r>
        <w:rPr>
          <w:shd w:val="clear" w:color="auto" w:fill="FFFFFF"/>
        </w:rPr>
        <w:t>].</w:t>
      </w:r>
    </w:p>
    <w:p w14:paraId="5A8D047F" w14:textId="7E3356C8" w:rsidR="005D4649" w:rsidRPr="005D4649" w:rsidRDefault="004D7287" w:rsidP="00E67F06">
      <w:pPr>
        <w:pStyle w:val="paragraph"/>
        <w:spacing w:before="0" w:beforeAutospacing="0" w:after="120" w:afterAutospacing="0"/>
        <w:jc w:val="both"/>
        <w:textAlignment w:val="baseline"/>
        <w:rPr>
          <w:shd w:val="clear" w:color="auto" w:fill="FFFFFF"/>
        </w:rPr>
      </w:pPr>
      <w:r>
        <w:rPr>
          <w:shd w:val="clear" w:color="auto" w:fill="FFFFFF"/>
        </w:rPr>
        <w:t>La «Partie générale» de tous les plans opérationnels comprend des instructions générales sur la manière de garantir la protection des droits fondamentaux pendant l’activité opérationnelle. Ces instructions générales comprennent des instructions spécifiques applicables aux personnes ayant besoin d’une protection internationale (en tant que partie intégrante de la nécessité d’identifier les personnes ayant besoin d’une protection internationale ou d’une assistance médicale, les mineurs non accompagnés, les victimes de la traite des êtres humains et les autres personnes vulnérables et de les orienter vers les autorités nationales compétentes en vue de recevoir une assistance appropriée) [</w:t>
      </w:r>
      <w:r>
        <w:rPr>
          <w:b/>
          <w:bCs/>
          <w:shd w:val="clear" w:color="auto" w:fill="FFFFFF"/>
        </w:rPr>
        <w:t>paragraphe 6.2, point h)</w:t>
      </w:r>
      <w:r>
        <w:rPr>
          <w:shd w:val="clear" w:color="auto" w:fill="FFFFFF"/>
        </w:rPr>
        <w:t>].</w:t>
      </w:r>
    </w:p>
    <w:p w14:paraId="6EF26FD3" w14:textId="4F64733A" w:rsidR="005D4649" w:rsidRPr="005D4649" w:rsidRDefault="004D7287" w:rsidP="00E67F06">
      <w:pPr>
        <w:pStyle w:val="paragraph"/>
        <w:spacing w:before="0" w:beforeAutospacing="0" w:after="120" w:afterAutospacing="0"/>
        <w:jc w:val="both"/>
        <w:textAlignment w:val="baseline"/>
        <w:rPr>
          <w:shd w:val="clear" w:color="auto" w:fill="FFFFFF"/>
        </w:rPr>
      </w:pPr>
      <w:r>
        <w:rPr>
          <w:shd w:val="clear" w:color="auto" w:fill="FFFFFF"/>
        </w:rPr>
        <w:t>L’Agence informe régulièrement le forum consultatif de Frontex (qui se compose de nombreuses organisations de la société civile travaillant dans ce domaine) de sa coopération avec les pays tiers, y compris en fournissant des informations actualisées spécifiques sur les opérations conjointes lancées dans des pays tiers qui mettent en œuvre des accords sur le statut (en particulier au sujet de la mise en œuvre) [</w:t>
      </w:r>
      <w:r>
        <w:rPr>
          <w:b/>
          <w:bCs/>
          <w:shd w:val="clear" w:color="auto" w:fill="FFFFFF"/>
        </w:rPr>
        <w:t>paragraphe 6.2, point i)</w:t>
      </w:r>
      <w:r>
        <w:rPr>
          <w:shd w:val="clear" w:color="auto" w:fill="FFFFFF"/>
        </w:rPr>
        <w:t>].</w:t>
      </w:r>
    </w:p>
    <w:p w14:paraId="02BB9275" w14:textId="299F6495" w:rsidR="00570327" w:rsidRPr="006704E7" w:rsidRDefault="005D4649" w:rsidP="006704E7">
      <w:pPr>
        <w:pStyle w:val="paragraph"/>
        <w:spacing w:before="0" w:beforeAutospacing="0" w:after="120" w:afterAutospacing="0"/>
        <w:jc w:val="both"/>
        <w:textAlignment w:val="baseline"/>
        <w:rPr>
          <w:shd w:val="clear" w:color="auto" w:fill="FFFFFF"/>
        </w:rPr>
      </w:pPr>
      <w:r>
        <w:rPr>
          <w:shd w:val="clear" w:color="auto" w:fill="FFFFFF"/>
        </w:rPr>
        <w:t>Frontex effectue déjà des évaluations périodiques de ses activités opérationnelles conformément aux obligations du règlement (notamment son article 47), l’officier aux droits fondamentaux étant consulté dans le cadre de ce processus. En ce qui concerne la diffusion de ces rapports d’évaluation, qui sont diffusés uniquement au sein du conseil d’administration, l’Agence pourrait envisager de les diffuser également, par exemple, au Parlement européen ou au Conseil, moyennant des restrictions strictes en matière de partage. Toutefois, étant donné que ces rapports portent la mention «sensible», les règles de l’Union européenne relatives au traitement des informations sensibles non classifiées empêchent Frontex de les rendre publics, à moins qu’ils n’aient été expurgés à un point tel que leur publication n’aurait plus d’intérêt aux fins de la présente position du Parlement européen [</w:t>
      </w:r>
      <w:r>
        <w:rPr>
          <w:b/>
          <w:bCs/>
          <w:shd w:val="clear" w:color="auto" w:fill="FFFFFF"/>
        </w:rPr>
        <w:t>paragraphe 6.2, point j)</w:t>
      </w:r>
      <w:r>
        <w:rPr>
          <w:shd w:val="clear" w:color="auto" w:fill="FFFFFF"/>
        </w:rPr>
        <w:t>].</w:t>
      </w:r>
    </w:p>
    <w:sectPr w:rsidR="00570327" w:rsidRPr="006704E7" w:rsidSect="00C85D7E">
      <w:headerReference w:type="even" r:id="rId9"/>
      <w:headerReference w:type="default" r:id="rId10"/>
      <w:footerReference w:type="even" r:id="rId11"/>
      <w:footerReference w:type="default" r:id="rId12"/>
      <w:headerReference w:type="first" r:id="rId13"/>
      <w:footerReference w:type="first" r:id="rId14"/>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67A07" w14:textId="77777777" w:rsidR="00627A79" w:rsidRDefault="00627A79">
      <w:pPr>
        <w:spacing w:line="240" w:lineRule="auto"/>
      </w:pPr>
      <w:r>
        <w:separator/>
      </w:r>
    </w:p>
  </w:endnote>
  <w:endnote w:type="continuationSeparator" w:id="0">
    <w:p w14:paraId="1C61B1D9" w14:textId="77777777" w:rsidR="00627A79" w:rsidRDefault="00627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rsidR="0024208F">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16FA" w14:textId="288088FB" w:rsidR="00EC7926" w:rsidRPr="00760F94" w:rsidRDefault="00EC7926" w:rsidP="00760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956C9" w14:textId="77777777" w:rsidR="00627A79" w:rsidRDefault="00627A79">
      <w:pPr>
        <w:spacing w:line="240" w:lineRule="auto"/>
      </w:pPr>
      <w:r>
        <w:separator/>
      </w:r>
    </w:p>
  </w:footnote>
  <w:footnote w:type="continuationSeparator" w:id="0">
    <w:p w14:paraId="28A2B445" w14:textId="77777777" w:rsidR="00627A79" w:rsidRDefault="00627A79">
      <w:pPr>
        <w:spacing w:line="240" w:lineRule="auto"/>
      </w:pPr>
      <w:r>
        <w:continuationSeparator/>
      </w:r>
    </w:p>
  </w:footnote>
  <w:footnote w:id="1">
    <w:p w14:paraId="3B195D0D" w14:textId="77777777" w:rsidR="00C67738" w:rsidRPr="0057725B" w:rsidRDefault="00C67738" w:rsidP="00760F94">
      <w:pPr>
        <w:pStyle w:val="FootnoteText"/>
        <w:spacing w:after="0"/>
      </w:pPr>
      <w:r>
        <w:rPr>
          <w:rStyle w:val="FootnoteReference"/>
          <w:lang w:val="en-IE"/>
        </w:rPr>
        <w:footnoteRef/>
      </w:r>
      <w:r>
        <w:tab/>
      </w:r>
      <w:r>
        <w:rPr>
          <w:rStyle w:val="normaltextrun"/>
          <w:color w:val="000000"/>
          <w:bdr w:val="none" w:sz="0" w:space="0" w:color="auto" w:frame="1"/>
        </w:rPr>
        <w:t>Règlement (UE) 2019/1896 du Parlement européen et du Conseil du 13 novembre 2019 relatif au corps européen de garde-frontières et de garde-côtes.</w:t>
      </w:r>
    </w:p>
  </w:footnote>
  <w:footnote w:id="2">
    <w:p w14:paraId="571385E7" w14:textId="77777777" w:rsidR="00C67738" w:rsidRPr="007C12A6" w:rsidRDefault="00C67738" w:rsidP="00760F94">
      <w:pPr>
        <w:pStyle w:val="FootnoteText"/>
        <w:spacing w:after="0"/>
      </w:pPr>
      <w:r>
        <w:rPr>
          <w:rStyle w:val="FootnoteReference"/>
          <w:lang w:val="en-IE"/>
        </w:rPr>
        <w:footnoteRef/>
      </w:r>
      <w:r>
        <w:tab/>
      </w:r>
      <w:r>
        <w:rPr>
          <w:rStyle w:val="normaltextrun"/>
          <w:color w:val="000000"/>
          <w:bdr w:val="none" w:sz="0" w:space="0" w:color="auto" w:frame="1"/>
        </w:rPr>
        <w:t>Article 10, paragraphe 1, point u), du règlement (UE) 2019/1896.</w:t>
      </w:r>
    </w:p>
  </w:footnote>
  <w:footnote w:id="3">
    <w:p w14:paraId="2304C204" w14:textId="77777777" w:rsidR="00C67738" w:rsidRPr="007C12A6" w:rsidRDefault="00C67738" w:rsidP="00760F94">
      <w:pPr>
        <w:pStyle w:val="FootnoteText"/>
        <w:spacing w:after="0"/>
      </w:pPr>
      <w:r>
        <w:rPr>
          <w:rStyle w:val="FootnoteReference"/>
          <w:lang w:val="en-IE"/>
        </w:rPr>
        <w:footnoteRef/>
      </w:r>
      <w:r>
        <w:tab/>
      </w:r>
      <w:r>
        <w:rPr>
          <w:rStyle w:val="normaltextrun"/>
          <w:color w:val="000000"/>
          <w:bdr w:val="none" w:sz="0" w:space="0" w:color="auto" w:frame="1"/>
        </w:rPr>
        <w:t>Article 3, paragraphe 1, point g), du règlement (UE) 2019/1896.</w:t>
      </w:r>
    </w:p>
  </w:footnote>
  <w:footnote w:id="4">
    <w:p w14:paraId="0893D7CB" w14:textId="77777777" w:rsidR="00C67738" w:rsidRPr="0057725B" w:rsidRDefault="00C67738" w:rsidP="00760F94">
      <w:pPr>
        <w:pStyle w:val="FootnoteText"/>
        <w:spacing w:after="0"/>
      </w:pPr>
      <w:r>
        <w:rPr>
          <w:rStyle w:val="FootnoteReference"/>
          <w:lang w:val="en-IE"/>
        </w:rPr>
        <w:footnoteRef/>
      </w:r>
      <w:r>
        <w:tab/>
      </w:r>
      <w:r>
        <w:rPr>
          <w:rStyle w:val="normaltextrun"/>
          <w:color w:val="000000"/>
          <w:bdr w:val="none" w:sz="0" w:space="0" w:color="auto" w:frame="1"/>
        </w:rPr>
        <w:t xml:space="preserve">Article 73, paragraphe 3, et article 76, paragraphe 1, du règlement (UE) 2019/1896. NB: </w:t>
      </w:r>
      <w:r>
        <w:rPr>
          <w:rStyle w:val="normaltextrun"/>
          <w:color w:val="000000"/>
        </w:rPr>
        <w:t>la Commission a adopté ce modèle le 21 décembre 2021 [</w:t>
      </w:r>
      <w:r>
        <w:rPr>
          <w:rStyle w:val="normaltextrun"/>
          <w:color w:val="000000"/>
          <w:shd w:val="clear" w:color="auto" w:fill="FFFFFF"/>
        </w:rPr>
        <w:t>Communication COM(2021) 829 - Modèle d’accord sur le statut visé dans le règlement (UE) 2019/1896 du Parlement européen et du Conseil du 13 novembre 2019 relatif au corps européen de garde-frontières et de garde-côtes et abrogeant les règlements (UE) nº 1052/2013 et (UE) 2016/1624].</w:t>
      </w:r>
    </w:p>
  </w:footnote>
  <w:footnote w:id="5">
    <w:p w14:paraId="68851C1B" w14:textId="0B0127C9" w:rsidR="00260CA7" w:rsidRPr="0057725B" w:rsidRDefault="00260CA7" w:rsidP="00760F94">
      <w:pPr>
        <w:pStyle w:val="FootnoteText"/>
        <w:spacing w:after="0"/>
        <w:rPr>
          <w:rFonts w:ascii="Roboto" w:hAnsi="Roboto"/>
          <w:b/>
          <w:bCs/>
          <w:color w:val="333333"/>
          <w:sz w:val="21"/>
          <w:szCs w:val="21"/>
        </w:rPr>
      </w:pPr>
      <w:r>
        <w:rPr>
          <w:rStyle w:val="FootnoteReference"/>
          <w:lang w:val="en-IE"/>
        </w:rPr>
        <w:footnoteRef/>
      </w:r>
      <w:r>
        <w:t xml:space="preserve"> </w:t>
      </w:r>
      <w:r>
        <w:tab/>
      </w:r>
      <w:r>
        <w:rPr>
          <w:rStyle w:val="normaltextrun"/>
          <w:color w:val="000000"/>
          <w:bdr w:val="none" w:sz="0" w:space="0" w:color="auto" w:frame="1"/>
        </w:rPr>
        <w:t>Décision (UE) 2022/1168 du Conseil du 4 juillet 2022 autorisant l’ouverture de négociations relatives à un accord sur le statut entre l’Union européenne et la République islamique de Mauritanie en ce qui concerne les activités opérationnelles menées par l’Agence européenne de garde-frontières et de garde-côtes en République islamique de Mauritanie.</w:t>
      </w:r>
    </w:p>
  </w:footnote>
  <w:footnote w:id="6">
    <w:p w14:paraId="348E3119" w14:textId="2C267084" w:rsidR="00A01E96" w:rsidRPr="00A01E96" w:rsidRDefault="00A01E96">
      <w:pPr>
        <w:pStyle w:val="FootnoteText"/>
      </w:pPr>
      <w:r>
        <w:rPr>
          <w:rStyle w:val="FootnoteReference"/>
        </w:rPr>
        <w:footnoteRef/>
      </w:r>
      <w:r>
        <w:tab/>
        <w:t>La Mauritanie a connu une augmentation rapide du nombre de personnes déplacées en provenance du Mali depuis septembre 2023. La DG Protection civile et opérations d’aide humanitaire européennes (ECHO) prévoit qu’environ 100 000 Maliens arriveront en Mauritanie au cours des six prochains mois.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114FA9"/>
    <w:multiLevelType w:val="hybridMultilevel"/>
    <w:tmpl w:val="93803462"/>
    <w:lvl w:ilvl="0" w:tplc="EF4A8722">
      <w:start w:val="1"/>
      <w:numFmt w:val="decimal"/>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3"/>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6"/>
  </w:num>
  <w:num w:numId="28" w16cid:durableId="812521163">
    <w:abstractNumId w:val="37"/>
  </w:num>
  <w:num w:numId="29" w16cid:durableId="316959018">
    <w:abstractNumId w:val="29"/>
  </w:num>
  <w:num w:numId="30" w16cid:durableId="355236493">
    <w:abstractNumId w:val="25"/>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4"/>
  </w:num>
  <w:num w:numId="37" w16cid:durableId="954294422">
    <w:abstractNumId w:val="9"/>
  </w:num>
  <w:num w:numId="38" w16cid:durableId="21232559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en-IE" w:vendorID="64" w:dllVersion="6" w:nlCheck="1" w:checkStyle="1"/>
  <w:activeWritingStyle w:appName="MSWord" w:lang="it-IT" w:vendorID="64" w:dllVersion="6" w:nlCheck="1" w:checkStyle="0"/>
  <w:activeWritingStyle w:appName="MSWord" w:lang="nl-NL" w:vendorID="64" w:dllVersion="6" w:nlCheck="1" w:checkStyle="0"/>
  <w:activeWritingStyle w:appName="MSWord" w:lang="fr-FR" w:vendorID="64" w:dllVersion="6"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935ED8"/>
    <w:rsid w:val="00000E45"/>
    <w:rsid w:val="00001C75"/>
    <w:rsid w:val="00002127"/>
    <w:rsid w:val="00002E5D"/>
    <w:rsid w:val="00003414"/>
    <w:rsid w:val="000067A5"/>
    <w:rsid w:val="000067BE"/>
    <w:rsid w:val="0000702D"/>
    <w:rsid w:val="000076B1"/>
    <w:rsid w:val="00011310"/>
    <w:rsid w:val="00011837"/>
    <w:rsid w:val="00014F9E"/>
    <w:rsid w:val="00015F97"/>
    <w:rsid w:val="00016503"/>
    <w:rsid w:val="00016D89"/>
    <w:rsid w:val="000179A8"/>
    <w:rsid w:val="00017EEB"/>
    <w:rsid w:val="00017F58"/>
    <w:rsid w:val="00020302"/>
    <w:rsid w:val="000212EF"/>
    <w:rsid w:val="000216B0"/>
    <w:rsid w:val="00021B5A"/>
    <w:rsid w:val="00023D02"/>
    <w:rsid w:val="00023E92"/>
    <w:rsid w:val="00025D11"/>
    <w:rsid w:val="0002612B"/>
    <w:rsid w:val="00026E22"/>
    <w:rsid w:val="00026EFD"/>
    <w:rsid w:val="00026F42"/>
    <w:rsid w:val="000272E3"/>
    <w:rsid w:val="00032279"/>
    <w:rsid w:val="00033358"/>
    <w:rsid w:val="00034338"/>
    <w:rsid w:val="0003642E"/>
    <w:rsid w:val="000371E3"/>
    <w:rsid w:val="000404B8"/>
    <w:rsid w:val="00041B37"/>
    <w:rsid w:val="00045BF0"/>
    <w:rsid w:val="00046224"/>
    <w:rsid w:val="00052442"/>
    <w:rsid w:val="00052506"/>
    <w:rsid w:val="00053607"/>
    <w:rsid w:val="00055079"/>
    <w:rsid w:val="00055096"/>
    <w:rsid w:val="00055589"/>
    <w:rsid w:val="000557D5"/>
    <w:rsid w:val="000577CD"/>
    <w:rsid w:val="00061954"/>
    <w:rsid w:val="0006264D"/>
    <w:rsid w:val="000626D2"/>
    <w:rsid w:val="00065320"/>
    <w:rsid w:val="00065724"/>
    <w:rsid w:val="00067828"/>
    <w:rsid w:val="000712EA"/>
    <w:rsid w:val="000718ED"/>
    <w:rsid w:val="0007573A"/>
    <w:rsid w:val="00076D8B"/>
    <w:rsid w:val="000810C3"/>
    <w:rsid w:val="00081F5A"/>
    <w:rsid w:val="000832AF"/>
    <w:rsid w:val="000840F3"/>
    <w:rsid w:val="00084136"/>
    <w:rsid w:val="00087A63"/>
    <w:rsid w:val="00087AB4"/>
    <w:rsid w:val="0009387E"/>
    <w:rsid w:val="00093F2C"/>
    <w:rsid w:val="000953C9"/>
    <w:rsid w:val="000957C1"/>
    <w:rsid w:val="00096F3B"/>
    <w:rsid w:val="000A0207"/>
    <w:rsid w:val="000A2685"/>
    <w:rsid w:val="000A3724"/>
    <w:rsid w:val="000A4A12"/>
    <w:rsid w:val="000A5B46"/>
    <w:rsid w:val="000A636A"/>
    <w:rsid w:val="000B1035"/>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22AD"/>
    <w:rsid w:val="00156619"/>
    <w:rsid w:val="00157687"/>
    <w:rsid w:val="0016035E"/>
    <w:rsid w:val="00164E15"/>
    <w:rsid w:val="001653DC"/>
    <w:rsid w:val="00165F24"/>
    <w:rsid w:val="0017144D"/>
    <w:rsid w:val="001739C1"/>
    <w:rsid w:val="00173AF4"/>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325B"/>
    <w:rsid w:val="00194104"/>
    <w:rsid w:val="001952A7"/>
    <w:rsid w:val="001952CB"/>
    <w:rsid w:val="001953FB"/>
    <w:rsid w:val="00195516"/>
    <w:rsid w:val="00195BB4"/>
    <w:rsid w:val="0019716A"/>
    <w:rsid w:val="00197C1D"/>
    <w:rsid w:val="001A295A"/>
    <w:rsid w:val="001A2C75"/>
    <w:rsid w:val="001A3A27"/>
    <w:rsid w:val="001A5F28"/>
    <w:rsid w:val="001A6761"/>
    <w:rsid w:val="001A7A13"/>
    <w:rsid w:val="001B1799"/>
    <w:rsid w:val="001B3239"/>
    <w:rsid w:val="001B3562"/>
    <w:rsid w:val="001B3CFA"/>
    <w:rsid w:val="001B477D"/>
    <w:rsid w:val="001B4F99"/>
    <w:rsid w:val="001B50B4"/>
    <w:rsid w:val="001B6C58"/>
    <w:rsid w:val="001B6EB1"/>
    <w:rsid w:val="001C0E24"/>
    <w:rsid w:val="001C7AA8"/>
    <w:rsid w:val="001D04C7"/>
    <w:rsid w:val="001D26B8"/>
    <w:rsid w:val="001D2B20"/>
    <w:rsid w:val="001D6416"/>
    <w:rsid w:val="001D65E0"/>
    <w:rsid w:val="001D7D21"/>
    <w:rsid w:val="001E1E30"/>
    <w:rsid w:val="001E216D"/>
    <w:rsid w:val="001E430C"/>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78FA"/>
    <w:rsid w:val="0021178C"/>
    <w:rsid w:val="00216AEE"/>
    <w:rsid w:val="00220B4E"/>
    <w:rsid w:val="002219A6"/>
    <w:rsid w:val="00221C5C"/>
    <w:rsid w:val="00223D38"/>
    <w:rsid w:val="00225916"/>
    <w:rsid w:val="002318F2"/>
    <w:rsid w:val="00232488"/>
    <w:rsid w:val="002347A0"/>
    <w:rsid w:val="0023583E"/>
    <w:rsid w:val="00235B75"/>
    <w:rsid w:val="002360D9"/>
    <w:rsid w:val="0023647E"/>
    <w:rsid w:val="00240048"/>
    <w:rsid w:val="00241DEB"/>
    <w:rsid w:val="0024208F"/>
    <w:rsid w:val="002455EC"/>
    <w:rsid w:val="00245DBC"/>
    <w:rsid w:val="0024709A"/>
    <w:rsid w:val="00247145"/>
    <w:rsid w:val="00247E3D"/>
    <w:rsid w:val="00250F89"/>
    <w:rsid w:val="002523DA"/>
    <w:rsid w:val="002566EF"/>
    <w:rsid w:val="002576E0"/>
    <w:rsid w:val="00257975"/>
    <w:rsid w:val="00260CA7"/>
    <w:rsid w:val="00262F21"/>
    <w:rsid w:val="002631A7"/>
    <w:rsid w:val="00263D68"/>
    <w:rsid w:val="0026424D"/>
    <w:rsid w:val="00264BF5"/>
    <w:rsid w:val="002654F8"/>
    <w:rsid w:val="002706B7"/>
    <w:rsid w:val="002711BA"/>
    <w:rsid w:val="00271E2E"/>
    <w:rsid w:val="00272613"/>
    <w:rsid w:val="00276F5B"/>
    <w:rsid w:val="00285581"/>
    <w:rsid w:val="00286134"/>
    <w:rsid w:val="0029072A"/>
    <w:rsid w:val="00291A9B"/>
    <w:rsid w:val="00297A6F"/>
    <w:rsid w:val="002A02CF"/>
    <w:rsid w:val="002A095B"/>
    <w:rsid w:val="002A1869"/>
    <w:rsid w:val="002A37E6"/>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6296"/>
    <w:rsid w:val="002E6688"/>
    <w:rsid w:val="002E777F"/>
    <w:rsid w:val="002E7F0A"/>
    <w:rsid w:val="002F2144"/>
    <w:rsid w:val="002F35B1"/>
    <w:rsid w:val="002F3C4F"/>
    <w:rsid w:val="002F7208"/>
    <w:rsid w:val="002F7976"/>
    <w:rsid w:val="0030280B"/>
    <w:rsid w:val="003030EB"/>
    <w:rsid w:val="00303A72"/>
    <w:rsid w:val="00307670"/>
    <w:rsid w:val="00310798"/>
    <w:rsid w:val="00312B3F"/>
    <w:rsid w:val="003131D1"/>
    <w:rsid w:val="00314DE1"/>
    <w:rsid w:val="003167C9"/>
    <w:rsid w:val="0031759A"/>
    <w:rsid w:val="00322729"/>
    <w:rsid w:val="00322B0D"/>
    <w:rsid w:val="003233CF"/>
    <w:rsid w:val="003248B4"/>
    <w:rsid w:val="00325C34"/>
    <w:rsid w:val="00325CA1"/>
    <w:rsid w:val="00331238"/>
    <w:rsid w:val="003350A3"/>
    <w:rsid w:val="00335951"/>
    <w:rsid w:val="003362DC"/>
    <w:rsid w:val="00336317"/>
    <w:rsid w:val="00342308"/>
    <w:rsid w:val="003424B9"/>
    <w:rsid w:val="00343894"/>
    <w:rsid w:val="00346439"/>
    <w:rsid w:val="0035007C"/>
    <w:rsid w:val="0035149E"/>
    <w:rsid w:val="00351503"/>
    <w:rsid w:val="00353C2E"/>
    <w:rsid w:val="00356506"/>
    <w:rsid w:val="003566B5"/>
    <w:rsid w:val="003567A4"/>
    <w:rsid w:val="003576C5"/>
    <w:rsid w:val="003577DA"/>
    <w:rsid w:val="00357A32"/>
    <w:rsid w:val="00357C41"/>
    <w:rsid w:val="003603CF"/>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8C6"/>
    <w:rsid w:val="00383B8B"/>
    <w:rsid w:val="00390076"/>
    <w:rsid w:val="00390429"/>
    <w:rsid w:val="00391983"/>
    <w:rsid w:val="00391BEE"/>
    <w:rsid w:val="00393E7F"/>
    <w:rsid w:val="00394375"/>
    <w:rsid w:val="00394BAD"/>
    <w:rsid w:val="00395751"/>
    <w:rsid w:val="003A033C"/>
    <w:rsid w:val="003A1199"/>
    <w:rsid w:val="003A1A82"/>
    <w:rsid w:val="003A27E3"/>
    <w:rsid w:val="003A3D18"/>
    <w:rsid w:val="003A59B1"/>
    <w:rsid w:val="003A616A"/>
    <w:rsid w:val="003A63E7"/>
    <w:rsid w:val="003B184A"/>
    <w:rsid w:val="003B5081"/>
    <w:rsid w:val="003B552D"/>
    <w:rsid w:val="003B55E4"/>
    <w:rsid w:val="003B6145"/>
    <w:rsid w:val="003C1995"/>
    <w:rsid w:val="003C1AB1"/>
    <w:rsid w:val="003C25A2"/>
    <w:rsid w:val="003C5DEE"/>
    <w:rsid w:val="003C6DA8"/>
    <w:rsid w:val="003C7591"/>
    <w:rsid w:val="003C77EC"/>
    <w:rsid w:val="003C7CCB"/>
    <w:rsid w:val="003C7D43"/>
    <w:rsid w:val="003D0488"/>
    <w:rsid w:val="003D23AD"/>
    <w:rsid w:val="003D2583"/>
    <w:rsid w:val="003D28EA"/>
    <w:rsid w:val="003D3CB3"/>
    <w:rsid w:val="003D3D6D"/>
    <w:rsid w:val="003D51FF"/>
    <w:rsid w:val="003D5B3C"/>
    <w:rsid w:val="003D6D9C"/>
    <w:rsid w:val="003D7D20"/>
    <w:rsid w:val="003E4886"/>
    <w:rsid w:val="003E4A3C"/>
    <w:rsid w:val="003E6FD7"/>
    <w:rsid w:val="003F01E8"/>
    <w:rsid w:val="003F0700"/>
    <w:rsid w:val="003F0CCF"/>
    <w:rsid w:val="003F14D9"/>
    <w:rsid w:val="003F4225"/>
    <w:rsid w:val="00401406"/>
    <w:rsid w:val="00401AE3"/>
    <w:rsid w:val="00402105"/>
    <w:rsid w:val="004022C6"/>
    <w:rsid w:val="004034C6"/>
    <w:rsid w:val="0040545B"/>
    <w:rsid w:val="00406310"/>
    <w:rsid w:val="00406359"/>
    <w:rsid w:val="004064AC"/>
    <w:rsid w:val="004068EE"/>
    <w:rsid w:val="00407049"/>
    <w:rsid w:val="004075B2"/>
    <w:rsid w:val="0041261E"/>
    <w:rsid w:val="00416E3A"/>
    <w:rsid w:val="00417518"/>
    <w:rsid w:val="004201F6"/>
    <w:rsid w:val="004209B8"/>
    <w:rsid w:val="00422B13"/>
    <w:rsid w:val="004238D3"/>
    <w:rsid w:val="004247BB"/>
    <w:rsid w:val="00425B42"/>
    <w:rsid w:val="00425F0A"/>
    <w:rsid w:val="004304B6"/>
    <w:rsid w:val="00430AE0"/>
    <w:rsid w:val="00431DFE"/>
    <w:rsid w:val="00434678"/>
    <w:rsid w:val="004353F6"/>
    <w:rsid w:val="0043565D"/>
    <w:rsid w:val="00435B3B"/>
    <w:rsid w:val="00437D6C"/>
    <w:rsid w:val="00440609"/>
    <w:rsid w:val="00442283"/>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751B"/>
    <w:rsid w:val="004C02AD"/>
    <w:rsid w:val="004C2708"/>
    <w:rsid w:val="004C3D46"/>
    <w:rsid w:val="004C75FE"/>
    <w:rsid w:val="004D0416"/>
    <w:rsid w:val="004D3828"/>
    <w:rsid w:val="004D3A42"/>
    <w:rsid w:val="004D4210"/>
    <w:rsid w:val="004D544A"/>
    <w:rsid w:val="004D585F"/>
    <w:rsid w:val="004D7287"/>
    <w:rsid w:val="004E1C80"/>
    <w:rsid w:val="004E2CB7"/>
    <w:rsid w:val="004E2DF6"/>
    <w:rsid w:val="004E3B6F"/>
    <w:rsid w:val="004E41A7"/>
    <w:rsid w:val="004E49EF"/>
    <w:rsid w:val="004F05EC"/>
    <w:rsid w:val="004F0D29"/>
    <w:rsid w:val="004F15BC"/>
    <w:rsid w:val="004F257D"/>
    <w:rsid w:val="004F29D8"/>
    <w:rsid w:val="004F6866"/>
    <w:rsid w:val="004F68BF"/>
    <w:rsid w:val="00500A06"/>
    <w:rsid w:val="00500DDA"/>
    <w:rsid w:val="005011F6"/>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7444"/>
    <w:rsid w:val="00527E4F"/>
    <w:rsid w:val="00532406"/>
    <w:rsid w:val="005334A9"/>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10DA"/>
    <w:rsid w:val="00561876"/>
    <w:rsid w:val="00566ED7"/>
    <w:rsid w:val="005675C4"/>
    <w:rsid w:val="00570327"/>
    <w:rsid w:val="005713F5"/>
    <w:rsid w:val="005714C1"/>
    <w:rsid w:val="005746E1"/>
    <w:rsid w:val="00576FC4"/>
    <w:rsid w:val="0057725B"/>
    <w:rsid w:val="00580A32"/>
    <w:rsid w:val="00583C59"/>
    <w:rsid w:val="00585C0A"/>
    <w:rsid w:val="00586B68"/>
    <w:rsid w:val="00586C9E"/>
    <w:rsid w:val="00586DAC"/>
    <w:rsid w:val="00586DD9"/>
    <w:rsid w:val="005907E4"/>
    <w:rsid w:val="005932F3"/>
    <w:rsid w:val="00593C1E"/>
    <w:rsid w:val="0059401B"/>
    <w:rsid w:val="005960D2"/>
    <w:rsid w:val="005A0F32"/>
    <w:rsid w:val="005A20A8"/>
    <w:rsid w:val="005A4A90"/>
    <w:rsid w:val="005A514F"/>
    <w:rsid w:val="005A5363"/>
    <w:rsid w:val="005A63EC"/>
    <w:rsid w:val="005B0232"/>
    <w:rsid w:val="005B1FC7"/>
    <w:rsid w:val="005B67C4"/>
    <w:rsid w:val="005B7165"/>
    <w:rsid w:val="005C1583"/>
    <w:rsid w:val="005C54F0"/>
    <w:rsid w:val="005C6A02"/>
    <w:rsid w:val="005C6D63"/>
    <w:rsid w:val="005D1F63"/>
    <w:rsid w:val="005D4649"/>
    <w:rsid w:val="005D6D94"/>
    <w:rsid w:val="005D6FE4"/>
    <w:rsid w:val="005D7E58"/>
    <w:rsid w:val="005E0D93"/>
    <w:rsid w:val="005E1960"/>
    <w:rsid w:val="005E1D91"/>
    <w:rsid w:val="005E2C34"/>
    <w:rsid w:val="005E3152"/>
    <w:rsid w:val="005E4581"/>
    <w:rsid w:val="005E534D"/>
    <w:rsid w:val="005E6EAF"/>
    <w:rsid w:val="005F0582"/>
    <w:rsid w:val="005F0778"/>
    <w:rsid w:val="005F088C"/>
    <w:rsid w:val="005F1E1E"/>
    <w:rsid w:val="005F2465"/>
    <w:rsid w:val="005F2744"/>
    <w:rsid w:val="005F2E7D"/>
    <w:rsid w:val="005F3A08"/>
    <w:rsid w:val="005F4127"/>
    <w:rsid w:val="005F4822"/>
    <w:rsid w:val="005F644B"/>
    <w:rsid w:val="005F7643"/>
    <w:rsid w:val="005F79FB"/>
    <w:rsid w:val="00600B5B"/>
    <w:rsid w:val="00602F7B"/>
    <w:rsid w:val="00602FFD"/>
    <w:rsid w:val="00603199"/>
    <w:rsid w:val="006035C1"/>
    <w:rsid w:val="00605751"/>
    <w:rsid w:val="00605E2B"/>
    <w:rsid w:val="00606568"/>
    <w:rsid w:val="00612398"/>
    <w:rsid w:val="006134A0"/>
    <w:rsid w:val="0061417E"/>
    <w:rsid w:val="0061419A"/>
    <w:rsid w:val="00614FB9"/>
    <w:rsid w:val="006150FB"/>
    <w:rsid w:val="00615F94"/>
    <w:rsid w:val="00616618"/>
    <w:rsid w:val="00616C77"/>
    <w:rsid w:val="0062075A"/>
    <w:rsid w:val="00621D5D"/>
    <w:rsid w:val="00623433"/>
    <w:rsid w:val="00623585"/>
    <w:rsid w:val="00627A79"/>
    <w:rsid w:val="00635902"/>
    <w:rsid w:val="00636ECF"/>
    <w:rsid w:val="00640D77"/>
    <w:rsid w:val="0064234A"/>
    <w:rsid w:val="00644E59"/>
    <w:rsid w:val="0064526E"/>
    <w:rsid w:val="0064687A"/>
    <w:rsid w:val="00646A03"/>
    <w:rsid w:val="00647FEC"/>
    <w:rsid w:val="00650046"/>
    <w:rsid w:val="00650BAC"/>
    <w:rsid w:val="00652281"/>
    <w:rsid w:val="00652450"/>
    <w:rsid w:val="006536C4"/>
    <w:rsid w:val="00654DE9"/>
    <w:rsid w:val="0065553C"/>
    <w:rsid w:val="006555F9"/>
    <w:rsid w:val="00655F34"/>
    <w:rsid w:val="00656CFA"/>
    <w:rsid w:val="00660761"/>
    <w:rsid w:val="006610E2"/>
    <w:rsid w:val="00661505"/>
    <w:rsid w:val="006635DB"/>
    <w:rsid w:val="006640E8"/>
    <w:rsid w:val="00666738"/>
    <w:rsid w:val="006678E0"/>
    <w:rsid w:val="006704E7"/>
    <w:rsid w:val="006714F3"/>
    <w:rsid w:val="0067260F"/>
    <w:rsid w:val="006765A0"/>
    <w:rsid w:val="006809A7"/>
    <w:rsid w:val="00682D50"/>
    <w:rsid w:val="0068396B"/>
    <w:rsid w:val="00683FF3"/>
    <w:rsid w:val="006869DB"/>
    <w:rsid w:val="00686F21"/>
    <w:rsid w:val="00687B56"/>
    <w:rsid w:val="00690A17"/>
    <w:rsid w:val="00692AD7"/>
    <w:rsid w:val="006957A3"/>
    <w:rsid w:val="00696C8A"/>
    <w:rsid w:val="00696F22"/>
    <w:rsid w:val="0069713F"/>
    <w:rsid w:val="00697455"/>
    <w:rsid w:val="006A0162"/>
    <w:rsid w:val="006A0C11"/>
    <w:rsid w:val="006A1DAC"/>
    <w:rsid w:val="006A328C"/>
    <w:rsid w:val="006A40B6"/>
    <w:rsid w:val="006A50B7"/>
    <w:rsid w:val="006A5DB0"/>
    <w:rsid w:val="006B0AC3"/>
    <w:rsid w:val="006B40C2"/>
    <w:rsid w:val="006B64F3"/>
    <w:rsid w:val="006C05B6"/>
    <w:rsid w:val="006C080F"/>
    <w:rsid w:val="006C0DAC"/>
    <w:rsid w:val="006C7CE1"/>
    <w:rsid w:val="006D03D1"/>
    <w:rsid w:val="006D0602"/>
    <w:rsid w:val="006D129F"/>
    <w:rsid w:val="006D1FB5"/>
    <w:rsid w:val="006D4C90"/>
    <w:rsid w:val="006D5098"/>
    <w:rsid w:val="006D54F2"/>
    <w:rsid w:val="006D5903"/>
    <w:rsid w:val="006D59DC"/>
    <w:rsid w:val="006D5E46"/>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3787"/>
    <w:rsid w:val="00714BDB"/>
    <w:rsid w:val="00714C30"/>
    <w:rsid w:val="007156EA"/>
    <w:rsid w:val="00715A28"/>
    <w:rsid w:val="00715B0B"/>
    <w:rsid w:val="00715D4E"/>
    <w:rsid w:val="0071683A"/>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0F94"/>
    <w:rsid w:val="00761477"/>
    <w:rsid w:val="00762164"/>
    <w:rsid w:val="00762179"/>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878"/>
    <w:rsid w:val="007859CD"/>
    <w:rsid w:val="00785A0C"/>
    <w:rsid w:val="00790968"/>
    <w:rsid w:val="00791DF1"/>
    <w:rsid w:val="00793690"/>
    <w:rsid w:val="00794C8E"/>
    <w:rsid w:val="00795091"/>
    <w:rsid w:val="00795172"/>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2A6"/>
    <w:rsid w:val="007C1869"/>
    <w:rsid w:val="007C4DA7"/>
    <w:rsid w:val="007C5927"/>
    <w:rsid w:val="007D23AB"/>
    <w:rsid w:val="007D26A4"/>
    <w:rsid w:val="007D33AD"/>
    <w:rsid w:val="007D5A06"/>
    <w:rsid w:val="007D5FC6"/>
    <w:rsid w:val="007D6810"/>
    <w:rsid w:val="007D7538"/>
    <w:rsid w:val="007E1FFC"/>
    <w:rsid w:val="007E36DC"/>
    <w:rsid w:val="007E3EEE"/>
    <w:rsid w:val="007E4CC3"/>
    <w:rsid w:val="007E53A6"/>
    <w:rsid w:val="007E5C0E"/>
    <w:rsid w:val="007E649E"/>
    <w:rsid w:val="007F0743"/>
    <w:rsid w:val="007F1968"/>
    <w:rsid w:val="007F26D1"/>
    <w:rsid w:val="007F2B7A"/>
    <w:rsid w:val="007F2FA0"/>
    <w:rsid w:val="007F4F7D"/>
    <w:rsid w:val="007F60D7"/>
    <w:rsid w:val="007F6D42"/>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63B6"/>
    <w:rsid w:val="00827607"/>
    <w:rsid w:val="008277F4"/>
    <w:rsid w:val="0083088E"/>
    <w:rsid w:val="00830991"/>
    <w:rsid w:val="00830AA5"/>
    <w:rsid w:val="00830BAE"/>
    <w:rsid w:val="00831B13"/>
    <w:rsid w:val="0083309D"/>
    <w:rsid w:val="00833204"/>
    <w:rsid w:val="00833E91"/>
    <w:rsid w:val="00837721"/>
    <w:rsid w:val="00837EFB"/>
    <w:rsid w:val="008415A8"/>
    <w:rsid w:val="0084295B"/>
    <w:rsid w:val="0084581D"/>
    <w:rsid w:val="00847366"/>
    <w:rsid w:val="00850630"/>
    <w:rsid w:val="0085309F"/>
    <w:rsid w:val="00853203"/>
    <w:rsid w:val="0085402F"/>
    <w:rsid w:val="0086008F"/>
    <w:rsid w:val="00862E1A"/>
    <w:rsid w:val="008630A9"/>
    <w:rsid w:val="00864F99"/>
    <w:rsid w:val="00865298"/>
    <w:rsid w:val="00866A18"/>
    <w:rsid w:val="00866CE9"/>
    <w:rsid w:val="00867891"/>
    <w:rsid w:val="00870A6E"/>
    <w:rsid w:val="00871701"/>
    <w:rsid w:val="008727CC"/>
    <w:rsid w:val="0087448C"/>
    <w:rsid w:val="00874E4D"/>
    <w:rsid w:val="008762C3"/>
    <w:rsid w:val="00876325"/>
    <w:rsid w:val="008769CE"/>
    <w:rsid w:val="00880D8C"/>
    <w:rsid w:val="00882739"/>
    <w:rsid w:val="008868D6"/>
    <w:rsid w:val="008874A1"/>
    <w:rsid w:val="00887DDD"/>
    <w:rsid w:val="0089052E"/>
    <w:rsid w:val="00890A20"/>
    <w:rsid w:val="00892AD6"/>
    <w:rsid w:val="00892F03"/>
    <w:rsid w:val="0089317B"/>
    <w:rsid w:val="0089417D"/>
    <w:rsid w:val="00894189"/>
    <w:rsid w:val="008948C2"/>
    <w:rsid w:val="00894EAE"/>
    <w:rsid w:val="00895599"/>
    <w:rsid w:val="00895633"/>
    <w:rsid w:val="008A065C"/>
    <w:rsid w:val="008A1A0C"/>
    <w:rsid w:val="008A216A"/>
    <w:rsid w:val="008A2176"/>
    <w:rsid w:val="008A2821"/>
    <w:rsid w:val="008A3824"/>
    <w:rsid w:val="008A451D"/>
    <w:rsid w:val="008A464F"/>
    <w:rsid w:val="008A4DE6"/>
    <w:rsid w:val="008A5969"/>
    <w:rsid w:val="008A60A1"/>
    <w:rsid w:val="008A6703"/>
    <w:rsid w:val="008A7747"/>
    <w:rsid w:val="008B08A4"/>
    <w:rsid w:val="008B490A"/>
    <w:rsid w:val="008B4DB5"/>
    <w:rsid w:val="008B5D70"/>
    <w:rsid w:val="008B614F"/>
    <w:rsid w:val="008B7AD8"/>
    <w:rsid w:val="008C0DC5"/>
    <w:rsid w:val="008C1FDD"/>
    <w:rsid w:val="008C2C5F"/>
    <w:rsid w:val="008C4AA4"/>
    <w:rsid w:val="008C6676"/>
    <w:rsid w:val="008C6CE9"/>
    <w:rsid w:val="008C71BA"/>
    <w:rsid w:val="008D2E03"/>
    <w:rsid w:val="008D35E8"/>
    <w:rsid w:val="008E14C6"/>
    <w:rsid w:val="008E1CEF"/>
    <w:rsid w:val="008E29E4"/>
    <w:rsid w:val="008E4B5B"/>
    <w:rsid w:val="008E75F7"/>
    <w:rsid w:val="008F2389"/>
    <w:rsid w:val="008F503E"/>
    <w:rsid w:val="0090155F"/>
    <w:rsid w:val="00901CA8"/>
    <w:rsid w:val="0090401E"/>
    <w:rsid w:val="00904477"/>
    <w:rsid w:val="00904C46"/>
    <w:rsid w:val="00906C9D"/>
    <w:rsid w:val="0090729B"/>
    <w:rsid w:val="0091130F"/>
    <w:rsid w:val="0091219B"/>
    <w:rsid w:val="009124EA"/>
    <w:rsid w:val="00912B0A"/>
    <w:rsid w:val="00914472"/>
    <w:rsid w:val="00914855"/>
    <w:rsid w:val="009149D3"/>
    <w:rsid w:val="00914C06"/>
    <w:rsid w:val="0091647F"/>
    <w:rsid w:val="00920B5E"/>
    <w:rsid w:val="00922992"/>
    <w:rsid w:val="00922A4E"/>
    <w:rsid w:val="00922C1C"/>
    <w:rsid w:val="00923C83"/>
    <w:rsid w:val="00925AEE"/>
    <w:rsid w:val="0092754A"/>
    <w:rsid w:val="00930517"/>
    <w:rsid w:val="0093057B"/>
    <w:rsid w:val="009319CF"/>
    <w:rsid w:val="00932F5F"/>
    <w:rsid w:val="0093322E"/>
    <w:rsid w:val="00933312"/>
    <w:rsid w:val="00934650"/>
    <w:rsid w:val="009348C1"/>
    <w:rsid w:val="00934D7B"/>
    <w:rsid w:val="00935ED8"/>
    <w:rsid w:val="00940133"/>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8FD"/>
    <w:rsid w:val="00962E1E"/>
    <w:rsid w:val="009637CE"/>
    <w:rsid w:val="00963807"/>
    <w:rsid w:val="00963F5F"/>
    <w:rsid w:val="00964494"/>
    <w:rsid w:val="0096506D"/>
    <w:rsid w:val="00965B78"/>
    <w:rsid w:val="009665AC"/>
    <w:rsid w:val="009674BE"/>
    <w:rsid w:val="00967576"/>
    <w:rsid w:val="00970182"/>
    <w:rsid w:val="009703A1"/>
    <w:rsid w:val="009716F8"/>
    <w:rsid w:val="0097463E"/>
    <w:rsid w:val="00974D5C"/>
    <w:rsid w:val="00975B7E"/>
    <w:rsid w:val="0097720A"/>
    <w:rsid w:val="00977385"/>
    <w:rsid w:val="0097799B"/>
    <w:rsid w:val="0098014E"/>
    <w:rsid w:val="00982190"/>
    <w:rsid w:val="00990A8B"/>
    <w:rsid w:val="00990B4B"/>
    <w:rsid w:val="0099139C"/>
    <w:rsid w:val="0099148A"/>
    <w:rsid w:val="00992253"/>
    <w:rsid w:val="00994499"/>
    <w:rsid w:val="00995361"/>
    <w:rsid w:val="00995AE6"/>
    <w:rsid w:val="00995B05"/>
    <w:rsid w:val="0099667E"/>
    <w:rsid w:val="00996CA0"/>
    <w:rsid w:val="00997D2F"/>
    <w:rsid w:val="009A27A0"/>
    <w:rsid w:val="009A292B"/>
    <w:rsid w:val="009A3050"/>
    <w:rsid w:val="009A334F"/>
    <w:rsid w:val="009A38C9"/>
    <w:rsid w:val="009A45E5"/>
    <w:rsid w:val="009A7C5B"/>
    <w:rsid w:val="009B13AE"/>
    <w:rsid w:val="009B1FF1"/>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D55E4"/>
    <w:rsid w:val="009E0805"/>
    <w:rsid w:val="009E0F66"/>
    <w:rsid w:val="009E21B3"/>
    <w:rsid w:val="009E3553"/>
    <w:rsid w:val="009E56AD"/>
    <w:rsid w:val="009E7304"/>
    <w:rsid w:val="009E77EB"/>
    <w:rsid w:val="009E7AB9"/>
    <w:rsid w:val="009F27F4"/>
    <w:rsid w:val="009F3401"/>
    <w:rsid w:val="009F36CF"/>
    <w:rsid w:val="009F52C3"/>
    <w:rsid w:val="009F616A"/>
    <w:rsid w:val="00A006B7"/>
    <w:rsid w:val="00A01E96"/>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46D5"/>
    <w:rsid w:val="00A24987"/>
    <w:rsid w:val="00A25564"/>
    <w:rsid w:val="00A26785"/>
    <w:rsid w:val="00A27B7C"/>
    <w:rsid w:val="00A31044"/>
    <w:rsid w:val="00A313AD"/>
    <w:rsid w:val="00A320B1"/>
    <w:rsid w:val="00A427C7"/>
    <w:rsid w:val="00A44C06"/>
    <w:rsid w:val="00A45962"/>
    <w:rsid w:val="00A46C12"/>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4525"/>
    <w:rsid w:val="00A76C9B"/>
    <w:rsid w:val="00A77021"/>
    <w:rsid w:val="00A8048D"/>
    <w:rsid w:val="00A86C93"/>
    <w:rsid w:val="00A904DB"/>
    <w:rsid w:val="00A90F77"/>
    <w:rsid w:val="00A93D35"/>
    <w:rsid w:val="00A944F9"/>
    <w:rsid w:val="00AA5BB7"/>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7A74"/>
    <w:rsid w:val="00B01764"/>
    <w:rsid w:val="00B01C12"/>
    <w:rsid w:val="00B02D79"/>
    <w:rsid w:val="00B02E0C"/>
    <w:rsid w:val="00B060D8"/>
    <w:rsid w:val="00B0714E"/>
    <w:rsid w:val="00B075A0"/>
    <w:rsid w:val="00B0775A"/>
    <w:rsid w:val="00B10F21"/>
    <w:rsid w:val="00B1361C"/>
    <w:rsid w:val="00B13AB8"/>
    <w:rsid w:val="00B144EF"/>
    <w:rsid w:val="00B14608"/>
    <w:rsid w:val="00B15786"/>
    <w:rsid w:val="00B15CA1"/>
    <w:rsid w:val="00B15F5B"/>
    <w:rsid w:val="00B16E4D"/>
    <w:rsid w:val="00B2121A"/>
    <w:rsid w:val="00B2212A"/>
    <w:rsid w:val="00B22470"/>
    <w:rsid w:val="00B25073"/>
    <w:rsid w:val="00B2607A"/>
    <w:rsid w:val="00B2670F"/>
    <w:rsid w:val="00B27DB2"/>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67BB3"/>
    <w:rsid w:val="00B715EA"/>
    <w:rsid w:val="00B718C8"/>
    <w:rsid w:val="00B71FF0"/>
    <w:rsid w:val="00B735BD"/>
    <w:rsid w:val="00B745E8"/>
    <w:rsid w:val="00B7552F"/>
    <w:rsid w:val="00B76AF7"/>
    <w:rsid w:val="00B76C33"/>
    <w:rsid w:val="00B80423"/>
    <w:rsid w:val="00B8270E"/>
    <w:rsid w:val="00B82CF0"/>
    <w:rsid w:val="00B82F50"/>
    <w:rsid w:val="00B83DCA"/>
    <w:rsid w:val="00B847E1"/>
    <w:rsid w:val="00B858D9"/>
    <w:rsid w:val="00B85D72"/>
    <w:rsid w:val="00B914EC"/>
    <w:rsid w:val="00B92B36"/>
    <w:rsid w:val="00B92E5B"/>
    <w:rsid w:val="00B9440E"/>
    <w:rsid w:val="00B949C1"/>
    <w:rsid w:val="00B958B4"/>
    <w:rsid w:val="00B95ABC"/>
    <w:rsid w:val="00B96997"/>
    <w:rsid w:val="00B96CA6"/>
    <w:rsid w:val="00BA0905"/>
    <w:rsid w:val="00BA0CDB"/>
    <w:rsid w:val="00BA2834"/>
    <w:rsid w:val="00BA5125"/>
    <w:rsid w:val="00BA5218"/>
    <w:rsid w:val="00BA55A7"/>
    <w:rsid w:val="00BB002A"/>
    <w:rsid w:val="00BB01FA"/>
    <w:rsid w:val="00BB035D"/>
    <w:rsid w:val="00BB067D"/>
    <w:rsid w:val="00BB1F55"/>
    <w:rsid w:val="00BB2850"/>
    <w:rsid w:val="00BB2B42"/>
    <w:rsid w:val="00BB387D"/>
    <w:rsid w:val="00BB3C09"/>
    <w:rsid w:val="00BB696E"/>
    <w:rsid w:val="00BB71EB"/>
    <w:rsid w:val="00BC11B0"/>
    <w:rsid w:val="00BC1C4D"/>
    <w:rsid w:val="00BC33E9"/>
    <w:rsid w:val="00BC4E22"/>
    <w:rsid w:val="00BC6D12"/>
    <w:rsid w:val="00BC7266"/>
    <w:rsid w:val="00BD0ADA"/>
    <w:rsid w:val="00BD134F"/>
    <w:rsid w:val="00BD1AC6"/>
    <w:rsid w:val="00BD1D8A"/>
    <w:rsid w:val="00BD2E67"/>
    <w:rsid w:val="00BD33C0"/>
    <w:rsid w:val="00BD3C0E"/>
    <w:rsid w:val="00BD3EEB"/>
    <w:rsid w:val="00BD3F32"/>
    <w:rsid w:val="00BD47A1"/>
    <w:rsid w:val="00BD532C"/>
    <w:rsid w:val="00BD7DC7"/>
    <w:rsid w:val="00BE0CB3"/>
    <w:rsid w:val="00BE0F1E"/>
    <w:rsid w:val="00BE46A9"/>
    <w:rsid w:val="00BE5255"/>
    <w:rsid w:val="00BE53A3"/>
    <w:rsid w:val="00BE576E"/>
    <w:rsid w:val="00BE59E1"/>
    <w:rsid w:val="00BF1137"/>
    <w:rsid w:val="00BF1A2F"/>
    <w:rsid w:val="00BF200D"/>
    <w:rsid w:val="00BF2364"/>
    <w:rsid w:val="00BF25D3"/>
    <w:rsid w:val="00BF39F0"/>
    <w:rsid w:val="00BF431A"/>
    <w:rsid w:val="00BF4648"/>
    <w:rsid w:val="00BF51E4"/>
    <w:rsid w:val="00C00553"/>
    <w:rsid w:val="00C01311"/>
    <w:rsid w:val="00C025E1"/>
    <w:rsid w:val="00C07B70"/>
    <w:rsid w:val="00C10B8E"/>
    <w:rsid w:val="00C1341F"/>
    <w:rsid w:val="00C158E8"/>
    <w:rsid w:val="00C15919"/>
    <w:rsid w:val="00C16175"/>
    <w:rsid w:val="00C16863"/>
    <w:rsid w:val="00C20365"/>
    <w:rsid w:val="00C2099F"/>
    <w:rsid w:val="00C20C27"/>
    <w:rsid w:val="00C22D03"/>
    <w:rsid w:val="00C25C2C"/>
    <w:rsid w:val="00C269B7"/>
    <w:rsid w:val="00C3118E"/>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DCB"/>
    <w:rsid w:val="00C61C47"/>
    <w:rsid w:val="00C6361A"/>
    <w:rsid w:val="00C64277"/>
    <w:rsid w:val="00C664BD"/>
    <w:rsid w:val="00C66D57"/>
    <w:rsid w:val="00C67738"/>
    <w:rsid w:val="00C71928"/>
    <w:rsid w:val="00C71B1A"/>
    <w:rsid w:val="00C71C35"/>
    <w:rsid w:val="00C71F57"/>
    <w:rsid w:val="00C73D57"/>
    <w:rsid w:val="00C75120"/>
    <w:rsid w:val="00C76640"/>
    <w:rsid w:val="00C76E10"/>
    <w:rsid w:val="00C8228B"/>
    <w:rsid w:val="00C82737"/>
    <w:rsid w:val="00C83964"/>
    <w:rsid w:val="00C83C52"/>
    <w:rsid w:val="00C84FD2"/>
    <w:rsid w:val="00C851EC"/>
    <w:rsid w:val="00C85353"/>
    <w:rsid w:val="00C85D7E"/>
    <w:rsid w:val="00C862BF"/>
    <w:rsid w:val="00C908FA"/>
    <w:rsid w:val="00C91F35"/>
    <w:rsid w:val="00C937ED"/>
    <w:rsid w:val="00C94D87"/>
    <w:rsid w:val="00C95346"/>
    <w:rsid w:val="00C95376"/>
    <w:rsid w:val="00C9636D"/>
    <w:rsid w:val="00C976E1"/>
    <w:rsid w:val="00CA3710"/>
    <w:rsid w:val="00CA4086"/>
    <w:rsid w:val="00CA7167"/>
    <w:rsid w:val="00CB0BA7"/>
    <w:rsid w:val="00CB0DF1"/>
    <w:rsid w:val="00CB1814"/>
    <w:rsid w:val="00CB273A"/>
    <w:rsid w:val="00CB58EE"/>
    <w:rsid w:val="00CB5CB8"/>
    <w:rsid w:val="00CB6A82"/>
    <w:rsid w:val="00CB6BD6"/>
    <w:rsid w:val="00CB7537"/>
    <w:rsid w:val="00CC18F6"/>
    <w:rsid w:val="00CC1ED9"/>
    <w:rsid w:val="00CC3095"/>
    <w:rsid w:val="00CC33E8"/>
    <w:rsid w:val="00CC345E"/>
    <w:rsid w:val="00CC396E"/>
    <w:rsid w:val="00CC5CD5"/>
    <w:rsid w:val="00CC780D"/>
    <w:rsid w:val="00CC78D0"/>
    <w:rsid w:val="00CD0282"/>
    <w:rsid w:val="00CD07CB"/>
    <w:rsid w:val="00CD0ED7"/>
    <w:rsid w:val="00CD11D4"/>
    <w:rsid w:val="00CD1B67"/>
    <w:rsid w:val="00CD1BF8"/>
    <w:rsid w:val="00CD224B"/>
    <w:rsid w:val="00CD62A2"/>
    <w:rsid w:val="00CD68C4"/>
    <w:rsid w:val="00CD6E84"/>
    <w:rsid w:val="00CE3BEF"/>
    <w:rsid w:val="00CE4BF9"/>
    <w:rsid w:val="00CE6628"/>
    <w:rsid w:val="00CE7C59"/>
    <w:rsid w:val="00CF05A8"/>
    <w:rsid w:val="00CF0AB3"/>
    <w:rsid w:val="00CF1394"/>
    <w:rsid w:val="00CF4E4F"/>
    <w:rsid w:val="00CF7375"/>
    <w:rsid w:val="00CF745C"/>
    <w:rsid w:val="00D01639"/>
    <w:rsid w:val="00D016C1"/>
    <w:rsid w:val="00D027A8"/>
    <w:rsid w:val="00D02FD1"/>
    <w:rsid w:val="00D03CE8"/>
    <w:rsid w:val="00D05BDA"/>
    <w:rsid w:val="00D107F5"/>
    <w:rsid w:val="00D13DCD"/>
    <w:rsid w:val="00D143EF"/>
    <w:rsid w:val="00D14C62"/>
    <w:rsid w:val="00D1691C"/>
    <w:rsid w:val="00D171CC"/>
    <w:rsid w:val="00D17888"/>
    <w:rsid w:val="00D17961"/>
    <w:rsid w:val="00D2136E"/>
    <w:rsid w:val="00D22119"/>
    <w:rsid w:val="00D2764B"/>
    <w:rsid w:val="00D27F29"/>
    <w:rsid w:val="00D30F76"/>
    <w:rsid w:val="00D3155B"/>
    <w:rsid w:val="00D35CF1"/>
    <w:rsid w:val="00D36D6C"/>
    <w:rsid w:val="00D4062E"/>
    <w:rsid w:val="00D412CD"/>
    <w:rsid w:val="00D41357"/>
    <w:rsid w:val="00D42DEF"/>
    <w:rsid w:val="00D44AA8"/>
    <w:rsid w:val="00D452EC"/>
    <w:rsid w:val="00D474D7"/>
    <w:rsid w:val="00D47FCA"/>
    <w:rsid w:val="00D5056B"/>
    <w:rsid w:val="00D514EF"/>
    <w:rsid w:val="00D53BB8"/>
    <w:rsid w:val="00D54CB9"/>
    <w:rsid w:val="00D5564F"/>
    <w:rsid w:val="00D559A7"/>
    <w:rsid w:val="00D56A8E"/>
    <w:rsid w:val="00D60921"/>
    <w:rsid w:val="00D64256"/>
    <w:rsid w:val="00D64E92"/>
    <w:rsid w:val="00D66140"/>
    <w:rsid w:val="00D67094"/>
    <w:rsid w:val="00D710FC"/>
    <w:rsid w:val="00D71146"/>
    <w:rsid w:val="00D725EE"/>
    <w:rsid w:val="00D74FE0"/>
    <w:rsid w:val="00D752D0"/>
    <w:rsid w:val="00D774A4"/>
    <w:rsid w:val="00D80A52"/>
    <w:rsid w:val="00D824A0"/>
    <w:rsid w:val="00D8452A"/>
    <w:rsid w:val="00D85A01"/>
    <w:rsid w:val="00D908F6"/>
    <w:rsid w:val="00D948B0"/>
    <w:rsid w:val="00D95581"/>
    <w:rsid w:val="00D969AF"/>
    <w:rsid w:val="00D9781C"/>
    <w:rsid w:val="00DA0426"/>
    <w:rsid w:val="00DA2180"/>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5A4E"/>
    <w:rsid w:val="00DC5EBD"/>
    <w:rsid w:val="00DC5FA1"/>
    <w:rsid w:val="00DC7CCF"/>
    <w:rsid w:val="00DD1725"/>
    <w:rsid w:val="00DD191F"/>
    <w:rsid w:val="00DD1B39"/>
    <w:rsid w:val="00DD26FE"/>
    <w:rsid w:val="00DD2B7C"/>
    <w:rsid w:val="00DD3D8B"/>
    <w:rsid w:val="00DD49D0"/>
    <w:rsid w:val="00DD55F8"/>
    <w:rsid w:val="00DD5AFE"/>
    <w:rsid w:val="00DE696D"/>
    <w:rsid w:val="00DE762C"/>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286"/>
    <w:rsid w:val="00E15F76"/>
    <w:rsid w:val="00E17411"/>
    <w:rsid w:val="00E21025"/>
    <w:rsid w:val="00E259DF"/>
    <w:rsid w:val="00E260B7"/>
    <w:rsid w:val="00E26A29"/>
    <w:rsid w:val="00E3344C"/>
    <w:rsid w:val="00E339A1"/>
    <w:rsid w:val="00E34040"/>
    <w:rsid w:val="00E3635F"/>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2709"/>
    <w:rsid w:val="00E65FB5"/>
    <w:rsid w:val="00E6673F"/>
    <w:rsid w:val="00E66A76"/>
    <w:rsid w:val="00E66DAB"/>
    <w:rsid w:val="00E67BAA"/>
    <w:rsid w:val="00E67F06"/>
    <w:rsid w:val="00E72767"/>
    <w:rsid w:val="00E74D19"/>
    <w:rsid w:val="00E75009"/>
    <w:rsid w:val="00E751AF"/>
    <w:rsid w:val="00E752BB"/>
    <w:rsid w:val="00E75C24"/>
    <w:rsid w:val="00E83411"/>
    <w:rsid w:val="00E86601"/>
    <w:rsid w:val="00E87F48"/>
    <w:rsid w:val="00E87FDC"/>
    <w:rsid w:val="00E906A2"/>
    <w:rsid w:val="00E92759"/>
    <w:rsid w:val="00E93D63"/>
    <w:rsid w:val="00E93FD7"/>
    <w:rsid w:val="00EA022C"/>
    <w:rsid w:val="00EA38F2"/>
    <w:rsid w:val="00EA4E89"/>
    <w:rsid w:val="00EA638F"/>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E31CA"/>
    <w:rsid w:val="00EE3656"/>
    <w:rsid w:val="00EE3814"/>
    <w:rsid w:val="00EE3B00"/>
    <w:rsid w:val="00EE4ECA"/>
    <w:rsid w:val="00EE5867"/>
    <w:rsid w:val="00EE5D74"/>
    <w:rsid w:val="00EE5F58"/>
    <w:rsid w:val="00EE64E6"/>
    <w:rsid w:val="00EE6D01"/>
    <w:rsid w:val="00EF201B"/>
    <w:rsid w:val="00EF3556"/>
    <w:rsid w:val="00EF4925"/>
    <w:rsid w:val="00EF63C8"/>
    <w:rsid w:val="00F01442"/>
    <w:rsid w:val="00F01881"/>
    <w:rsid w:val="00F018BC"/>
    <w:rsid w:val="00F01E32"/>
    <w:rsid w:val="00F03074"/>
    <w:rsid w:val="00F064CA"/>
    <w:rsid w:val="00F11F70"/>
    <w:rsid w:val="00F1270E"/>
    <w:rsid w:val="00F1364A"/>
    <w:rsid w:val="00F14F20"/>
    <w:rsid w:val="00F15B4C"/>
    <w:rsid w:val="00F249BF"/>
    <w:rsid w:val="00F25852"/>
    <w:rsid w:val="00F2710E"/>
    <w:rsid w:val="00F27E85"/>
    <w:rsid w:val="00F300FD"/>
    <w:rsid w:val="00F3021A"/>
    <w:rsid w:val="00F31F16"/>
    <w:rsid w:val="00F33C40"/>
    <w:rsid w:val="00F33EB3"/>
    <w:rsid w:val="00F345A4"/>
    <w:rsid w:val="00F359B9"/>
    <w:rsid w:val="00F359F9"/>
    <w:rsid w:val="00F37795"/>
    <w:rsid w:val="00F377D0"/>
    <w:rsid w:val="00F40138"/>
    <w:rsid w:val="00F40572"/>
    <w:rsid w:val="00F4074E"/>
    <w:rsid w:val="00F41454"/>
    <w:rsid w:val="00F42D18"/>
    <w:rsid w:val="00F449C8"/>
    <w:rsid w:val="00F47287"/>
    <w:rsid w:val="00F47CCF"/>
    <w:rsid w:val="00F5091F"/>
    <w:rsid w:val="00F50BD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136B"/>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4691"/>
    <w:rsid w:val="00F947B4"/>
    <w:rsid w:val="00F96E18"/>
    <w:rsid w:val="00FA0F1F"/>
    <w:rsid w:val="00FA291B"/>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39C1"/>
    <w:rsid w:val="00FF46C0"/>
    <w:rsid w:val="00FF71DA"/>
    <w:rsid w:val="00FF7AE0"/>
    <w:rsid w:val="00FF7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D397A0D1-FAB7-4E9C-8729-939D21F2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customStyle="1" w:styleId="normaltextrun">
    <w:name w:val="normaltextrun"/>
    <w:basedOn w:val="DefaultParagraphFont"/>
    <w:rsid w:val="00C67738"/>
  </w:style>
  <w:style w:type="character" w:customStyle="1" w:styleId="eop">
    <w:name w:val="eop"/>
    <w:basedOn w:val="DefaultParagraphFont"/>
    <w:rsid w:val="00C67738"/>
  </w:style>
  <w:style w:type="paragraph" w:customStyle="1" w:styleId="paragraph">
    <w:name w:val="paragraph"/>
    <w:basedOn w:val="Normal"/>
    <w:rsid w:val="00C67738"/>
    <w:pPr>
      <w:spacing w:before="100" w:beforeAutospacing="1" w:after="100" w:afterAutospacing="1" w:line="240" w:lineRule="auto"/>
    </w:pPr>
    <w:rPr>
      <w:szCs w:val="24"/>
      <w:lang w:eastAsia="en-IE"/>
    </w:rPr>
  </w:style>
  <w:style w:type="character" w:styleId="UnresolvedMention">
    <w:name w:val="Unresolved Mention"/>
    <w:basedOn w:val="DefaultParagraphFont"/>
    <w:uiPriority w:val="99"/>
    <w:semiHidden/>
    <w:unhideWhenUsed/>
    <w:rsid w:val="00570327"/>
    <w:rPr>
      <w:color w:val="605E5C"/>
      <w:shd w:val="clear" w:color="auto" w:fill="E1DFDD"/>
    </w:rPr>
  </w:style>
  <w:style w:type="paragraph" w:customStyle="1" w:styleId="title-bold">
    <w:name w:val="title-bold"/>
    <w:basedOn w:val="Normal"/>
    <w:rsid w:val="00260CA7"/>
    <w:pPr>
      <w:spacing w:before="100" w:beforeAutospacing="1" w:after="100" w:afterAutospacing="1" w:line="240" w:lineRule="auto"/>
    </w:pPr>
    <w:rPr>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475949890">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00509362">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3978882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54468464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68121307">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68421113">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ex.europa.eu/fundamental-rights/complaints-mechanis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3104</Words>
  <Characters>17820</Characters>
  <Application>Microsoft Office Word</Application>
  <DocSecurity>0</DocSecurity>
  <Lines>247</Lines>
  <Paragraphs>43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STEPIEN Beata (SG)</dc:creator>
  <cp:lastModifiedBy>DELBAER Gerda (SG)</cp:lastModifiedBy>
  <cp:revision>2</cp:revision>
  <cp:lastPrinted>2019-01-09T14:37:00Z</cp:lastPrinted>
  <dcterms:created xsi:type="dcterms:W3CDTF">2024-03-08T13:19:00Z</dcterms:created>
  <dcterms:modified xsi:type="dcterms:W3CDTF">2024-03-08T13:19:00Z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ies>
</file>