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D0236" w14:textId="2A9FCE7B" w:rsidR="00CE6719" w:rsidRPr="001D3549" w:rsidRDefault="00CE6719" w:rsidP="007E4704">
      <w:pPr>
        <w:spacing w:after="600" w:line="240" w:lineRule="auto"/>
        <w:jc w:val="center"/>
        <w:textAlignment w:val="baseline"/>
        <w:rPr>
          <w:rFonts w:ascii="Times New Roman" w:eastAsia="Times New Roman" w:hAnsi="Times New Roman" w:cs="Times New Roman"/>
          <w:color w:val="000000"/>
          <w:sz w:val="24"/>
          <w:szCs w:val="24"/>
        </w:rPr>
      </w:pPr>
      <w:r>
        <w:rPr>
          <w:rFonts w:ascii="Times New Roman" w:hAnsi="Times New Roman"/>
          <w:b/>
          <w:sz w:val="24"/>
        </w:rPr>
        <w:t>Suite donnée à la résolution non législative du Parlement européen sur la manière de construire une stratégie innovante en matière d’aide humanitaire:</w:t>
      </w:r>
      <w:r>
        <w:rPr>
          <w:rFonts w:ascii="Times New Roman" w:hAnsi="Times New Roman"/>
          <w:b/>
          <w:color w:val="000000"/>
          <w:sz w:val="24"/>
        </w:rPr>
        <w:t xml:space="preserve"> coup de projecteur sur les crises actuelles et oubliées</w:t>
      </w:r>
    </w:p>
    <w:p w14:paraId="324A8B77" w14:textId="51174C7F" w:rsidR="00CE6719" w:rsidRPr="00F73E52" w:rsidRDefault="00CE6719" w:rsidP="007E4704">
      <w:pPr>
        <w:numPr>
          <w:ilvl w:val="0"/>
          <w:numId w:val="2"/>
        </w:numPr>
        <w:spacing w:after="240" w:line="240" w:lineRule="auto"/>
        <w:ind w:left="567" w:hanging="567"/>
        <w:jc w:val="both"/>
        <w:textAlignment w:val="baseline"/>
        <w:rPr>
          <w:rFonts w:ascii="Times New Roman" w:eastAsia="Times New Roman" w:hAnsi="Times New Roman" w:cs="Times New Roman"/>
          <w:sz w:val="24"/>
          <w:szCs w:val="24"/>
        </w:rPr>
      </w:pPr>
      <w:r>
        <w:rPr>
          <w:rFonts w:ascii="Times New Roman" w:hAnsi="Times New Roman"/>
          <w:b/>
          <w:sz w:val="24"/>
        </w:rPr>
        <w:t>Rapporteur[e]:</w:t>
      </w:r>
      <w:r>
        <w:rPr>
          <w:rFonts w:ascii="Times New Roman" w:hAnsi="Times New Roman"/>
          <w:sz w:val="24"/>
        </w:rPr>
        <w:t xml:space="preserve"> Carlos Zorrinho (S&amp;D / PT)</w:t>
      </w:r>
    </w:p>
    <w:p w14:paraId="70D51065" w14:textId="05DE88B2" w:rsidR="00CE6719" w:rsidRPr="001D3549" w:rsidRDefault="00CE6719" w:rsidP="007E4704">
      <w:pPr>
        <w:numPr>
          <w:ilvl w:val="0"/>
          <w:numId w:val="3"/>
        </w:numPr>
        <w:spacing w:after="240" w:line="240" w:lineRule="auto"/>
        <w:ind w:left="567" w:hanging="567"/>
        <w:jc w:val="both"/>
        <w:textAlignment w:val="baseline"/>
        <w:rPr>
          <w:rFonts w:ascii="Times New Roman" w:eastAsia="Times New Roman" w:hAnsi="Times New Roman" w:cs="Times New Roman"/>
          <w:color w:val="000000"/>
          <w:sz w:val="24"/>
          <w:szCs w:val="24"/>
        </w:rPr>
      </w:pPr>
      <w:r>
        <w:rPr>
          <w:rFonts w:ascii="Times New Roman" w:hAnsi="Times New Roman"/>
          <w:b/>
          <w:sz w:val="24"/>
        </w:rPr>
        <w:t>Numéro de référence:</w:t>
      </w:r>
      <w:r>
        <w:rPr>
          <w:rFonts w:ascii="Times New Roman" w:hAnsi="Times New Roman"/>
          <w:sz w:val="24"/>
        </w:rPr>
        <w:t xml:space="preserve"> 2023/2000 (INI) / </w:t>
      </w:r>
      <w:hyperlink r:id="rId7" w:tgtFrame="_blank" w:history="1">
        <w:r>
          <w:rPr>
            <w:rFonts w:ascii="Times New Roman" w:hAnsi="Times New Roman"/>
            <w:sz w:val="24"/>
            <w:shd w:val="clear" w:color="auto" w:fill="E1E3E6"/>
          </w:rPr>
          <w:t>A9-0321/20</w:t>
        </w:r>
      </w:hyperlink>
      <w:r>
        <w:rPr>
          <w:rFonts w:ascii="Times New Roman" w:hAnsi="Times New Roman"/>
          <w:sz w:val="24"/>
        </w:rPr>
        <w:t xml:space="preserve">23 / </w:t>
      </w:r>
      <w:r>
        <w:rPr>
          <w:rFonts w:ascii="Times New Roman" w:hAnsi="Times New Roman"/>
          <w:sz w:val="24"/>
          <w:shd w:val="clear" w:color="auto" w:fill="FFFFFF"/>
        </w:rPr>
        <w:t>P9_TA(2023)0437</w:t>
      </w:r>
    </w:p>
    <w:p w14:paraId="38E2ED6D" w14:textId="0BB5042D" w:rsidR="00CE6719" w:rsidRPr="001D3549" w:rsidRDefault="00CE6719" w:rsidP="007E4704">
      <w:pPr>
        <w:numPr>
          <w:ilvl w:val="0"/>
          <w:numId w:val="4"/>
        </w:numPr>
        <w:spacing w:after="240" w:line="240" w:lineRule="auto"/>
        <w:ind w:left="567" w:hanging="567"/>
        <w:jc w:val="both"/>
        <w:textAlignment w:val="baseline"/>
        <w:rPr>
          <w:rFonts w:ascii="Times New Roman" w:eastAsia="Times New Roman" w:hAnsi="Times New Roman" w:cs="Times New Roman"/>
          <w:sz w:val="24"/>
          <w:szCs w:val="24"/>
        </w:rPr>
      </w:pPr>
      <w:r>
        <w:rPr>
          <w:rFonts w:ascii="Times New Roman" w:hAnsi="Times New Roman"/>
          <w:b/>
          <w:sz w:val="24"/>
        </w:rPr>
        <w:t>Date d’adoption de la résolution:</w:t>
      </w:r>
      <w:r>
        <w:rPr>
          <w:rFonts w:ascii="Times New Roman" w:hAnsi="Times New Roman"/>
          <w:sz w:val="24"/>
        </w:rPr>
        <w:t xml:space="preserve"> 23 novembre 2023 </w:t>
      </w:r>
    </w:p>
    <w:p w14:paraId="74BB3673" w14:textId="1693DA88" w:rsidR="00CE6719" w:rsidRPr="001D3549" w:rsidRDefault="00CE6719" w:rsidP="007E4704">
      <w:pPr>
        <w:numPr>
          <w:ilvl w:val="0"/>
          <w:numId w:val="5"/>
        </w:numPr>
        <w:spacing w:after="240" w:line="240" w:lineRule="auto"/>
        <w:ind w:left="567" w:hanging="567"/>
        <w:jc w:val="both"/>
        <w:textAlignment w:val="baseline"/>
        <w:rPr>
          <w:rFonts w:ascii="Times New Roman" w:eastAsia="Times New Roman" w:hAnsi="Times New Roman" w:cs="Times New Roman"/>
          <w:sz w:val="24"/>
          <w:szCs w:val="24"/>
        </w:rPr>
      </w:pPr>
      <w:r>
        <w:rPr>
          <w:rFonts w:ascii="Times New Roman" w:hAnsi="Times New Roman"/>
          <w:b/>
          <w:sz w:val="24"/>
        </w:rPr>
        <w:t xml:space="preserve">Commission parlementaire compétente: </w:t>
      </w:r>
      <w:r>
        <w:rPr>
          <w:rFonts w:ascii="Times New Roman" w:hAnsi="Times New Roman"/>
          <w:sz w:val="24"/>
        </w:rPr>
        <w:t>Commission du développement </w:t>
      </w:r>
    </w:p>
    <w:p w14:paraId="47235943" w14:textId="77777777" w:rsidR="00AA2845" w:rsidRPr="001D3549" w:rsidRDefault="00CE6719" w:rsidP="007E4704">
      <w:pPr>
        <w:numPr>
          <w:ilvl w:val="0"/>
          <w:numId w:val="6"/>
        </w:numPr>
        <w:spacing w:after="240" w:line="240" w:lineRule="auto"/>
        <w:ind w:left="567" w:hanging="567"/>
        <w:jc w:val="both"/>
        <w:textAlignment w:val="baseline"/>
        <w:rPr>
          <w:rFonts w:ascii="Times New Roman" w:eastAsia="Times New Roman" w:hAnsi="Times New Roman" w:cs="Times New Roman"/>
          <w:sz w:val="24"/>
          <w:szCs w:val="24"/>
        </w:rPr>
      </w:pPr>
      <w:r>
        <w:rPr>
          <w:rFonts w:ascii="Times New Roman" w:hAnsi="Times New Roman"/>
          <w:b/>
          <w:sz w:val="24"/>
        </w:rPr>
        <w:t>Analyse/évaluation succincte de la résolution et des demandes qu’elle contient: </w:t>
      </w:r>
    </w:p>
    <w:p w14:paraId="1AE7D734" w14:textId="23137861" w:rsidR="00CE6719" w:rsidRPr="001D3549" w:rsidRDefault="00CE6719" w:rsidP="007E4704">
      <w:pPr>
        <w:spacing w:after="120" w:line="240" w:lineRule="auto"/>
        <w:jc w:val="both"/>
        <w:textAlignment w:val="baseline"/>
        <w:rPr>
          <w:rFonts w:ascii="Segoe UI" w:eastAsia="Times New Roman" w:hAnsi="Segoe UI" w:cs="Segoe UI"/>
          <w:sz w:val="18"/>
          <w:szCs w:val="18"/>
        </w:rPr>
      </w:pPr>
      <w:r>
        <w:rPr>
          <w:rFonts w:ascii="Times New Roman" w:hAnsi="Times New Roman"/>
          <w:sz w:val="24"/>
        </w:rPr>
        <w:t>Cette résolution a été motivée par cinq grandes questions dans le domaine de l’aide humanitaire. Premièrement, le déficit de financement persistant et la difficulté d’y remédier au niveau de l’UE et au niveau mondial. Le Parlement européen plaide fermement en faveur d’une augmentation significative des budgets humanitaires, conformément aux conclusions du Conseil de mai 2023, qui fixent comme objectif indicatif 10 % de l’aide publique au développement (APD) des États membres. Le Parlement européen sensibilise à la nécessité d’améliorer la répartition des charges en exploitant mieux le potentiel des donateurs internationaux qui reste inexploité et en incitant certains États membres à contribuer davantage. La présente résolution s’appuie sur une résolution précédente [PA_TA(2021)0505] appelant à allouer une part fixe du revenu national brut (RNB) à l’aide humanitaire.</w:t>
      </w:r>
    </w:p>
    <w:p w14:paraId="4B37B4DD" w14:textId="6363D3A9"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 xml:space="preserve">Deuxièmement, le Parlement souligne dans la résolution que le triple lien constitue un levier particulièrement pertinent pour s’attaquer aux facteurs des crises complexes et prolongées. Le Parlement européen explique que le soutien à la transition et la coordination institutionnelle sont insuffisants. Il insiste sur la nécessité d’un financement spécifique au lien et d’une plus grande coordination institutionnelle pour que cette approche se concrétise, notamment par une mobilisation plus large du pilier «réaction rapide» de l’instrument de voisinage, de coopération au développement et de coopération internationale — Europe dans le monde (IVCDCI </w:t>
      </w:r>
      <w:r w:rsidR="00D4344B">
        <w:rPr>
          <w:rFonts w:ascii="Times New Roman" w:hAnsi="Times New Roman"/>
          <w:sz w:val="24"/>
        </w:rPr>
        <w:t>—</w:t>
      </w:r>
      <w:r>
        <w:rPr>
          <w:rFonts w:ascii="Times New Roman" w:hAnsi="Times New Roman"/>
          <w:sz w:val="24"/>
        </w:rPr>
        <w:t xml:space="preserve"> Europe dans le monde). Troisièmement, le Parlement européen souligne les répercussions considérables et aggravant du changement climatique sur les besoins humanitaires mondiaux. Il souligne la nécessité de renforcer le financement de la lutte contre le changement climatique afin d’investir dans les domaines de la prévention et de l’atténuation, conformément à l’engagement selon lequel ces dépenses devraient représenter 30 % de l’enveloppe de l’IVCDCI </w:t>
      </w:r>
      <w:r w:rsidR="00D4344B">
        <w:rPr>
          <w:rFonts w:ascii="Times New Roman" w:hAnsi="Times New Roman"/>
          <w:sz w:val="24"/>
        </w:rPr>
        <w:t>—</w:t>
      </w:r>
      <w:r>
        <w:rPr>
          <w:rFonts w:ascii="Times New Roman" w:hAnsi="Times New Roman"/>
          <w:sz w:val="24"/>
        </w:rPr>
        <w:t xml:space="preserve"> Europe dans le monde, dans le cadre des objectifs de justice climatique. Il souligne également la valeur ajoutée du regroupement et du soutien aux capacités locales.</w:t>
      </w:r>
    </w:p>
    <w:p w14:paraId="65AC7E13" w14:textId="1119419A" w:rsidR="007D6EB7"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 xml:space="preserve">Quatrièmement, le Parlement européen a regroupé un certain nombre de points dans le cadre d’une «approche centrée sur les personnes», fondée sur les politiques en matière de développement durable — la résilience et l’autonomie étant les objectifs fondamentaux. Les questions liées à l’éducation, y compris dans les situations d’urgence, à la protection, à l’égalité entre les hommes et les femmes, aux minorités, aux déplacés internes (PDI), entre autres, doivent être abordées tout en tirant parti des capacités locales. La résolution montre la manière dont les problématiques et les besoins s’accentuent dans les crises oubliées. </w:t>
      </w:r>
    </w:p>
    <w:p w14:paraId="33226D5C" w14:textId="4CAC0E31" w:rsidR="00CE6719" w:rsidRPr="001D3549" w:rsidRDefault="00CE6719" w:rsidP="007E4704">
      <w:pPr>
        <w:spacing w:after="120" w:line="240" w:lineRule="auto"/>
        <w:jc w:val="both"/>
        <w:textAlignment w:val="baseline"/>
        <w:rPr>
          <w:rFonts w:ascii="Segoe UI" w:eastAsia="Times New Roman" w:hAnsi="Segoe UI" w:cs="Segoe UI"/>
          <w:sz w:val="18"/>
          <w:szCs w:val="18"/>
        </w:rPr>
      </w:pPr>
      <w:r>
        <w:rPr>
          <w:rFonts w:ascii="Times New Roman" w:hAnsi="Times New Roman"/>
          <w:sz w:val="24"/>
        </w:rPr>
        <w:t xml:space="preserve">Cinquièmement, la résolution s’attaque à la nécessité pressante de renforcer le respect du droit international humanitaire (DIH) et appelle à étudier plusieurs solutions pour la mise en place </w:t>
      </w:r>
      <w:r>
        <w:rPr>
          <w:rFonts w:ascii="Times New Roman" w:hAnsi="Times New Roman"/>
          <w:sz w:val="24"/>
        </w:rPr>
        <w:lastRenderedPageBreak/>
        <w:t>d’un environnement plus propice. Il s’agirait notamment d’élaborer une stratégie de diplomatie humanitaire et d’établir un cadre d’indemnisation pour les victimes de violations du DIH. Le Parlement européen dénonce le recours à des tactiques d’affamement, les attaques de plus en plus nombreuses contre les civils, le personnel médical et humanitaire et les structures, ainsi que la nécessité de les protéger. Il demande l’adoption d’exemptions humanitaires permanentes dans les régimes de sanctions autonomes de l’UE. La résolution conclut sur le rôle et la responsabilité des médias dans la gestion des crises oubliées et souligne d’éventuelles mesures correctives. </w:t>
      </w:r>
    </w:p>
    <w:p w14:paraId="0C002B8C" w14:textId="6B62C796" w:rsidR="00AA2845" w:rsidRPr="001D3549" w:rsidRDefault="00CE6719" w:rsidP="007E4704">
      <w:pPr>
        <w:numPr>
          <w:ilvl w:val="0"/>
          <w:numId w:val="7"/>
        </w:numPr>
        <w:spacing w:after="240" w:line="240" w:lineRule="auto"/>
        <w:ind w:left="567" w:hanging="567"/>
        <w:jc w:val="both"/>
        <w:textAlignment w:val="baseline"/>
        <w:rPr>
          <w:rFonts w:ascii="Times New Roman" w:eastAsia="Times New Roman" w:hAnsi="Times New Roman" w:cs="Times New Roman"/>
          <w:b/>
          <w:bCs/>
          <w:i/>
          <w:iCs/>
          <w:sz w:val="24"/>
          <w:szCs w:val="24"/>
        </w:rPr>
      </w:pPr>
      <w:r>
        <w:rPr>
          <w:rFonts w:ascii="Times New Roman" w:hAnsi="Times New Roman"/>
          <w:b/>
          <w:sz w:val="24"/>
        </w:rPr>
        <w:t>Réponse aux demandes et aperçu des mesures que la Commission a prises ou envisage de prendre:</w:t>
      </w:r>
    </w:p>
    <w:p w14:paraId="3AF3E3B1" w14:textId="2F79E7A0" w:rsidR="00CE6719" w:rsidRPr="001D3549" w:rsidRDefault="00CE6719" w:rsidP="007E4704">
      <w:pPr>
        <w:spacing w:after="120" w:line="240" w:lineRule="auto"/>
        <w:textAlignment w:val="baseline"/>
        <w:rPr>
          <w:rFonts w:ascii="Times New Roman" w:eastAsia="Times New Roman" w:hAnsi="Times New Roman" w:cs="Times New Roman"/>
          <w:b/>
          <w:bCs/>
          <w:i/>
          <w:iCs/>
          <w:sz w:val="24"/>
          <w:szCs w:val="24"/>
        </w:rPr>
      </w:pPr>
      <w:r>
        <w:rPr>
          <w:rFonts w:ascii="Times New Roman" w:hAnsi="Times New Roman"/>
          <w:b/>
          <w:i/>
          <w:sz w:val="24"/>
        </w:rPr>
        <w:t>Financement</w:t>
      </w:r>
    </w:p>
    <w:p w14:paraId="1EF787A6" w14:textId="2B5C172D" w:rsidR="0018394A" w:rsidRPr="001D3549" w:rsidRDefault="0018394A" w:rsidP="007E4704">
      <w:pPr>
        <w:spacing w:after="120" w:line="240" w:lineRule="auto"/>
        <w:textAlignment w:val="baseline"/>
        <w:rPr>
          <w:rFonts w:ascii="Times New Roman" w:eastAsia="Times New Roman" w:hAnsi="Times New Roman" w:cs="Times New Roman"/>
          <w:b/>
          <w:bCs/>
          <w:sz w:val="24"/>
          <w:szCs w:val="24"/>
        </w:rPr>
      </w:pPr>
      <w:r>
        <w:rPr>
          <w:rFonts w:ascii="Times New Roman" w:hAnsi="Times New Roman"/>
          <w:b/>
          <w:sz w:val="24"/>
        </w:rPr>
        <w:t>Paragraphes 1, 2 et 3</w:t>
      </w:r>
    </w:p>
    <w:p w14:paraId="380783C3" w14:textId="2534E842" w:rsidR="00AA2845"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La Commission a noué un dialogue avec les États membres sur la manière de parvenir à un financement humanitaire supplémentaire et plus équilibré au sein de l’UE et au-delà. Dans ce contexte, le Conseil des affaires étrangères (CAE) a adopté, le 22 mai 2023, des conclusions du Conseil sur les mesures à prendre pour combler le déficit de financement humanitaire, assorties d’engagements spécifiques visant à mobiliser davantage de ressources, à améliorer les performances et à réduire les besoins. Le Conseil a réaffirmé l’engagement collectif de l’UE de consacrer au moins 0,7 % du RNB collectif à l’aide publique au développement d’ici à 2030 et a encouragé les États membres à «poursuivre leurs efforts pour combler le déficit de financement humanitaire en contribuant à la hauteur de leurs moyens financiers et en veillant à ce qu’une part appropriée, par exemple 10 %, de leur APD soit consacrée à l’action humanitaire, en fonction des besoins humanitaires existants». Le CAE a également adopté une approche commune de l’UE en matière d’actions stratégiques de sensibilisation des donateurs humanitaires émergents et potentiels, visant à élargir la base de donateurs ainsi qu’à encourager un nombre accru de donateurs émergents et nouveaux à contribuer activement au système humanitaire coordonné par les Nations unies.</w:t>
      </w:r>
    </w:p>
    <w:p w14:paraId="61019C27" w14:textId="3454FEE7"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Dans ce contexte, plusieurs États membres ont considérablement augmenté leur financement depuis 2021, en partie, mais pas seulement, pour faire face aux conséquences de la guerre en Ukraine. Dans un contexte de pression budgétaire dans de nombreux États membres et compte tenu des répercussions de la guerre d’agression menée par la Russie contre l’Ukraine, cet effort est louable et reflète une reconnaissance commune de l’importance de l’aide humanitaire dans l’actualité géopolitique troublée d’aujourd’hui. Toutefois, il est clair que l’augmentation du volume mondial du financement humanitaire a pris du retard par rapport à l’augmentation spectaculaire des besoins, et que la répartition des responsabilités en matière de contribution à l’action humanitaire dans le monde continue d’être inégale. Une comparaison des dépenses humanitaires avec le revenu national brut montre que seuls quelques États fournissent un financement humanitaire d’un niveau proportionnel à leurs moyens financiers.</w:t>
      </w:r>
    </w:p>
    <w:p w14:paraId="1D261A7E" w14:textId="16DA8C9B" w:rsidR="0018394A" w:rsidRPr="001D3549" w:rsidRDefault="0018394A" w:rsidP="007E4704">
      <w:pPr>
        <w:spacing w:after="120" w:line="240" w:lineRule="auto"/>
        <w:textAlignment w:val="baseline"/>
        <w:rPr>
          <w:rFonts w:ascii="Times New Roman" w:eastAsia="Times New Roman" w:hAnsi="Times New Roman" w:cs="Times New Roman"/>
          <w:b/>
          <w:bCs/>
          <w:sz w:val="24"/>
          <w:szCs w:val="24"/>
        </w:rPr>
      </w:pPr>
      <w:r>
        <w:rPr>
          <w:rFonts w:ascii="Times New Roman" w:hAnsi="Times New Roman"/>
          <w:b/>
          <w:sz w:val="24"/>
        </w:rPr>
        <w:t>Paragraphe 4</w:t>
      </w:r>
    </w:p>
    <w:p w14:paraId="0C96F94D" w14:textId="1B68C80F" w:rsidR="00CE6719" w:rsidRPr="001D3549" w:rsidRDefault="0018394A"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b/>
          <w:bCs/>
          <w:sz w:val="24"/>
        </w:rPr>
        <w:t>Fonds européen pour le développement durable</w:t>
      </w:r>
      <w:r>
        <w:rPr>
          <w:rFonts w:ascii="Times New Roman" w:hAnsi="Times New Roman"/>
          <w:sz w:val="24"/>
        </w:rPr>
        <w:t xml:space="preserve">: </w:t>
      </w:r>
      <w:r w:rsidR="00E362C8">
        <w:rPr>
          <w:rFonts w:ascii="Times New Roman" w:hAnsi="Times New Roman"/>
          <w:sz w:val="24"/>
        </w:rPr>
        <w:t>l</w:t>
      </w:r>
      <w:r>
        <w:rPr>
          <w:rFonts w:ascii="Times New Roman" w:hAnsi="Times New Roman"/>
          <w:sz w:val="24"/>
        </w:rPr>
        <w:t>a Commission fournira des informations sur l’initiative relative aux projets pilotes de financement mixte, avec une mise à jour sur les incidences de l’initiative.</w:t>
      </w:r>
    </w:p>
    <w:p w14:paraId="2B083B12" w14:textId="1A4647A6" w:rsidR="00CE6719" w:rsidRPr="001D3549" w:rsidRDefault="0018394A" w:rsidP="007E4704">
      <w:pPr>
        <w:spacing w:after="120" w:line="240" w:lineRule="auto"/>
        <w:textAlignment w:val="baseline"/>
        <w:rPr>
          <w:rFonts w:ascii="Times New Roman" w:eastAsia="Times New Roman" w:hAnsi="Times New Roman" w:cs="Times New Roman"/>
          <w:sz w:val="24"/>
          <w:szCs w:val="24"/>
        </w:rPr>
      </w:pPr>
      <w:r>
        <w:rPr>
          <w:rFonts w:ascii="Times New Roman" w:hAnsi="Times New Roman"/>
          <w:b/>
          <w:sz w:val="24"/>
        </w:rPr>
        <w:t>Paragraphe 5</w:t>
      </w:r>
    </w:p>
    <w:p w14:paraId="2088CA2C" w14:textId="41DBB7BC" w:rsidR="00CE6719" w:rsidRPr="001D3549" w:rsidRDefault="0018394A"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b/>
          <w:sz w:val="24"/>
        </w:rPr>
        <w:t xml:space="preserve">Rapports: </w:t>
      </w:r>
      <w:r w:rsidR="00E362C8">
        <w:rPr>
          <w:rFonts w:ascii="Times New Roman" w:hAnsi="Times New Roman"/>
          <w:sz w:val="24"/>
        </w:rPr>
        <w:t>l</w:t>
      </w:r>
      <w:r>
        <w:rPr>
          <w:rFonts w:ascii="Times New Roman" w:hAnsi="Times New Roman"/>
          <w:sz w:val="24"/>
        </w:rPr>
        <w:t xml:space="preserve">a Commission est déterminée à continuer de rendre compte de l’exécution de son budget d’aide humanitaire et publie régulièrement des informations détaillées sur l’utilisation </w:t>
      </w:r>
      <w:r>
        <w:rPr>
          <w:rFonts w:ascii="Times New Roman" w:hAnsi="Times New Roman"/>
          <w:sz w:val="24"/>
        </w:rPr>
        <w:lastRenderedPageBreak/>
        <w:t>de ses fonds sur son site web et dans son rapport annuel d’activité. En outre, elle rend compte régulièrement de ses activités dans un certain nombre de bases de données internationales, telles que l’initiative internationale pour la transparence de l’aide, et participe à des exercices de transparence où elle obtient de bonnes notes.</w:t>
      </w:r>
    </w:p>
    <w:p w14:paraId="6D84B056" w14:textId="7C8C6DD6" w:rsidR="0018394A" w:rsidRPr="001D3549" w:rsidRDefault="0018394A" w:rsidP="007E4704">
      <w:pPr>
        <w:spacing w:after="120" w:line="240" w:lineRule="auto"/>
        <w:textAlignment w:val="baseline"/>
        <w:rPr>
          <w:rFonts w:ascii="Times New Roman" w:eastAsia="Times New Roman" w:hAnsi="Times New Roman" w:cs="Times New Roman"/>
          <w:b/>
          <w:bCs/>
          <w:sz w:val="24"/>
          <w:szCs w:val="24"/>
        </w:rPr>
      </w:pPr>
      <w:r>
        <w:rPr>
          <w:rFonts w:ascii="Times New Roman" w:hAnsi="Times New Roman"/>
          <w:b/>
          <w:sz w:val="24"/>
        </w:rPr>
        <w:t>Paragraphe 6</w:t>
      </w:r>
    </w:p>
    <w:p w14:paraId="3CD1E127" w14:textId="02924360" w:rsidR="00CE6719" w:rsidRPr="001D3549" w:rsidRDefault="00EE0C24"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b/>
          <w:sz w:val="24"/>
        </w:rPr>
        <w:t xml:space="preserve">Financement innovant: </w:t>
      </w:r>
      <w:r w:rsidR="00E362C8">
        <w:rPr>
          <w:rFonts w:ascii="Times New Roman" w:hAnsi="Times New Roman"/>
          <w:sz w:val="24"/>
        </w:rPr>
        <w:t>c</w:t>
      </w:r>
      <w:r>
        <w:rPr>
          <w:rFonts w:ascii="Times New Roman" w:hAnsi="Times New Roman"/>
          <w:sz w:val="24"/>
        </w:rPr>
        <w:t>omme indiqué au paragraphe 4, la Commission réfléchira, d’ici juin 2024, à l’incidence de ses projets pilotes en matière de financement innovant, qui constituent l’activité clé en termes d’engagement du secteur privé. Cela guidera tout engagement ultérieur dans ce domaine et le Parlement européen sera tenu informé. D’une manière générale, la Commission ne promeut que des partenariats qui respectent les principes humanitaires internationaux, les normes environnementales, sociales et relatives aux droits de l’homme, ainsi que l’obligation de rendre des comptes aux populations touchées. Cela est garanti en concluant des contrats uniquement avec des organisations partenaires qui sont légalement tenues de respecter ces principes.</w:t>
      </w:r>
    </w:p>
    <w:p w14:paraId="4883E469" w14:textId="715DEFB9" w:rsidR="00CE6719" w:rsidRPr="001D3549" w:rsidRDefault="00CE6719" w:rsidP="007E4704">
      <w:pPr>
        <w:spacing w:after="120" w:line="240" w:lineRule="auto"/>
        <w:textAlignment w:val="baseline"/>
        <w:rPr>
          <w:rFonts w:ascii="Times New Roman" w:eastAsia="Times New Roman" w:hAnsi="Times New Roman" w:cs="Times New Roman"/>
          <w:b/>
          <w:bCs/>
          <w:sz w:val="24"/>
          <w:szCs w:val="24"/>
        </w:rPr>
      </w:pPr>
      <w:r>
        <w:rPr>
          <w:rFonts w:ascii="Times New Roman" w:hAnsi="Times New Roman"/>
          <w:b/>
          <w:sz w:val="24"/>
        </w:rPr>
        <w:t>Paragraphes 7, 8 et 9</w:t>
      </w:r>
    </w:p>
    <w:p w14:paraId="1F3D9B07" w14:textId="77F2D6D0" w:rsidR="00CE6719" w:rsidRPr="001D3549" w:rsidRDefault="0018394A" w:rsidP="007E4704">
      <w:pPr>
        <w:spacing w:after="120" w:line="240" w:lineRule="auto"/>
        <w:jc w:val="both"/>
        <w:textAlignment w:val="baseline"/>
        <w:rPr>
          <w:rFonts w:ascii="Times New Roman" w:eastAsia="Times New Roman" w:hAnsi="Times New Roman" w:cs="Times New Roman"/>
          <w:strike/>
          <w:sz w:val="24"/>
          <w:szCs w:val="24"/>
        </w:rPr>
      </w:pPr>
      <w:r>
        <w:rPr>
          <w:rFonts w:ascii="Times New Roman" w:hAnsi="Times New Roman"/>
          <w:b/>
          <w:sz w:val="24"/>
        </w:rPr>
        <w:t xml:space="preserve">Budget humanitaire: </w:t>
      </w:r>
      <w:r w:rsidR="00E362C8">
        <w:rPr>
          <w:rFonts w:ascii="Times New Roman" w:hAnsi="Times New Roman"/>
          <w:sz w:val="24"/>
        </w:rPr>
        <w:t>l</w:t>
      </w:r>
      <w:r>
        <w:rPr>
          <w:rFonts w:ascii="Times New Roman" w:hAnsi="Times New Roman"/>
          <w:sz w:val="24"/>
        </w:rPr>
        <w:t>a Commission prend acte du soutien du Parlement en faveur d’une augmentation substantielle du budget de l’aide humanitaire afin de répondre aux besoins du nouveau paysage humanitaire pour le reste du cadre financier pluriannuel (CFP). L’aide humanitaire restera néanmoins l’un des instruments de l’action extérieure de l’UE les plus soumis à la pression.</w:t>
      </w:r>
    </w:p>
    <w:p w14:paraId="2185228D" w14:textId="573A341F" w:rsidR="00CE6719" w:rsidRPr="001D3549" w:rsidRDefault="008E5947"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Grâce à la réserve de solidarité et d’aide d’urgence, le budget d’aide humanitaire de l’UE a pu faire face aux catastrophes naturelles majeures et aux crises de santé publique tant à l’intérieur qu’à l’extérieur de l’UE, mais elle a été loin d’être suffisante pour répondre à toutes les demandes. Afin de fournir un financement adéquat, la réserve de solidarité et d’aide d’urgence devrait être renforcée pour permettre à la Commission de faire face aux crises et aux situations d’urgence. Un budget annuel solide pour l’aide humanitaire de l’UE est essentiel pour garantir un financement rapide, prévisible et souple, en particulier pour les crises en dehors de l’UE.</w:t>
      </w:r>
    </w:p>
    <w:p w14:paraId="77B621BC" w14:textId="7884081F" w:rsidR="00CE6719" w:rsidRPr="001D3549" w:rsidRDefault="007317AE"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La Commission réaffirme son engagement en faveur des crises oubliées et son engagement visant à ne laisser personne de côté. Les dotations financières sont effectuées conformément aux principes humanitaires et selon une approche fondée sur les besoins. Il s’agit des principes fondamentaux qui guident toujours la Commission dans l’allocation des fonds humanitaires. Réagir aux crises oubliées et moins visibles reste une priorité absolue pour la Commission.</w:t>
      </w:r>
    </w:p>
    <w:p w14:paraId="5CE33E10" w14:textId="15377D94" w:rsidR="0018394A" w:rsidRPr="001D3549" w:rsidRDefault="0018394A" w:rsidP="007E4704">
      <w:pPr>
        <w:spacing w:after="120" w:line="240" w:lineRule="auto"/>
        <w:textAlignment w:val="baseline"/>
        <w:rPr>
          <w:rFonts w:ascii="Times New Roman" w:eastAsia="Times New Roman" w:hAnsi="Times New Roman" w:cs="Times New Roman"/>
          <w:b/>
          <w:bCs/>
          <w:sz w:val="24"/>
          <w:szCs w:val="24"/>
        </w:rPr>
      </w:pPr>
      <w:r>
        <w:rPr>
          <w:rFonts w:ascii="Times New Roman" w:hAnsi="Times New Roman"/>
          <w:b/>
          <w:sz w:val="24"/>
        </w:rPr>
        <w:t>Paragraphe 10</w:t>
      </w:r>
    </w:p>
    <w:p w14:paraId="7D0E5AA6" w14:textId="2751409C" w:rsidR="00181AC7" w:rsidRPr="001D3549" w:rsidRDefault="00DE6F31" w:rsidP="007E4704">
      <w:pPr>
        <w:spacing w:after="120" w:line="240" w:lineRule="auto"/>
        <w:jc w:val="both"/>
        <w:textAlignment w:val="baseline"/>
        <w:rPr>
          <w:rFonts w:ascii="Times New Roman" w:hAnsi="Times New Roman" w:cs="Times New Roman"/>
          <w:sz w:val="24"/>
          <w:szCs w:val="24"/>
        </w:rPr>
      </w:pPr>
      <w:r>
        <w:rPr>
          <w:rFonts w:ascii="Times New Roman" w:hAnsi="Times New Roman"/>
          <w:b/>
          <w:sz w:val="24"/>
        </w:rPr>
        <w:t xml:space="preserve">Mesures d’anticipation: </w:t>
      </w:r>
      <w:r w:rsidR="00E362C8">
        <w:rPr>
          <w:rFonts w:ascii="Times New Roman" w:hAnsi="Times New Roman"/>
          <w:sz w:val="24"/>
        </w:rPr>
        <w:t>l</w:t>
      </w:r>
      <w:r>
        <w:rPr>
          <w:rFonts w:ascii="Times New Roman" w:hAnsi="Times New Roman"/>
          <w:sz w:val="24"/>
        </w:rPr>
        <w:t>a Commission a élaboré une feuille de route en vue de renforcer encore les mesures d’anticipation dans le domaine de l’aide humanitaire. Conformément à cette feuille de route, de nouvelles initiatives sont en phase d’essai. Une étude approfondie sera réalisée à l’issue de ces initiatives pilotes en vue d’élaborer une stratégie à long terme en matière de mesures d’anticipation.</w:t>
      </w:r>
    </w:p>
    <w:p w14:paraId="780AEFCA" w14:textId="15FCABA9"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 xml:space="preserve">Le réseau de systèmes d’alerte précoce contre la famine (FEWS NET) est un système d’alerte mené sous l’égide des États-Unis, financé par USAID. Le Parlement invite la Commission et les États membres à renforcer ce réseau au même titre que le </w:t>
      </w:r>
      <w:r>
        <w:rPr>
          <w:rStyle w:val="normaltextrun"/>
          <w:rFonts w:ascii="Times New Roman" w:hAnsi="Times New Roman"/>
          <w:color w:val="000000"/>
          <w:sz w:val="24"/>
          <w:bdr w:val="none" w:sz="0" w:space="0" w:color="auto" w:frame="1"/>
        </w:rPr>
        <w:t>cadre intégré de classification de la sécurité alimentaire</w:t>
      </w:r>
      <w:r>
        <w:rPr>
          <w:rFonts w:ascii="Times New Roman" w:hAnsi="Times New Roman"/>
          <w:sz w:val="24"/>
        </w:rPr>
        <w:t xml:space="preserve"> (IPC), qui est plus global et constitue la principale référence pour l’UE. La Commission est d’avis que le renforcement de l’IPC est une priorité essentielle pour renforcer la réponse à l’insécurité alimentaire.</w:t>
      </w:r>
    </w:p>
    <w:p w14:paraId="4A61E5EC" w14:textId="5A3418E0" w:rsidR="00CE6719" w:rsidRPr="001D3549" w:rsidRDefault="00CE6719" w:rsidP="007E4704">
      <w:pPr>
        <w:spacing w:after="120" w:line="240" w:lineRule="auto"/>
        <w:jc w:val="both"/>
        <w:textAlignment w:val="baseline"/>
        <w:rPr>
          <w:rFonts w:ascii="Times New Roman" w:eastAsia="Times New Roman" w:hAnsi="Times New Roman" w:cs="Times New Roman"/>
          <w:b/>
          <w:bCs/>
          <w:sz w:val="24"/>
          <w:szCs w:val="24"/>
        </w:rPr>
      </w:pPr>
      <w:r>
        <w:rPr>
          <w:rFonts w:ascii="Times New Roman" w:hAnsi="Times New Roman"/>
          <w:b/>
          <w:sz w:val="24"/>
        </w:rPr>
        <w:lastRenderedPageBreak/>
        <w:t>Paragraphes 11 et 12</w:t>
      </w:r>
    </w:p>
    <w:p w14:paraId="49619AD5" w14:textId="7263EB99" w:rsidR="00CE6719" w:rsidRPr="001D3549" w:rsidRDefault="00DE6F31"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b/>
          <w:sz w:val="24"/>
        </w:rPr>
        <w:t xml:space="preserve">Financement humanitaire de qualité: </w:t>
      </w:r>
      <w:r w:rsidR="00E362C8">
        <w:rPr>
          <w:rFonts w:ascii="Times New Roman" w:hAnsi="Times New Roman"/>
          <w:sz w:val="24"/>
        </w:rPr>
        <w:t>l</w:t>
      </w:r>
      <w:r>
        <w:rPr>
          <w:rFonts w:ascii="Times New Roman" w:hAnsi="Times New Roman"/>
          <w:sz w:val="24"/>
        </w:rPr>
        <w:t>e site web de la Commission fournit de nombreuses informations sur le financement humanitaire, ainsi que sur le processus à suivre pour devenir un partenaire humanitaire. Il contient aussi des liens vers la plateforme plus large du système de transparence financière (STF) pour tous les financements de l’UE. En choisissant le programme «HUMA» ou «Aide humanitaire», on peut accéder non seulement aux montants nominaux, mais également à d’autres détails, y compris les noms des partenaires et les montants reçus par an.</w:t>
      </w:r>
    </w:p>
    <w:p w14:paraId="407DA84F" w14:textId="0926B99C" w:rsidR="00CE6719" w:rsidRPr="001D3549" w:rsidRDefault="00600B9B"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Conformément à l’engagement pris dans le cadre du «grand compromis» d’augmenter le financement pluriannuel de 30 % par rapport à 2021, la Commission a considérablement augmenté cette modalité de financement avant la fin de 2023. Les données définitives seront disponibles début 2024. En ce qui concerne la souplesse du financement, la Commission a augmenté les investissements dans le financement groupé par pays, ce qui contribue également à l’agenda de localisation. Après 2023, la Commission assurera un suivi continu de son financement pluriannuel afin de contribuer à la durabilité et à la viabilité du système humanitaire mondial.</w:t>
      </w:r>
    </w:p>
    <w:p w14:paraId="2FAEAAC1" w14:textId="4282853E"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En 2023, la Commission a contribué, avec d’autres signataires du «grand compromis», à négocier un accord politique visant à renforcer la transparence et la redevabilité du financement à l’égard des acteurs locaux et nationaux, en vue d’atteindre l’objectif mondial consistant à attribuer 25 % des fonds humanitaires à des acteurs locaux et nationaux de manière aussi directe que possible. En mars 2023, la Commission a adopté une note d’orientation intitulée «Promoting Equitable Partnerships with Local Responders in Humanitarian Settings» (Promouvoir des partenariats équitables avec les intervenants locaux dans les situations humanitaires) afin de renforcer encore l’agenda de localisation. Conformément à ces orientations et à l’engagement pris dans le cadre du «grand compromis», la Commission réexamine actuellement ses outils de suivi et d’établissement de rapports visant à mesurer le volume de financement en faveur des acteurs locaux et nationaux conformément aux définitions et à la méthodologie du «grand compromis».</w:t>
      </w:r>
    </w:p>
    <w:p w14:paraId="77A700FC" w14:textId="0EE93CF7" w:rsidR="00CE6719" w:rsidRPr="001D3549" w:rsidRDefault="00CE6719" w:rsidP="007E4704">
      <w:pPr>
        <w:spacing w:after="120" w:line="240" w:lineRule="auto"/>
        <w:textAlignment w:val="baseline"/>
        <w:rPr>
          <w:rFonts w:ascii="Times New Roman" w:eastAsia="Times New Roman" w:hAnsi="Times New Roman" w:cs="Times New Roman"/>
          <w:sz w:val="24"/>
          <w:szCs w:val="24"/>
        </w:rPr>
      </w:pPr>
      <w:r>
        <w:rPr>
          <w:rFonts w:ascii="Times New Roman" w:hAnsi="Times New Roman"/>
          <w:b/>
          <w:sz w:val="24"/>
        </w:rPr>
        <w:t>Paragraphe 13</w:t>
      </w:r>
    </w:p>
    <w:p w14:paraId="2A9DF12D" w14:textId="419B38EF" w:rsidR="00CE6719" w:rsidRPr="001D3549" w:rsidRDefault="00DE6F31"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b/>
          <w:bCs/>
          <w:sz w:val="24"/>
        </w:rPr>
        <w:t>Violence à caractère sexiste</w:t>
      </w:r>
      <w:r w:rsidR="00E362C8">
        <w:rPr>
          <w:rFonts w:ascii="Times New Roman" w:hAnsi="Times New Roman"/>
          <w:b/>
          <w:bCs/>
          <w:sz w:val="24"/>
        </w:rPr>
        <w:t>:</w:t>
      </w:r>
      <w:r>
        <w:rPr>
          <w:rFonts w:ascii="Times New Roman" w:hAnsi="Times New Roman"/>
          <w:b/>
          <w:sz w:val="24"/>
        </w:rPr>
        <w:t xml:space="preserve"> </w:t>
      </w:r>
      <w:r w:rsidR="00E362C8">
        <w:rPr>
          <w:rFonts w:ascii="Times New Roman" w:hAnsi="Times New Roman"/>
          <w:sz w:val="24"/>
        </w:rPr>
        <w:t>l</w:t>
      </w:r>
      <w:r>
        <w:rPr>
          <w:rFonts w:ascii="Times New Roman" w:hAnsi="Times New Roman"/>
          <w:sz w:val="24"/>
        </w:rPr>
        <w:t>a lutte contre la violence à caractère sexiste est l’une des principales priorités de l’UE et de ses opérations humanitaires. En 2022, plus de 41 millions d’EUR du budget humanitaire de l’UE ont été alloués à des projets visant à lutter contre la violence sexiste dans les situations d’urgence et 23,4 millions d’EUR à la santé sexuelle et génésique dans les situations de crise.</w:t>
      </w:r>
    </w:p>
    <w:p w14:paraId="73D8E6F6" w14:textId="7B6EF4B9" w:rsidR="009363AB"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La Commission reste également déterminée à ce que l’aide humanitaire de l’UE tienne compte de la dimension de genre. Ces dernières années, plus de 90 % des projets humanitaires financés par l’UE tenaient compte de la dimension de genre. Par ailleurs, la Commission s’est engagée à veiller à ce qu’au moins la moitié des bénéficiaires des programmes d’éducation financés par l’UE dans les situations d’urgence soient des filles. La Commission est également déterminée à soutenir des partenariats avec des organisations menées par des femmes, y compris des organisations locales, notamment pour soutenir l’autonomisation des femmes dans les contextes humanitaires.</w:t>
      </w:r>
    </w:p>
    <w:p w14:paraId="04143FF5" w14:textId="6399C295" w:rsidR="00CE6719" w:rsidRPr="001D3549" w:rsidRDefault="00345C6B"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 xml:space="preserve">La Commission reste déterminée à soutenir les actions de sensibilisation sur tout ce qui précède, notamment en continuant à participer à l’appel à l’action pour la protection contre la violence sexiste dans les situations d’urgence, par son engagement en faveur de l’égalité entre les hommes et les femmes au Forum mondial sur les réfugiés et au Forum humanitaire </w:t>
      </w:r>
      <w:r>
        <w:rPr>
          <w:rFonts w:ascii="Times New Roman" w:hAnsi="Times New Roman"/>
          <w:sz w:val="24"/>
        </w:rPr>
        <w:lastRenderedPageBreak/>
        <w:t>européen qui se tiendra en mars 2024, où la question de la violence à caractère sexiste sera un élément clé des discussions.</w:t>
      </w:r>
    </w:p>
    <w:p w14:paraId="20EA629D" w14:textId="6F8F1B4D" w:rsidR="00DE6F31" w:rsidRPr="001D3549" w:rsidRDefault="00CE6719" w:rsidP="007E4704">
      <w:pPr>
        <w:spacing w:after="120" w:line="240" w:lineRule="auto"/>
        <w:textAlignment w:val="baseline"/>
        <w:rPr>
          <w:rFonts w:ascii="Times New Roman" w:eastAsia="Times New Roman" w:hAnsi="Times New Roman" w:cs="Times New Roman"/>
          <w:b/>
          <w:bCs/>
          <w:i/>
          <w:iCs/>
          <w:sz w:val="24"/>
          <w:szCs w:val="24"/>
        </w:rPr>
      </w:pPr>
      <w:r>
        <w:rPr>
          <w:rFonts w:ascii="Times New Roman" w:hAnsi="Times New Roman"/>
          <w:b/>
          <w:i/>
          <w:sz w:val="24"/>
        </w:rPr>
        <w:t>Le triple lien</w:t>
      </w:r>
    </w:p>
    <w:p w14:paraId="3552CB90" w14:textId="3F2AE6A8" w:rsidR="00CE6719" w:rsidRPr="001D3549" w:rsidRDefault="00CE6719" w:rsidP="007E4704">
      <w:pPr>
        <w:spacing w:after="120" w:line="240" w:lineRule="auto"/>
        <w:textAlignment w:val="baseline"/>
        <w:rPr>
          <w:rFonts w:ascii="Times New Roman" w:eastAsia="Times New Roman" w:hAnsi="Times New Roman" w:cs="Times New Roman"/>
          <w:sz w:val="24"/>
          <w:szCs w:val="24"/>
        </w:rPr>
      </w:pPr>
      <w:r>
        <w:rPr>
          <w:rFonts w:ascii="Times New Roman" w:hAnsi="Times New Roman"/>
          <w:b/>
          <w:sz w:val="24"/>
        </w:rPr>
        <w:t>Paragraphes 14, 15 et 16</w:t>
      </w:r>
    </w:p>
    <w:p w14:paraId="26D9F308" w14:textId="589AF68E"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La Commission partage l’appréciation selon laquelle la mise en œuvre du triple lien joue un rôle central dans les contextes de crise et souhaiterait qu’une attention accrue soit accordée aux actions visant à développer cette approche. Les instruments mis en évidence dans la résolution, tels que les évaluations, les analyses et les planifications conjointes, sont en effet essentiels pour garantir une mise en œuvre adaptée au contexte sur le terrain. La Commission réfléchit à la meilleure manière de mettre en œuvre les recommandations de l’étude citée dans la résolution. En outre, elle se félicite de la possibilité de collaborer plus étroitement avec les États membres pour définir des objectifs communs en vue de la future mise en œuvre du triple lien. Dans le cadre de ces engagements, la Commission insiste sur l’importance accrue accordée à la prévention et à l’action précoce par la mise en œuvre du lien afin d’éviter qu’une aide humanitaire soit nécessaire.</w:t>
      </w:r>
    </w:p>
    <w:p w14:paraId="349546B5" w14:textId="74F54FD9" w:rsidR="00DE6F31" w:rsidRPr="001D3549" w:rsidRDefault="00CE6719" w:rsidP="007E4704">
      <w:pPr>
        <w:spacing w:after="120" w:line="240" w:lineRule="auto"/>
        <w:textAlignment w:val="baseline"/>
        <w:rPr>
          <w:rFonts w:ascii="Times New Roman" w:eastAsia="Times New Roman" w:hAnsi="Times New Roman" w:cs="Times New Roman"/>
          <w:b/>
          <w:bCs/>
          <w:i/>
          <w:iCs/>
          <w:sz w:val="24"/>
          <w:szCs w:val="24"/>
        </w:rPr>
      </w:pPr>
      <w:r>
        <w:rPr>
          <w:rFonts w:ascii="Times New Roman" w:hAnsi="Times New Roman"/>
          <w:b/>
          <w:i/>
          <w:sz w:val="24"/>
        </w:rPr>
        <w:t>Justice climatique</w:t>
      </w:r>
    </w:p>
    <w:p w14:paraId="559FB2A9" w14:textId="406D5390" w:rsidR="00CE6719" w:rsidRPr="001D3549" w:rsidRDefault="00CE6719" w:rsidP="007E4704">
      <w:pPr>
        <w:spacing w:after="120" w:line="240" w:lineRule="auto"/>
        <w:textAlignment w:val="baseline"/>
        <w:rPr>
          <w:rFonts w:ascii="Times New Roman" w:eastAsia="Times New Roman" w:hAnsi="Times New Roman" w:cs="Times New Roman"/>
          <w:sz w:val="24"/>
          <w:szCs w:val="24"/>
        </w:rPr>
      </w:pPr>
      <w:r>
        <w:rPr>
          <w:rFonts w:ascii="Times New Roman" w:hAnsi="Times New Roman"/>
          <w:b/>
          <w:sz w:val="24"/>
        </w:rPr>
        <w:t>Paragraphes 20 à 24</w:t>
      </w:r>
    </w:p>
    <w:p w14:paraId="5CC996EA" w14:textId="03160EEF"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La Commission souscrit à la position du Parlement selon laquelle le financement de la lutte contre le changement climatique doit être renforcé afin de prévenir et d’atténuer les effets alarmants du changement climatique sur les crises humanitaires et d’y faire face. Cet engagement est inscrit dans la communication de mars 2021 sur l’action humanitaire, dans laquelle la Commission s’est engagée à continuer de plaider pour que davantage de fonds en faveur du climat soient consacrés au renforcement de la résilience et de l’adaptation, ainsi qu’à renforcer les mesures d’anticipation. Afin de renforcer encore cet engagement, lors de la COP28, l’UE est devenue signataire de la déclaration sur le climat, l’aide d’urgence, le redressement et la paix, axée sur l’action pour le climat dans les contextes fragiles et touchés par des conflits, qui s’appuie sur un «ensemble de solutions» et la charte sur le financement pour la gestion des risques, en mettant l’accent sur le renforcement des mesures d’anticipation et du financement prédéfini.</w:t>
      </w:r>
    </w:p>
    <w:p w14:paraId="3CAF7789" w14:textId="145FCEC7"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La Commission consacre un montant croissant du budget humanitaire de l’UE à la préparation aux catastrophes (79,6 millions d’EUR pour 2024), avec quatre priorités mondiales pour des actions de préparation ciblées, à savoir: 1. des mesures d’anticipation et fondées sur les risques; 2. la préparation dans les situations de conflit et de fragilité; 3. le renforcement de la résilience climatique et environnementale des populations vulnérables; 4. la préparation urbaine.</w:t>
      </w:r>
    </w:p>
    <w:p w14:paraId="60C626D2" w14:textId="3D2B84E5"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Le premier rapport annuel sur l’état d’avancement de la mise en œuvre de la déclaration des donateurs sur le climat et l’environnement a été publié lors du Forum humanitaire européen 2023 et des réunions semestrielles ont lieu entre les signataires afin de suivre la mise en œuvre. L’UE a également apporté un soutien financier au secrétariat de la charte sur le climat et l’environnement pour les organisations humanitaires, annoncée lors de la COP28, ce qui a permis sa mise en place.</w:t>
      </w:r>
    </w:p>
    <w:p w14:paraId="2CCC3795" w14:textId="4841279F"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 xml:space="preserve">La Commission a progressé dans la mise en œuvre d’une réponse humanitaire plus verte en mettant en œuvre les exigences environnementales minimales applicables aux projets humanitaires, qui sont devenues obligatoires en 2023. Elle propose des formations et des orientations ciblées et a financé des projets spécifiques sur les solutions innovantes et le </w:t>
      </w:r>
      <w:r>
        <w:rPr>
          <w:rFonts w:ascii="Times New Roman" w:hAnsi="Times New Roman"/>
          <w:sz w:val="24"/>
        </w:rPr>
        <w:lastRenderedPageBreak/>
        <w:t>renforcement des capacités en vue de réduire l’empreinte environnementale de l’aide humanitaire de l’UE depuis 2020.</w:t>
      </w:r>
    </w:p>
    <w:p w14:paraId="7A62DE29" w14:textId="77777777" w:rsidR="004E5B97" w:rsidRPr="001D3549" w:rsidRDefault="00CE6719" w:rsidP="007E4704">
      <w:pPr>
        <w:spacing w:after="120" w:line="240" w:lineRule="auto"/>
        <w:textAlignment w:val="baseline"/>
        <w:rPr>
          <w:rFonts w:ascii="Times New Roman" w:eastAsia="Times New Roman" w:hAnsi="Times New Roman" w:cs="Times New Roman"/>
          <w:b/>
          <w:bCs/>
          <w:i/>
          <w:iCs/>
          <w:sz w:val="24"/>
          <w:szCs w:val="24"/>
        </w:rPr>
      </w:pPr>
      <w:r>
        <w:rPr>
          <w:rFonts w:ascii="Times New Roman" w:hAnsi="Times New Roman"/>
          <w:b/>
          <w:i/>
          <w:sz w:val="24"/>
        </w:rPr>
        <w:t>Une approche centrée sur l’humain</w:t>
      </w:r>
    </w:p>
    <w:p w14:paraId="1B2F2323" w14:textId="4EBA5BF2" w:rsidR="00CE6719" w:rsidRPr="001D3549" w:rsidRDefault="00CE6719" w:rsidP="007E4704">
      <w:pPr>
        <w:spacing w:after="120" w:line="240" w:lineRule="auto"/>
        <w:textAlignment w:val="baseline"/>
        <w:rPr>
          <w:rFonts w:ascii="Times New Roman" w:eastAsia="Times New Roman" w:hAnsi="Times New Roman" w:cs="Times New Roman"/>
          <w:sz w:val="24"/>
          <w:szCs w:val="24"/>
        </w:rPr>
      </w:pPr>
      <w:r>
        <w:rPr>
          <w:rFonts w:ascii="Times New Roman" w:hAnsi="Times New Roman"/>
          <w:b/>
          <w:sz w:val="24"/>
        </w:rPr>
        <w:t>Paragraphes 25 à 26</w:t>
      </w:r>
    </w:p>
    <w:p w14:paraId="234428B5" w14:textId="6910F769" w:rsidR="00B100A3"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En mars 2023, la Commission a adopté une note d’orientation intitulée «Promoting Equitable Partnerships with Local Responders in Humanitarian Settings» (Promouvoir des partenariats équitables avec les intervenants locaux dans les situations humanitaires) afin de renforcer l’agenda de localisation. Conformément à ces orientations et à l’engagement pris dans le cadre du «grand compromis», la Commission réexamine actuellement ses outils de suivi et d’établissement de rapports visant à mesurer le volume de financement en faveur des acteurs locaux et nationaux conformément aux définitions et à la méthodologie du «grand compromis».</w:t>
      </w:r>
    </w:p>
    <w:p w14:paraId="499A87A4" w14:textId="03C0DE4C"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La note d’orientation de la Commission sur la préparation aux catastrophes (2021) reconnaît qu’une action humanitaire efficace nécessite la participation des populations touchées et une obligation de leur rendre des comptes, et reconnaît que ces populations ont la capacité de gérer les risques auxquels elles sont confrontées. Les projets humanitaires doivent donc être centrés sur l’humain, en donnant la priorité à l’incidence sur la vie, les moyens de subsistance et la résilience des personnes et en veillant à ce que les mesures de préparation et de réaction répondent aux besoins de tous, sans barrières, afin que personne ne soit laissé pour compte.</w:t>
      </w:r>
    </w:p>
    <w:p w14:paraId="48527160" w14:textId="04FD9313" w:rsidR="00CE6719" w:rsidRPr="001D3549" w:rsidRDefault="00B100A3"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Dans le domaine de l’aide humanitaire, le financement de la Commission consacré à la préparation aux catastrophes donne la priorité aux investissements dans les systèmes d’alerte précoce, tels que le soutien au système communautaire d’alerte précoce en cas d’inondation (CFEWS) à Trinité-et-Tobago, le renforcement et la consolidation des capacités nationales et communautaires en vue d’une préparation et d’une réaction efficaces aux catastrophes au Lesotho, ou le renforcement des systèmes d’alerte précoce et des actions précoces fondées sur les prévisions pour les communautés d’accueil à Teknaf, au Bangladesh.</w:t>
      </w:r>
    </w:p>
    <w:p w14:paraId="72763629" w14:textId="07BBF08F"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bookmarkStart w:id="0" w:name="_Hlk155353422"/>
      <w:r>
        <w:rPr>
          <w:rFonts w:ascii="Times New Roman" w:hAnsi="Times New Roman"/>
          <w:sz w:val="24"/>
        </w:rPr>
        <w:t>Les systèmes d’alerte précoce au niveau communautaire bénéficient d’un soutien dans l’ensemble des quatre priorités mondiales de la Commission en matière de préparation aux catastrophes. Des systèmes d’alerte précoce efficaces sont un élément nécessaire de toute mesure d’anticipation fondée sur les risques. Il est essentiel de renforcer le lien entre les systèmes d’alerte précoce et l’analyse des risques pour le suivi et la coordination de la préparation et de la réaction aux catastrophes. </w:t>
      </w:r>
    </w:p>
    <w:bookmarkEnd w:id="0"/>
    <w:p w14:paraId="35EC9685" w14:textId="59699F58" w:rsidR="00CE6719" w:rsidRPr="001D3549" w:rsidRDefault="00CE6719" w:rsidP="007E4704">
      <w:pPr>
        <w:spacing w:after="120" w:line="240" w:lineRule="auto"/>
        <w:textAlignment w:val="baseline"/>
        <w:rPr>
          <w:rFonts w:ascii="Times New Roman" w:eastAsia="Times New Roman" w:hAnsi="Times New Roman" w:cs="Times New Roman"/>
          <w:sz w:val="24"/>
          <w:szCs w:val="24"/>
        </w:rPr>
      </w:pPr>
      <w:r>
        <w:rPr>
          <w:rFonts w:ascii="Times New Roman" w:hAnsi="Times New Roman"/>
          <w:b/>
          <w:sz w:val="24"/>
        </w:rPr>
        <w:t>Paragraphes 27 à 31</w:t>
      </w:r>
    </w:p>
    <w:p w14:paraId="6CDB1575" w14:textId="16BD3726" w:rsidR="00CE6719" w:rsidRPr="001D3549" w:rsidRDefault="004E5B97"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b/>
          <w:sz w:val="24"/>
        </w:rPr>
        <w:t xml:space="preserve">Protection: </w:t>
      </w:r>
      <w:r w:rsidR="00E362C8">
        <w:rPr>
          <w:rFonts w:ascii="Times New Roman" w:hAnsi="Times New Roman"/>
          <w:sz w:val="24"/>
        </w:rPr>
        <w:t>a</w:t>
      </w:r>
      <w:r>
        <w:rPr>
          <w:rFonts w:ascii="Times New Roman" w:hAnsi="Times New Roman"/>
          <w:sz w:val="24"/>
        </w:rPr>
        <w:t>ssurer la protection des populations touchées par des conflits en mettant l’accent sur les populations les plus vulnérables (rôle central de la protection) est l’un des principaux besoins dans de nombreux contextes humanitaires. L’objectif des interventions de protection financées par la Commission est de prévenir les risques et les conséquences de la violence, de la privation et des abus, de les réduire et d’y répondre. Cela passe par l’application des principes de protection, la promotion d’un accès satisfaisant à l’aide humanitaire, de la sécurité et de la dignité, de l’obligation de rendre des comptes, de la participation et de l’autonomisation de tous les groupes d’âge, tous sexes confondus, et représentant la diversité, dans tous les projets humanitaires et dans tous les secteurs d’activité. La Commission est également déterminée à remédier de manière globale aux vulnérabilités intersectionnelles.</w:t>
      </w:r>
    </w:p>
    <w:p w14:paraId="5C9B119A" w14:textId="07135D0C"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 xml:space="preserve">La protection des enfants, y compris contre les violences sexuelles et sexistes dans les situations d’urgence humanitaire, ainsi que la fourniture d’un accès aux services de base, y compris à l’éducation, sont au cœur de l’aide humanitaire de l’UE. La Commission a </w:t>
      </w:r>
      <w:r>
        <w:rPr>
          <w:rFonts w:ascii="Times New Roman" w:hAnsi="Times New Roman"/>
          <w:sz w:val="24"/>
        </w:rPr>
        <w:lastRenderedPageBreak/>
        <w:t>également fait une priorité de la prévention et de l’élimination des violations graves à l’encontre des enfants touchés par les conflits armés ainsi que de la réintégration effective de ces enfants. Elle reste déterminée à intensifier les actions de sensibilisation en promouvant le respect du droit international humanitaire. Dans ce contexte, la Commission a entrepris un processus de réexamen de ses orientations sur les enfants face aux conflits armés.</w:t>
      </w:r>
    </w:p>
    <w:p w14:paraId="3150CD8A" w14:textId="557DF083"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La Commission continue de plaider en faveur d’un investissement accru dans l’éducation, mais aussi d’un meilleur investissement et d’un investissement plus équitable.</w:t>
      </w:r>
    </w:p>
    <w:p w14:paraId="42458CDD" w14:textId="75F201F4"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C’est le seul donateur mondial à consacrer 10 % du budget initial de l’aide humanitaire de l’UE à l’éducation dans les situations d’urgence. Le montant consacré à l’éducation dans les situations d’urgence a atteint plus de 970 millions d’EUR entre 2015 et 2022 et a bénéficié à quelque 20 millions de filles et de garçons touchés par des crises, à des enseignants et aux communautés d’accueil dans 63 pays du monde.</w:t>
      </w:r>
    </w:p>
    <w:p w14:paraId="21FEC7A3" w14:textId="6041DC29"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 xml:space="preserve">L’intégration des questions relatives au handicap est une priorité pour la Commission. Lors du </w:t>
      </w:r>
      <w:r>
        <w:rPr>
          <w:rFonts w:ascii="Times New Roman" w:hAnsi="Times New Roman"/>
          <w:b/>
          <w:bCs/>
          <w:sz w:val="24"/>
        </w:rPr>
        <w:t>sommet mondial sur le handicap</w:t>
      </w:r>
      <w:r>
        <w:rPr>
          <w:rFonts w:ascii="Times New Roman" w:hAnsi="Times New Roman"/>
          <w:sz w:val="24"/>
        </w:rPr>
        <w:t xml:space="preserve"> de février 2022, l’UE s’est engagée à tenir compte des besoins spécifiques des personnes handicapées afin de garantir leur pleine participation à l’action humanitaire et à la préparation aux situations d’urgence. L’UE s’est aussi engagée à soutenir le renforcement des capacités de ses partenaires humanitaires en matière d’inclusion des personnes handicapées, de collecte de données, d’éducation inclusive dans les situations de crise et de sensibilisation aux principes de non-discrimination et d’inclusion.</w:t>
      </w:r>
    </w:p>
    <w:p w14:paraId="3ECC11CB" w14:textId="59A7E7BC"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La Commission reconnaît que le handicap ne se limite pas aux déficiences physiques, les obstacles étant souvent invisibles. Le handicap peut également venir se conjuguer avec d’autres obstacles liés au sexe, à l’âge ou à l’origine ethnique. La réponse humanitaire de l’UE vise à lever ces obstacles de manière globale dans le cadre d’une approche intersectionnelle.</w:t>
      </w:r>
    </w:p>
    <w:p w14:paraId="0913F65F" w14:textId="286CE1F2"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La Commission exige que tous ses partenaires humanitaires intègrent les besoins des personnes handicapées dans leurs actions, conformément à ses orientations opérationnelles pour l’inclusion des personnes handicapées dans les opérations d’aide humanitaire financées par l’UE, adoptées en 2019. Depuis 2019, la Commission a accompli des progrès importants dans le renforcement de la collecte de données en demandant à ses partenaires d’utiliser le petit ensemble de questions sur le handicap du groupe de Washington. Depuis 2019, elle fait rapport sur le marqueur relatif au handicap du Comité d’aide au développement de l’Organisation de coopération et de développement économiques (CAD de l’OCDE). En 2022, la Commission a financé 259 projets d’assistance qui ont pris en considération et intégré les besoins des personnes handicapées.</w:t>
      </w:r>
    </w:p>
    <w:p w14:paraId="593BA60A" w14:textId="18218A37" w:rsidR="00CE6719" w:rsidRPr="001D3549" w:rsidRDefault="00971270"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Elle s’est engagée à poursuivre le dialogue avec les organisations œuvrant en faveur des personnes handicapées. Par exemple, en octobre 2023, les services de la Commission ont accueilli la réunion du réseau «Global Action on Disability» (GLAD).  </w:t>
      </w:r>
    </w:p>
    <w:p w14:paraId="06C01E2C" w14:textId="472647CF"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La santé est à la fois un secteur essentiel et la principale référence d’évaluation de l’aide humanitaire. De 2013 à 2023, la Commission a alloué 2,8 milliards d’EUR à la santé humanitaire à l’échelle mondiale, suivant une approche fondée sur les besoins qui ne laisse personne de côté et un modèle de prestation de soins de santé promouvant des services globaux et intégrés. La Commission accorde une attention particulière à la nature multisectorielle de la santé: les partenaires sont donc toujours encouragés à mettre en œuvre des projets établissant des liens étroits entre la santé et la protection, le genre, la nutrition, l’eau, l’assainissement, la qualité de l’environnement et l’éducation.</w:t>
      </w:r>
    </w:p>
    <w:p w14:paraId="12CC3CB3" w14:textId="77777777" w:rsidR="00474D36" w:rsidRDefault="00474D36" w:rsidP="007E4704">
      <w:pPr>
        <w:spacing w:after="120" w:line="240" w:lineRule="auto"/>
        <w:jc w:val="both"/>
        <w:textAlignment w:val="baseline"/>
        <w:rPr>
          <w:rFonts w:ascii="Times New Roman" w:hAnsi="Times New Roman"/>
          <w:b/>
          <w:sz w:val="24"/>
        </w:rPr>
      </w:pPr>
    </w:p>
    <w:p w14:paraId="7E7EE119" w14:textId="671103D0" w:rsidR="00CE6719" w:rsidRPr="001D3549" w:rsidRDefault="00CE6719" w:rsidP="007E4704">
      <w:pPr>
        <w:spacing w:after="120" w:line="240" w:lineRule="auto"/>
        <w:jc w:val="both"/>
        <w:textAlignment w:val="baseline"/>
        <w:rPr>
          <w:rFonts w:ascii="Times New Roman" w:eastAsia="Times New Roman" w:hAnsi="Times New Roman" w:cs="Times New Roman"/>
          <w:b/>
          <w:bCs/>
          <w:sz w:val="24"/>
          <w:szCs w:val="24"/>
        </w:rPr>
      </w:pPr>
      <w:r>
        <w:rPr>
          <w:rFonts w:ascii="Times New Roman" w:hAnsi="Times New Roman"/>
          <w:b/>
          <w:sz w:val="24"/>
        </w:rPr>
        <w:lastRenderedPageBreak/>
        <w:t>Paragraphe 32</w:t>
      </w:r>
    </w:p>
    <w:p w14:paraId="484019E8" w14:textId="5C3D42E1" w:rsidR="00CE6719" w:rsidRPr="001D3549" w:rsidRDefault="004731AE" w:rsidP="007E4704">
      <w:pPr>
        <w:spacing w:after="120" w:line="240" w:lineRule="auto"/>
        <w:jc w:val="both"/>
        <w:textAlignment w:val="baseline"/>
        <w:rPr>
          <w:rFonts w:ascii="Times New Roman" w:eastAsia="Times New Roman" w:hAnsi="Times New Roman" w:cs="Times New Roman"/>
          <w:sz w:val="24"/>
          <w:szCs w:val="24"/>
        </w:rPr>
      </w:pPr>
      <w:bookmarkStart w:id="1" w:name="_Hlk153467454"/>
      <w:r>
        <w:rPr>
          <w:rFonts w:ascii="Times New Roman" w:hAnsi="Times New Roman"/>
          <w:sz w:val="24"/>
        </w:rPr>
        <w:t>Comme indiqué ci-dessus, la Commission reste déterminée à ce que l’ensemble de l’aide humanitaire de l’UE tienne compte de la dimension de genre. À ce titre, la Commission utilise déjà un marqueur de genre et d’âge afin de suivre l’intégration de la dimension de genre dans l’action humanitaire financée par l’UE. L’UE suit également son aide humanitaire par rapport au marqueur de la politique d’aide à l’appui de l’égalité homme-femme du CAD de l’OCDE. L’UE est également déterminée à intégrer davantage l’égalité à l’égard des personnes LGBTIQ dans son action humanitaire.</w:t>
      </w:r>
    </w:p>
    <w:bookmarkEnd w:id="1"/>
    <w:p w14:paraId="2DD5F261" w14:textId="504F5783" w:rsidR="00CE6719" w:rsidRPr="001D3549" w:rsidRDefault="00CE6719" w:rsidP="007E4704">
      <w:pPr>
        <w:spacing w:after="120" w:line="240" w:lineRule="auto"/>
        <w:textAlignment w:val="baseline"/>
        <w:rPr>
          <w:rFonts w:ascii="Times New Roman" w:eastAsia="Times New Roman" w:hAnsi="Times New Roman" w:cs="Times New Roman"/>
          <w:sz w:val="24"/>
          <w:szCs w:val="24"/>
        </w:rPr>
      </w:pPr>
      <w:r>
        <w:rPr>
          <w:rFonts w:ascii="Times New Roman" w:hAnsi="Times New Roman"/>
          <w:b/>
          <w:sz w:val="24"/>
        </w:rPr>
        <w:t>Paragraphe 33</w:t>
      </w:r>
    </w:p>
    <w:p w14:paraId="2B4C6974" w14:textId="45000D03" w:rsidR="00CE6719" w:rsidRPr="001D3549" w:rsidRDefault="004E5B97"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b/>
          <w:bCs/>
          <w:sz w:val="24"/>
        </w:rPr>
        <w:t>Environnement favorable</w:t>
      </w:r>
      <w:r>
        <w:rPr>
          <w:rFonts w:ascii="Times New Roman" w:hAnsi="Times New Roman"/>
          <w:sz w:val="24"/>
        </w:rPr>
        <w:t xml:space="preserve">: </w:t>
      </w:r>
      <w:r w:rsidR="00E362C8">
        <w:rPr>
          <w:rFonts w:ascii="Times New Roman" w:hAnsi="Times New Roman"/>
          <w:sz w:val="24"/>
        </w:rPr>
        <w:t>l</w:t>
      </w:r>
      <w:r>
        <w:rPr>
          <w:rFonts w:ascii="Times New Roman" w:hAnsi="Times New Roman"/>
          <w:sz w:val="24"/>
        </w:rPr>
        <w:t>a Commission convient que, face à un environnement d’aide humanitaire de plus en plus difficile dans les conflits armés, l’UE et les États membres doivent prendre des mesures supplémentaires pour soutenir le respect du droit international humanitaire, la protection des civils touchés par les conflits armés et un espace humanitaire fondé sur des principes. Cette année, la Commission a commencé à soutenir une initiative destinée à renforcer le suivi des violations du droit international humanitaire en élaborant des rapports mondiaux et ponctuels sur cette question, qui visent à mieux soutenir les efforts déployés par la communauté internationale en matière de diplomatie humanitaire fondée sur des données probantes. Dans les limites de ses compétences, la Commission réfléchira également à d’autres moyens de renforcer la diplomatie humanitaire. La 34</w:t>
      </w:r>
      <w:r>
        <w:rPr>
          <w:rFonts w:ascii="Times New Roman" w:hAnsi="Times New Roman"/>
          <w:sz w:val="24"/>
          <w:vertAlign w:val="superscript"/>
        </w:rPr>
        <w:t>e</w:t>
      </w:r>
      <w:r>
        <w:rPr>
          <w:rFonts w:ascii="Times New Roman" w:hAnsi="Times New Roman"/>
          <w:sz w:val="24"/>
        </w:rPr>
        <w:t xml:space="preserve"> conférence internationale de la Croix-Rouge et du Croissant-Rouge, qui se tiendra en octobre 2024, ainsi que les engagements conjoints de l’UE et des États membres dont l’adoption est prévue avant la conférence, constitueront une nouvelle occasion pour la Commission et les États membres de coordonner leurs actions visant à renforcer l’engagement en faveur du droit international humanitaire et de l’espace humanitaire fondé sur des principes.</w:t>
      </w:r>
    </w:p>
    <w:p w14:paraId="3139D171" w14:textId="28AC83DB"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b/>
          <w:sz w:val="24"/>
        </w:rPr>
        <w:t>Paragraphe 34</w:t>
      </w:r>
    </w:p>
    <w:p w14:paraId="7F4DA53B" w14:textId="5285C668" w:rsidR="00CE6719" w:rsidRPr="001D3549" w:rsidRDefault="004E5B97"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b/>
          <w:sz w:val="24"/>
        </w:rPr>
        <w:t xml:space="preserve">Protection des travailleurs humanitaires: </w:t>
      </w:r>
      <w:r w:rsidR="00E362C8">
        <w:rPr>
          <w:rFonts w:ascii="Times New Roman" w:hAnsi="Times New Roman"/>
          <w:sz w:val="24"/>
        </w:rPr>
        <w:t>l</w:t>
      </w:r>
      <w:r>
        <w:rPr>
          <w:rFonts w:ascii="Times New Roman" w:hAnsi="Times New Roman"/>
          <w:sz w:val="24"/>
        </w:rPr>
        <w:t>a Commission constate avec inquiétude que le nombre de travailleurs humanitaires qui ont été blessés ou tués dans le cadre d’actes de guerre et d’actes criminels dans l’exercice de leur mission humanitaire a augmenté au niveau mondial. Elle veillera à ce qu’une attention et des ressources suffisantes soient consacrées à la sécurité des travailleurs humanitaires. Cela concerne la planification en cours et la mise en œuvre future de ses projets humanitaires.</w:t>
      </w:r>
    </w:p>
    <w:p w14:paraId="13F66DD2" w14:textId="45D592F0"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Le soutien à la protection des travailleurs humanitaires, y compris des travailleuses humanitaires, reste une priorité essentielle pour la Commission. Au fil des années, elle a soutenu et soutient encore un certain nombre d’initiatives et de projets de sensibilisation dans ce domaine, visant à renforcer une approche préventive (par exemple, la gestion des risques liés à la sécurité, la gestion des données), à promouvoir la protection de l’espace humanitaire dans les conflits armés et à soutenir l’action en faveur des travailleurs humanitaires touchés. La Commission s’est engagée à continuer de le faire. Ce point sera également examiné lors du Forum humanitaire européen 2024.</w:t>
      </w:r>
    </w:p>
    <w:p w14:paraId="6FDFD446" w14:textId="7BCF16F1"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b/>
          <w:sz w:val="24"/>
        </w:rPr>
        <w:t>Paragraphe 35</w:t>
      </w:r>
    </w:p>
    <w:p w14:paraId="2DF65E35" w14:textId="777993CA" w:rsidR="00CE6719" w:rsidRPr="001D3549" w:rsidRDefault="004E5B97"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b/>
          <w:sz w:val="24"/>
        </w:rPr>
        <w:t xml:space="preserve">Sanctions: </w:t>
      </w:r>
      <w:r w:rsidR="00E362C8">
        <w:rPr>
          <w:rFonts w:ascii="Times New Roman" w:hAnsi="Times New Roman"/>
          <w:sz w:val="24"/>
        </w:rPr>
        <w:t>l</w:t>
      </w:r>
      <w:r>
        <w:rPr>
          <w:rFonts w:ascii="Times New Roman" w:hAnsi="Times New Roman"/>
          <w:sz w:val="24"/>
        </w:rPr>
        <w:t xml:space="preserve">a Commission se félicite du soutien apporté par le Parlement à la résolution 2664 (2022) du Conseil de sécurité des Nations unies. En 2023, l’UE a introduit une exemption humanitaire conformément à la résolution 2664 du Conseil de sécurité des Nations unies dans 28 régimes de sanctions de l’UE (dont 12 régimes de sanctions autonomes de l’UE). La Commission reste fermement déterminée à poursuivre ses efforts, et notamment, le cas échéant, à procéder à des évaluations au cas par cas de l’incidence potentielle des sanctions sur l’acheminement de l’aide humanitaire, afin d’envisager l’introduction d’une exemption </w:t>
      </w:r>
      <w:r>
        <w:rPr>
          <w:rFonts w:ascii="Times New Roman" w:hAnsi="Times New Roman"/>
          <w:sz w:val="24"/>
        </w:rPr>
        <w:lastRenderedPageBreak/>
        <w:t>humanitaire permanente dans tous les régimes de sanctions autonomes de l’UE. Elle se félicite que le texte de compromis final de la future directive relative à la définition des infractions pénales et des sanctions applicables en cas de violation des mesures restrictives de l’Union comprenne une exemption humanitaire visant à limiter l’exposition potentielle des acteurs humanitaires à la responsabilité pénale lorsqu’ils fournissent une aide dans des environnements soumis à des sanctions. La Commission continuera à se concerter activement avec le secteur humanitaire et, dans la mesure du possible, à collaborer étroitement avec les institutions financières pour tenter de limiter les effets de la réduction des risques pour contrôler la conformité. Il s’agira notamment de sensibiliser aux régimes de sanctions et aux exemptions humanitaires, ainsi que de promouvoir un dialogue ouvert entre les parties prenantes concernées.  </w:t>
      </w:r>
    </w:p>
    <w:p w14:paraId="6DD5CF57" w14:textId="77777777" w:rsidR="004E5B97" w:rsidRPr="001D3549" w:rsidRDefault="004E5B97" w:rsidP="007E4704">
      <w:pPr>
        <w:spacing w:after="120" w:line="240" w:lineRule="auto"/>
        <w:jc w:val="both"/>
        <w:textAlignment w:val="baseline"/>
        <w:rPr>
          <w:rFonts w:ascii="Times New Roman" w:eastAsia="Times New Roman" w:hAnsi="Times New Roman" w:cs="Times New Roman"/>
          <w:b/>
          <w:bCs/>
          <w:sz w:val="24"/>
          <w:szCs w:val="24"/>
        </w:rPr>
      </w:pPr>
      <w:r>
        <w:rPr>
          <w:rFonts w:ascii="Times New Roman" w:hAnsi="Times New Roman"/>
          <w:b/>
          <w:sz w:val="24"/>
        </w:rPr>
        <w:t>Paragraphes 36, 38 et 39</w:t>
      </w:r>
    </w:p>
    <w:p w14:paraId="3287B6E7" w14:textId="75275805"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b/>
          <w:sz w:val="24"/>
        </w:rPr>
        <w:t xml:space="preserve">Demande relative à la création d’un Centre européen pour la recherche et l’innovation humanitaires: </w:t>
      </w:r>
      <w:r>
        <w:rPr>
          <w:rFonts w:ascii="Times New Roman" w:hAnsi="Times New Roman"/>
          <w:sz w:val="24"/>
        </w:rPr>
        <w:t>les crises oubliées sont constamment visibles dans la stratégie de communication annuelle de la Commission relative au secteur humanitaire. La Commission donne une couverture à ces crises au moyen d’articles sur son site web, de publications sur les médias sociaux, de campagnes et des podcasts, ainsi que grâce à l’allocation minimale de 15 % du budget humanitaire de l’UE. Les crises oubliées seront le thème central du prochain Forum humanitaire européen 2024, au cours duquel une session consacrée à la couverture médiatique des crises oubliées étudiera les facteurs qui conduisent à «l’oubli», par les médias, de certaines crises dans le monde entier et examinera les moyens de remédier à cette situation. Une série de nouvelles productions vidéo sont en cours de préparation pour illustrer une sélection de crises humanitaires oubliées. Ces productions sont, selon la pratique courante de la Commission, destinées à être utilisées lors de campagnes de sensibilisation et à des fins de diffusion sur les médias sociaux et les relais d’opinion.</w:t>
      </w:r>
    </w:p>
    <w:p w14:paraId="1B808BDE" w14:textId="31E6BC35" w:rsidR="00CE6719" w:rsidRPr="001D3549" w:rsidRDefault="00CE6719" w:rsidP="007E4704">
      <w:pPr>
        <w:spacing w:after="120" w:line="240" w:lineRule="auto"/>
        <w:jc w:val="both"/>
        <w:textAlignment w:val="baseline"/>
        <w:rPr>
          <w:rFonts w:ascii="Times New Roman" w:eastAsia="Times New Roman" w:hAnsi="Times New Roman" w:cs="Times New Roman"/>
          <w:sz w:val="24"/>
          <w:szCs w:val="24"/>
        </w:rPr>
      </w:pPr>
      <w:r>
        <w:rPr>
          <w:rFonts w:ascii="Times New Roman" w:hAnsi="Times New Roman"/>
          <w:sz w:val="24"/>
        </w:rPr>
        <w:t>La proposition de bourses et de formations pour les journalistes dans le cadre de la stratégie médiatique proposée ne peut être mise en œuvre au moyen du budget humanitaire de l’UE en raison de l’absence d’instruments appropriés. La Commission organise déjà régulièrement des voyages de presse pour les journalistes établis dans l’UE, notamment pour sensibiliser aux crises oubliées. Par exemple, en 2022-2023, la Commission a organisé de tels voyages en Colombie et au Bangladesh. La Commission suivra la même approche en 2024.</w:t>
      </w:r>
    </w:p>
    <w:sectPr w:rsidR="00CE6719" w:rsidRPr="001D354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A421" w14:textId="77777777" w:rsidR="001F0D07" w:rsidRDefault="001F0D07" w:rsidP="00CE6719">
      <w:pPr>
        <w:spacing w:after="0" w:line="240" w:lineRule="auto"/>
      </w:pPr>
      <w:r>
        <w:separator/>
      </w:r>
    </w:p>
  </w:endnote>
  <w:endnote w:type="continuationSeparator" w:id="0">
    <w:p w14:paraId="72B9D864" w14:textId="77777777" w:rsidR="001F0D07" w:rsidRDefault="001F0D07" w:rsidP="00CE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187507"/>
      <w:docPartObj>
        <w:docPartGallery w:val="Page Numbers (Bottom of Page)"/>
        <w:docPartUnique/>
      </w:docPartObj>
    </w:sdtPr>
    <w:sdtEndPr>
      <w:rPr>
        <w:noProof/>
      </w:rPr>
    </w:sdtEndPr>
    <w:sdtContent>
      <w:p w14:paraId="14829E60" w14:textId="2CA2D2C9" w:rsidR="000A0F4D" w:rsidRDefault="000A0F4D">
        <w:pPr>
          <w:pStyle w:val="Footer"/>
          <w:jc w:val="right"/>
        </w:pPr>
        <w:r>
          <w:fldChar w:fldCharType="begin"/>
        </w:r>
        <w:r>
          <w:instrText xml:space="preserve"> PAGE   \* MERGEFORMAT </w:instrText>
        </w:r>
        <w:r>
          <w:fldChar w:fldCharType="separate"/>
        </w:r>
        <w:r>
          <w:t>2</w:t>
        </w:r>
        <w:r>
          <w:fldChar w:fldCharType="end"/>
        </w:r>
      </w:p>
    </w:sdtContent>
  </w:sdt>
  <w:p w14:paraId="3FFC0687" w14:textId="77777777" w:rsidR="000A0F4D" w:rsidRDefault="000A0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69D1" w14:textId="77777777" w:rsidR="001F0D07" w:rsidRDefault="001F0D07" w:rsidP="00CE6719">
      <w:pPr>
        <w:spacing w:after="0" w:line="240" w:lineRule="auto"/>
      </w:pPr>
      <w:r>
        <w:separator/>
      </w:r>
    </w:p>
  </w:footnote>
  <w:footnote w:type="continuationSeparator" w:id="0">
    <w:p w14:paraId="5F7A8977" w14:textId="77777777" w:rsidR="001F0D07" w:rsidRDefault="001F0D07" w:rsidP="00CE6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408"/>
    <w:multiLevelType w:val="multilevel"/>
    <w:tmpl w:val="226C16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586F50"/>
    <w:multiLevelType w:val="multilevel"/>
    <w:tmpl w:val="5F081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563C38"/>
    <w:multiLevelType w:val="multilevel"/>
    <w:tmpl w:val="D49E5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875CA"/>
    <w:multiLevelType w:val="multilevel"/>
    <w:tmpl w:val="4576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074F40"/>
    <w:multiLevelType w:val="multilevel"/>
    <w:tmpl w:val="3FA4C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855130"/>
    <w:multiLevelType w:val="multilevel"/>
    <w:tmpl w:val="B964D6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266701"/>
    <w:multiLevelType w:val="multilevel"/>
    <w:tmpl w:val="CB14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03618D"/>
    <w:multiLevelType w:val="multilevel"/>
    <w:tmpl w:val="3990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22145F"/>
    <w:multiLevelType w:val="multilevel"/>
    <w:tmpl w:val="69404A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7A6241"/>
    <w:multiLevelType w:val="multilevel"/>
    <w:tmpl w:val="3244EB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069116">
    <w:abstractNumId w:val="7"/>
  </w:num>
  <w:num w:numId="2" w16cid:durableId="786462849">
    <w:abstractNumId w:val="4"/>
  </w:num>
  <w:num w:numId="3" w16cid:durableId="1143277726">
    <w:abstractNumId w:val="5"/>
  </w:num>
  <w:num w:numId="4" w16cid:durableId="919754904">
    <w:abstractNumId w:val="2"/>
  </w:num>
  <w:num w:numId="5" w16cid:durableId="411700247">
    <w:abstractNumId w:val="8"/>
  </w:num>
  <w:num w:numId="6" w16cid:durableId="43021064">
    <w:abstractNumId w:val="9"/>
  </w:num>
  <w:num w:numId="7" w16cid:durableId="1087119130">
    <w:abstractNumId w:val="0"/>
  </w:num>
  <w:num w:numId="8" w16cid:durableId="1605768155">
    <w:abstractNumId w:val="3"/>
  </w:num>
  <w:num w:numId="9" w16cid:durableId="2032145464">
    <w:abstractNumId w:val="1"/>
  </w:num>
  <w:num w:numId="10" w16cid:durableId="1603604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CE6719"/>
    <w:rsid w:val="00001AD5"/>
    <w:rsid w:val="000236AC"/>
    <w:rsid w:val="00023DD2"/>
    <w:rsid w:val="000330C2"/>
    <w:rsid w:val="0007333A"/>
    <w:rsid w:val="000736AB"/>
    <w:rsid w:val="00074792"/>
    <w:rsid w:val="000847BD"/>
    <w:rsid w:val="000A0F4D"/>
    <w:rsid w:val="000A2AD0"/>
    <w:rsid w:val="000D66FB"/>
    <w:rsid w:val="000F27D4"/>
    <w:rsid w:val="0011797B"/>
    <w:rsid w:val="00117A8B"/>
    <w:rsid w:val="001200F0"/>
    <w:rsid w:val="0014196C"/>
    <w:rsid w:val="00177E49"/>
    <w:rsid w:val="00181AC7"/>
    <w:rsid w:val="001832E9"/>
    <w:rsid w:val="0018394A"/>
    <w:rsid w:val="00187959"/>
    <w:rsid w:val="001A260D"/>
    <w:rsid w:val="001A67C4"/>
    <w:rsid w:val="001B18D3"/>
    <w:rsid w:val="001D3549"/>
    <w:rsid w:val="001F0D07"/>
    <w:rsid w:val="002230AC"/>
    <w:rsid w:val="00231878"/>
    <w:rsid w:val="002322D0"/>
    <w:rsid w:val="0024401D"/>
    <w:rsid w:val="00251F74"/>
    <w:rsid w:val="00257104"/>
    <w:rsid w:val="00270A41"/>
    <w:rsid w:val="00282237"/>
    <w:rsid w:val="00295DEE"/>
    <w:rsid w:val="002C3B6E"/>
    <w:rsid w:val="003118B3"/>
    <w:rsid w:val="003325DD"/>
    <w:rsid w:val="00332FC1"/>
    <w:rsid w:val="00345C6B"/>
    <w:rsid w:val="00351F9A"/>
    <w:rsid w:val="0038446A"/>
    <w:rsid w:val="003907BD"/>
    <w:rsid w:val="003B2E70"/>
    <w:rsid w:val="003C3654"/>
    <w:rsid w:val="003E0D06"/>
    <w:rsid w:val="003E32B9"/>
    <w:rsid w:val="003E61DD"/>
    <w:rsid w:val="003E72B1"/>
    <w:rsid w:val="003F3FA8"/>
    <w:rsid w:val="004145CB"/>
    <w:rsid w:val="0041685C"/>
    <w:rsid w:val="00426884"/>
    <w:rsid w:val="00460FDE"/>
    <w:rsid w:val="00463743"/>
    <w:rsid w:val="004731AE"/>
    <w:rsid w:val="00474D36"/>
    <w:rsid w:val="004B3E3A"/>
    <w:rsid w:val="004B5D80"/>
    <w:rsid w:val="004C4E2E"/>
    <w:rsid w:val="004E5B97"/>
    <w:rsid w:val="00501036"/>
    <w:rsid w:val="00505C08"/>
    <w:rsid w:val="00505F61"/>
    <w:rsid w:val="005402D5"/>
    <w:rsid w:val="00591962"/>
    <w:rsid w:val="005C38B9"/>
    <w:rsid w:val="005D04E8"/>
    <w:rsid w:val="00600B9B"/>
    <w:rsid w:val="00672797"/>
    <w:rsid w:val="00692FA5"/>
    <w:rsid w:val="006952C2"/>
    <w:rsid w:val="006A0E86"/>
    <w:rsid w:val="006F0FA3"/>
    <w:rsid w:val="006F4AC6"/>
    <w:rsid w:val="006F5C89"/>
    <w:rsid w:val="007317AE"/>
    <w:rsid w:val="00737E51"/>
    <w:rsid w:val="00741F2D"/>
    <w:rsid w:val="00781126"/>
    <w:rsid w:val="00786EEF"/>
    <w:rsid w:val="007B25A5"/>
    <w:rsid w:val="007B3F12"/>
    <w:rsid w:val="007D6EB7"/>
    <w:rsid w:val="007E4704"/>
    <w:rsid w:val="008170CF"/>
    <w:rsid w:val="00857E3B"/>
    <w:rsid w:val="00866204"/>
    <w:rsid w:val="00876B09"/>
    <w:rsid w:val="008841DC"/>
    <w:rsid w:val="008871B3"/>
    <w:rsid w:val="008E5947"/>
    <w:rsid w:val="00901274"/>
    <w:rsid w:val="00911149"/>
    <w:rsid w:val="00920A2C"/>
    <w:rsid w:val="009363AB"/>
    <w:rsid w:val="00971270"/>
    <w:rsid w:val="00983F13"/>
    <w:rsid w:val="00A05A01"/>
    <w:rsid w:val="00A06151"/>
    <w:rsid w:val="00A2402C"/>
    <w:rsid w:val="00A72D54"/>
    <w:rsid w:val="00A928B1"/>
    <w:rsid w:val="00A9635F"/>
    <w:rsid w:val="00AA2845"/>
    <w:rsid w:val="00AB38A0"/>
    <w:rsid w:val="00AC7376"/>
    <w:rsid w:val="00AE3CFB"/>
    <w:rsid w:val="00AE4ABD"/>
    <w:rsid w:val="00AF39B5"/>
    <w:rsid w:val="00B01749"/>
    <w:rsid w:val="00B100A3"/>
    <w:rsid w:val="00B12A3E"/>
    <w:rsid w:val="00B13B72"/>
    <w:rsid w:val="00B17B73"/>
    <w:rsid w:val="00B21559"/>
    <w:rsid w:val="00B2336F"/>
    <w:rsid w:val="00B34AB0"/>
    <w:rsid w:val="00B54776"/>
    <w:rsid w:val="00B672E9"/>
    <w:rsid w:val="00B714E9"/>
    <w:rsid w:val="00B72473"/>
    <w:rsid w:val="00B8180B"/>
    <w:rsid w:val="00B86F6D"/>
    <w:rsid w:val="00B938EE"/>
    <w:rsid w:val="00BB1271"/>
    <w:rsid w:val="00BC22D3"/>
    <w:rsid w:val="00BC790E"/>
    <w:rsid w:val="00BD1821"/>
    <w:rsid w:val="00C0755A"/>
    <w:rsid w:val="00C1532A"/>
    <w:rsid w:val="00C47A99"/>
    <w:rsid w:val="00C65A49"/>
    <w:rsid w:val="00C84C4A"/>
    <w:rsid w:val="00CC012B"/>
    <w:rsid w:val="00CE6719"/>
    <w:rsid w:val="00D05A13"/>
    <w:rsid w:val="00D07CB1"/>
    <w:rsid w:val="00D15C88"/>
    <w:rsid w:val="00D20B41"/>
    <w:rsid w:val="00D213E9"/>
    <w:rsid w:val="00D30446"/>
    <w:rsid w:val="00D411B3"/>
    <w:rsid w:val="00D42636"/>
    <w:rsid w:val="00D4344B"/>
    <w:rsid w:val="00D502CF"/>
    <w:rsid w:val="00D53FB5"/>
    <w:rsid w:val="00D5446A"/>
    <w:rsid w:val="00D71D5D"/>
    <w:rsid w:val="00D754DA"/>
    <w:rsid w:val="00D8073F"/>
    <w:rsid w:val="00DB036B"/>
    <w:rsid w:val="00DC5C1B"/>
    <w:rsid w:val="00DE6F31"/>
    <w:rsid w:val="00E01B1E"/>
    <w:rsid w:val="00E13A9B"/>
    <w:rsid w:val="00E13F48"/>
    <w:rsid w:val="00E32FE7"/>
    <w:rsid w:val="00E362C8"/>
    <w:rsid w:val="00E3651E"/>
    <w:rsid w:val="00E5565F"/>
    <w:rsid w:val="00E65FB7"/>
    <w:rsid w:val="00E74E3C"/>
    <w:rsid w:val="00E84C86"/>
    <w:rsid w:val="00E97162"/>
    <w:rsid w:val="00EA52A5"/>
    <w:rsid w:val="00EB61B3"/>
    <w:rsid w:val="00EC0524"/>
    <w:rsid w:val="00EC28DF"/>
    <w:rsid w:val="00ED5E12"/>
    <w:rsid w:val="00EE0C24"/>
    <w:rsid w:val="00F332E3"/>
    <w:rsid w:val="00F44259"/>
    <w:rsid w:val="00F73E52"/>
    <w:rsid w:val="00F81B37"/>
    <w:rsid w:val="00F847BA"/>
    <w:rsid w:val="00FE51A2"/>
    <w:rsid w:val="00FE718F"/>
    <w:rsid w:val="1377F074"/>
    <w:rsid w:val="13F3D158"/>
    <w:rsid w:val="1513C0D5"/>
    <w:rsid w:val="25A22E7C"/>
    <w:rsid w:val="3253613C"/>
    <w:rsid w:val="3993E0B1"/>
    <w:rsid w:val="44552BB1"/>
    <w:rsid w:val="468E859F"/>
    <w:rsid w:val="4880288B"/>
    <w:rsid w:val="5254801E"/>
    <w:rsid w:val="5ED034CD"/>
    <w:rsid w:val="68C23E7D"/>
    <w:rsid w:val="79ACDA54"/>
    <w:rsid w:val="7F4F9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F5413"/>
  <w15:chartTrackingRefBased/>
  <w15:docId w15:val="{84BE66FF-5521-483C-BBC4-8466AE97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E67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E67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CE6719"/>
  </w:style>
  <w:style w:type="character" w:customStyle="1" w:styleId="normaltextrun">
    <w:name w:val="normaltextrun"/>
    <w:basedOn w:val="DefaultParagraphFont"/>
    <w:rsid w:val="00CE6719"/>
  </w:style>
  <w:style w:type="character" w:customStyle="1" w:styleId="eop">
    <w:name w:val="eop"/>
    <w:basedOn w:val="DefaultParagraphFont"/>
    <w:rsid w:val="00CE6719"/>
  </w:style>
  <w:style w:type="paragraph" w:customStyle="1" w:styleId="outlineelement">
    <w:name w:val="outlineelement"/>
    <w:basedOn w:val="Normal"/>
    <w:rsid w:val="00CE67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6719"/>
    <w:rPr>
      <w:color w:val="0000FF"/>
      <w:u w:val="single"/>
    </w:rPr>
  </w:style>
  <w:style w:type="character" w:styleId="FollowedHyperlink">
    <w:name w:val="FollowedHyperlink"/>
    <w:basedOn w:val="DefaultParagraphFont"/>
    <w:uiPriority w:val="99"/>
    <w:semiHidden/>
    <w:unhideWhenUsed/>
    <w:rsid w:val="00CE6719"/>
    <w:rPr>
      <w:color w:val="800080"/>
      <w:u w:val="single"/>
    </w:rPr>
  </w:style>
  <w:style w:type="character" w:customStyle="1" w:styleId="fieldrange">
    <w:name w:val="fieldrange"/>
    <w:basedOn w:val="DefaultParagraphFont"/>
    <w:rsid w:val="00CE6719"/>
  </w:style>
  <w:style w:type="character" w:customStyle="1" w:styleId="trackedchange">
    <w:name w:val="trackedchange"/>
    <w:basedOn w:val="DefaultParagraphFont"/>
    <w:rsid w:val="00CE6719"/>
  </w:style>
  <w:style w:type="character" w:customStyle="1" w:styleId="trackchangetextinsertion">
    <w:name w:val="trackchangetextinsertion"/>
    <w:basedOn w:val="DefaultParagraphFont"/>
    <w:rsid w:val="00CE6719"/>
  </w:style>
  <w:style w:type="character" w:customStyle="1" w:styleId="trackchangetextdeletionmarker">
    <w:name w:val="trackchangetextdeletionmarker"/>
    <w:basedOn w:val="DefaultParagraphFont"/>
    <w:rsid w:val="00CE6719"/>
  </w:style>
  <w:style w:type="character" w:customStyle="1" w:styleId="tabrun">
    <w:name w:val="tabrun"/>
    <w:basedOn w:val="DefaultParagraphFont"/>
    <w:rsid w:val="00CE6719"/>
  </w:style>
  <w:style w:type="character" w:customStyle="1" w:styleId="tabchar">
    <w:name w:val="tabchar"/>
    <w:basedOn w:val="DefaultParagraphFont"/>
    <w:rsid w:val="00CE6719"/>
  </w:style>
  <w:style w:type="character" w:customStyle="1" w:styleId="tableaderchars">
    <w:name w:val="tableaderchars"/>
    <w:basedOn w:val="DefaultParagraphFont"/>
    <w:rsid w:val="00CE6719"/>
  </w:style>
  <w:style w:type="paragraph" w:styleId="Revision">
    <w:name w:val="Revision"/>
    <w:hidden/>
    <w:uiPriority w:val="99"/>
    <w:semiHidden/>
    <w:rsid w:val="00AA2845"/>
    <w:pPr>
      <w:spacing w:after="0" w:line="240" w:lineRule="auto"/>
    </w:pPr>
  </w:style>
  <w:style w:type="paragraph" w:styleId="Header">
    <w:name w:val="header"/>
    <w:basedOn w:val="Normal"/>
    <w:link w:val="HeaderChar"/>
    <w:uiPriority w:val="99"/>
    <w:unhideWhenUsed/>
    <w:rsid w:val="000A0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F4D"/>
  </w:style>
  <w:style w:type="paragraph" w:styleId="Footer">
    <w:name w:val="footer"/>
    <w:basedOn w:val="Normal"/>
    <w:link w:val="FooterChar"/>
    <w:uiPriority w:val="99"/>
    <w:unhideWhenUsed/>
    <w:rsid w:val="000A0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F4D"/>
  </w:style>
  <w:style w:type="character" w:styleId="CommentReference">
    <w:name w:val="annotation reference"/>
    <w:basedOn w:val="DefaultParagraphFont"/>
    <w:uiPriority w:val="99"/>
    <w:semiHidden/>
    <w:unhideWhenUsed/>
    <w:rsid w:val="001A67C4"/>
    <w:rPr>
      <w:sz w:val="16"/>
      <w:szCs w:val="16"/>
    </w:rPr>
  </w:style>
  <w:style w:type="paragraph" w:styleId="CommentText">
    <w:name w:val="annotation text"/>
    <w:basedOn w:val="Normal"/>
    <w:link w:val="CommentTextChar"/>
    <w:uiPriority w:val="99"/>
    <w:unhideWhenUsed/>
    <w:rsid w:val="001A67C4"/>
    <w:pPr>
      <w:spacing w:line="240" w:lineRule="auto"/>
    </w:pPr>
    <w:rPr>
      <w:sz w:val="20"/>
      <w:szCs w:val="20"/>
    </w:rPr>
  </w:style>
  <w:style w:type="character" w:customStyle="1" w:styleId="CommentTextChar">
    <w:name w:val="Comment Text Char"/>
    <w:basedOn w:val="DefaultParagraphFont"/>
    <w:link w:val="CommentText"/>
    <w:uiPriority w:val="99"/>
    <w:rsid w:val="001A67C4"/>
    <w:rPr>
      <w:sz w:val="20"/>
      <w:szCs w:val="20"/>
    </w:rPr>
  </w:style>
  <w:style w:type="paragraph" w:styleId="CommentSubject">
    <w:name w:val="annotation subject"/>
    <w:basedOn w:val="CommentText"/>
    <w:next w:val="CommentText"/>
    <w:link w:val="CommentSubjectChar"/>
    <w:uiPriority w:val="99"/>
    <w:semiHidden/>
    <w:unhideWhenUsed/>
    <w:rsid w:val="001A67C4"/>
    <w:rPr>
      <w:b/>
      <w:bCs/>
    </w:rPr>
  </w:style>
  <w:style w:type="character" w:customStyle="1" w:styleId="CommentSubjectChar">
    <w:name w:val="Comment Subject Char"/>
    <w:basedOn w:val="CommentTextChar"/>
    <w:link w:val="CommentSubject"/>
    <w:uiPriority w:val="99"/>
    <w:semiHidden/>
    <w:rsid w:val="001A67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552411">
      <w:bodyDiv w:val="1"/>
      <w:marLeft w:val="0"/>
      <w:marRight w:val="0"/>
      <w:marTop w:val="0"/>
      <w:marBottom w:val="0"/>
      <w:divBdr>
        <w:top w:val="none" w:sz="0" w:space="0" w:color="auto"/>
        <w:left w:val="none" w:sz="0" w:space="0" w:color="auto"/>
        <w:bottom w:val="none" w:sz="0" w:space="0" w:color="auto"/>
        <w:right w:val="none" w:sz="0" w:space="0" w:color="auto"/>
      </w:divBdr>
      <w:divsChild>
        <w:div w:id="353388446">
          <w:marLeft w:val="0"/>
          <w:marRight w:val="0"/>
          <w:marTop w:val="0"/>
          <w:marBottom w:val="0"/>
          <w:divBdr>
            <w:top w:val="none" w:sz="0" w:space="0" w:color="auto"/>
            <w:left w:val="none" w:sz="0" w:space="0" w:color="auto"/>
            <w:bottom w:val="none" w:sz="0" w:space="0" w:color="auto"/>
            <w:right w:val="none" w:sz="0" w:space="0" w:color="auto"/>
          </w:divBdr>
          <w:divsChild>
            <w:div w:id="359933577">
              <w:marLeft w:val="0"/>
              <w:marRight w:val="0"/>
              <w:marTop w:val="0"/>
              <w:marBottom w:val="0"/>
              <w:divBdr>
                <w:top w:val="none" w:sz="0" w:space="0" w:color="auto"/>
                <w:left w:val="none" w:sz="0" w:space="0" w:color="auto"/>
                <w:bottom w:val="none" w:sz="0" w:space="0" w:color="auto"/>
                <w:right w:val="none" w:sz="0" w:space="0" w:color="auto"/>
              </w:divBdr>
            </w:div>
            <w:div w:id="471289817">
              <w:marLeft w:val="0"/>
              <w:marRight w:val="0"/>
              <w:marTop w:val="0"/>
              <w:marBottom w:val="0"/>
              <w:divBdr>
                <w:top w:val="none" w:sz="0" w:space="0" w:color="auto"/>
                <w:left w:val="none" w:sz="0" w:space="0" w:color="auto"/>
                <w:bottom w:val="none" w:sz="0" w:space="0" w:color="auto"/>
                <w:right w:val="none" w:sz="0" w:space="0" w:color="auto"/>
              </w:divBdr>
            </w:div>
            <w:div w:id="1745909396">
              <w:marLeft w:val="0"/>
              <w:marRight w:val="0"/>
              <w:marTop w:val="0"/>
              <w:marBottom w:val="0"/>
              <w:divBdr>
                <w:top w:val="none" w:sz="0" w:space="0" w:color="auto"/>
                <w:left w:val="none" w:sz="0" w:space="0" w:color="auto"/>
                <w:bottom w:val="none" w:sz="0" w:space="0" w:color="auto"/>
                <w:right w:val="none" w:sz="0" w:space="0" w:color="auto"/>
              </w:divBdr>
            </w:div>
            <w:div w:id="1307975748">
              <w:marLeft w:val="0"/>
              <w:marRight w:val="0"/>
              <w:marTop w:val="0"/>
              <w:marBottom w:val="0"/>
              <w:divBdr>
                <w:top w:val="none" w:sz="0" w:space="0" w:color="auto"/>
                <w:left w:val="none" w:sz="0" w:space="0" w:color="auto"/>
                <w:bottom w:val="none" w:sz="0" w:space="0" w:color="auto"/>
                <w:right w:val="none" w:sz="0" w:space="0" w:color="auto"/>
              </w:divBdr>
            </w:div>
            <w:div w:id="1194421006">
              <w:marLeft w:val="0"/>
              <w:marRight w:val="0"/>
              <w:marTop w:val="0"/>
              <w:marBottom w:val="0"/>
              <w:divBdr>
                <w:top w:val="none" w:sz="0" w:space="0" w:color="auto"/>
                <w:left w:val="none" w:sz="0" w:space="0" w:color="auto"/>
                <w:bottom w:val="none" w:sz="0" w:space="0" w:color="auto"/>
                <w:right w:val="none" w:sz="0" w:space="0" w:color="auto"/>
              </w:divBdr>
            </w:div>
            <w:div w:id="581110924">
              <w:marLeft w:val="0"/>
              <w:marRight w:val="0"/>
              <w:marTop w:val="0"/>
              <w:marBottom w:val="0"/>
              <w:divBdr>
                <w:top w:val="none" w:sz="0" w:space="0" w:color="auto"/>
                <w:left w:val="none" w:sz="0" w:space="0" w:color="auto"/>
                <w:bottom w:val="none" w:sz="0" w:space="0" w:color="auto"/>
                <w:right w:val="none" w:sz="0" w:space="0" w:color="auto"/>
              </w:divBdr>
            </w:div>
            <w:div w:id="1256670546">
              <w:marLeft w:val="0"/>
              <w:marRight w:val="0"/>
              <w:marTop w:val="0"/>
              <w:marBottom w:val="0"/>
              <w:divBdr>
                <w:top w:val="none" w:sz="0" w:space="0" w:color="auto"/>
                <w:left w:val="none" w:sz="0" w:space="0" w:color="auto"/>
                <w:bottom w:val="none" w:sz="0" w:space="0" w:color="auto"/>
                <w:right w:val="none" w:sz="0" w:space="0" w:color="auto"/>
              </w:divBdr>
            </w:div>
            <w:div w:id="1751075034">
              <w:marLeft w:val="0"/>
              <w:marRight w:val="0"/>
              <w:marTop w:val="0"/>
              <w:marBottom w:val="0"/>
              <w:divBdr>
                <w:top w:val="none" w:sz="0" w:space="0" w:color="auto"/>
                <w:left w:val="none" w:sz="0" w:space="0" w:color="auto"/>
                <w:bottom w:val="none" w:sz="0" w:space="0" w:color="auto"/>
                <w:right w:val="none" w:sz="0" w:space="0" w:color="auto"/>
              </w:divBdr>
            </w:div>
            <w:div w:id="1615017023">
              <w:marLeft w:val="0"/>
              <w:marRight w:val="0"/>
              <w:marTop w:val="0"/>
              <w:marBottom w:val="0"/>
              <w:divBdr>
                <w:top w:val="none" w:sz="0" w:space="0" w:color="auto"/>
                <w:left w:val="none" w:sz="0" w:space="0" w:color="auto"/>
                <w:bottom w:val="none" w:sz="0" w:space="0" w:color="auto"/>
                <w:right w:val="none" w:sz="0" w:space="0" w:color="auto"/>
              </w:divBdr>
            </w:div>
            <w:div w:id="1841306682">
              <w:marLeft w:val="0"/>
              <w:marRight w:val="0"/>
              <w:marTop w:val="0"/>
              <w:marBottom w:val="0"/>
              <w:divBdr>
                <w:top w:val="none" w:sz="0" w:space="0" w:color="auto"/>
                <w:left w:val="none" w:sz="0" w:space="0" w:color="auto"/>
                <w:bottom w:val="none" w:sz="0" w:space="0" w:color="auto"/>
                <w:right w:val="none" w:sz="0" w:space="0" w:color="auto"/>
              </w:divBdr>
            </w:div>
            <w:div w:id="1852061628">
              <w:marLeft w:val="0"/>
              <w:marRight w:val="0"/>
              <w:marTop w:val="0"/>
              <w:marBottom w:val="0"/>
              <w:divBdr>
                <w:top w:val="none" w:sz="0" w:space="0" w:color="auto"/>
                <w:left w:val="none" w:sz="0" w:space="0" w:color="auto"/>
                <w:bottom w:val="none" w:sz="0" w:space="0" w:color="auto"/>
                <w:right w:val="none" w:sz="0" w:space="0" w:color="auto"/>
              </w:divBdr>
            </w:div>
            <w:div w:id="1056202419">
              <w:marLeft w:val="0"/>
              <w:marRight w:val="0"/>
              <w:marTop w:val="0"/>
              <w:marBottom w:val="0"/>
              <w:divBdr>
                <w:top w:val="none" w:sz="0" w:space="0" w:color="auto"/>
                <w:left w:val="none" w:sz="0" w:space="0" w:color="auto"/>
                <w:bottom w:val="none" w:sz="0" w:space="0" w:color="auto"/>
                <w:right w:val="none" w:sz="0" w:space="0" w:color="auto"/>
              </w:divBdr>
            </w:div>
            <w:div w:id="260837370">
              <w:marLeft w:val="0"/>
              <w:marRight w:val="0"/>
              <w:marTop w:val="0"/>
              <w:marBottom w:val="0"/>
              <w:divBdr>
                <w:top w:val="none" w:sz="0" w:space="0" w:color="auto"/>
                <w:left w:val="none" w:sz="0" w:space="0" w:color="auto"/>
                <w:bottom w:val="none" w:sz="0" w:space="0" w:color="auto"/>
                <w:right w:val="none" w:sz="0" w:space="0" w:color="auto"/>
              </w:divBdr>
            </w:div>
            <w:div w:id="2059477196">
              <w:marLeft w:val="0"/>
              <w:marRight w:val="0"/>
              <w:marTop w:val="0"/>
              <w:marBottom w:val="0"/>
              <w:divBdr>
                <w:top w:val="none" w:sz="0" w:space="0" w:color="auto"/>
                <w:left w:val="none" w:sz="0" w:space="0" w:color="auto"/>
                <w:bottom w:val="none" w:sz="0" w:space="0" w:color="auto"/>
                <w:right w:val="none" w:sz="0" w:space="0" w:color="auto"/>
              </w:divBdr>
            </w:div>
            <w:div w:id="1273826755">
              <w:marLeft w:val="0"/>
              <w:marRight w:val="0"/>
              <w:marTop w:val="0"/>
              <w:marBottom w:val="0"/>
              <w:divBdr>
                <w:top w:val="none" w:sz="0" w:space="0" w:color="auto"/>
                <w:left w:val="none" w:sz="0" w:space="0" w:color="auto"/>
                <w:bottom w:val="none" w:sz="0" w:space="0" w:color="auto"/>
                <w:right w:val="none" w:sz="0" w:space="0" w:color="auto"/>
              </w:divBdr>
            </w:div>
            <w:div w:id="142428458">
              <w:marLeft w:val="0"/>
              <w:marRight w:val="0"/>
              <w:marTop w:val="0"/>
              <w:marBottom w:val="0"/>
              <w:divBdr>
                <w:top w:val="none" w:sz="0" w:space="0" w:color="auto"/>
                <w:left w:val="none" w:sz="0" w:space="0" w:color="auto"/>
                <w:bottom w:val="none" w:sz="0" w:space="0" w:color="auto"/>
                <w:right w:val="none" w:sz="0" w:space="0" w:color="auto"/>
              </w:divBdr>
            </w:div>
            <w:div w:id="1850487562">
              <w:marLeft w:val="0"/>
              <w:marRight w:val="0"/>
              <w:marTop w:val="0"/>
              <w:marBottom w:val="0"/>
              <w:divBdr>
                <w:top w:val="none" w:sz="0" w:space="0" w:color="auto"/>
                <w:left w:val="none" w:sz="0" w:space="0" w:color="auto"/>
                <w:bottom w:val="none" w:sz="0" w:space="0" w:color="auto"/>
                <w:right w:val="none" w:sz="0" w:space="0" w:color="auto"/>
              </w:divBdr>
            </w:div>
            <w:div w:id="513612194">
              <w:marLeft w:val="0"/>
              <w:marRight w:val="0"/>
              <w:marTop w:val="0"/>
              <w:marBottom w:val="0"/>
              <w:divBdr>
                <w:top w:val="none" w:sz="0" w:space="0" w:color="auto"/>
                <w:left w:val="none" w:sz="0" w:space="0" w:color="auto"/>
                <w:bottom w:val="none" w:sz="0" w:space="0" w:color="auto"/>
                <w:right w:val="none" w:sz="0" w:space="0" w:color="auto"/>
              </w:divBdr>
            </w:div>
            <w:div w:id="1644577236">
              <w:marLeft w:val="0"/>
              <w:marRight w:val="0"/>
              <w:marTop w:val="0"/>
              <w:marBottom w:val="0"/>
              <w:divBdr>
                <w:top w:val="none" w:sz="0" w:space="0" w:color="auto"/>
                <w:left w:val="none" w:sz="0" w:space="0" w:color="auto"/>
                <w:bottom w:val="none" w:sz="0" w:space="0" w:color="auto"/>
                <w:right w:val="none" w:sz="0" w:space="0" w:color="auto"/>
              </w:divBdr>
            </w:div>
            <w:div w:id="2144076347">
              <w:marLeft w:val="0"/>
              <w:marRight w:val="0"/>
              <w:marTop w:val="0"/>
              <w:marBottom w:val="0"/>
              <w:divBdr>
                <w:top w:val="none" w:sz="0" w:space="0" w:color="auto"/>
                <w:left w:val="none" w:sz="0" w:space="0" w:color="auto"/>
                <w:bottom w:val="none" w:sz="0" w:space="0" w:color="auto"/>
                <w:right w:val="none" w:sz="0" w:space="0" w:color="auto"/>
              </w:divBdr>
            </w:div>
          </w:divsChild>
        </w:div>
        <w:div w:id="314842060">
          <w:marLeft w:val="0"/>
          <w:marRight w:val="0"/>
          <w:marTop w:val="0"/>
          <w:marBottom w:val="0"/>
          <w:divBdr>
            <w:top w:val="none" w:sz="0" w:space="0" w:color="auto"/>
            <w:left w:val="none" w:sz="0" w:space="0" w:color="auto"/>
            <w:bottom w:val="none" w:sz="0" w:space="0" w:color="auto"/>
            <w:right w:val="none" w:sz="0" w:space="0" w:color="auto"/>
          </w:divBdr>
        </w:div>
        <w:div w:id="2068723430">
          <w:marLeft w:val="0"/>
          <w:marRight w:val="0"/>
          <w:marTop w:val="0"/>
          <w:marBottom w:val="0"/>
          <w:divBdr>
            <w:top w:val="none" w:sz="0" w:space="0" w:color="auto"/>
            <w:left w:val="none" w:sz="0" w:space="0" w:color="auto"/>
            <w:bottom w:val="none" w:sz="0" w:space="0" w:color="auto"/>
            <w:right w:val="none" w:sz="0" w:space="0" w:color="auto"/>
          </w:divBdr>
        </w:div>
        <w:div w:id="820846749">
          <w:marLeft w:val="0"/>
          <w:marRight w:val="0"/>
          <w:marTop w:val="0"/>
          <w:marBottom w:val="0"/>
          <w:divBdr>
            <w:top w:val="none" w:sz="0" w:space="0" w:color="auto"/>
            <w:left w:val="none" w:sz="0" w:space="0" w:color="auto"/>
            <w:bottom w:val="none" w:sz="0" w:space="0" w:color="auto"/>
            <w:right w:val="none" w:sz="0" w:space="0" w:color="auto"/>
          </w:divBdr>
        </w:div>
        <w:div w:id="1137990867">
          <w:marLeft w:val="0"/>
          <w:marRight w:val="0"/>
          <w:marTop w:val="0"/>
          <w:marBottom w:val="0"/>
          <w:divBdr>
            <w:top w:val="none" w:sz="0" w:space="0" w:color="auto"/>
            <w:left w:val="none" w:sz="0" w:space="0" w:color="auto"/>
            <w:bottom w:val="none" w:sz="0" w:space="0" w:color="auto"/>
            <w:right w:val="none" w:sz="0" w:space="0" w:color="auto"/>
          </w:divBdr>
        </w:div>
        <w:div w:id="1031613792">
          <w:marLeft w:val="0"/>
          <w:marRight w:val="0"/>
          <w:marTop w:val="0"/>
          <w:marBottom w:val="0"/>
          <w:divBdr>
            <w:top w:val="none" w:sz="0" w:space="0" w:color="auto"/>
            <w:left w:val="none" w:sz="0" w:space="0" w:color="auto"/>
            <w:bottom w:val="none" w:sz="0" w:space="0" w:color="auto"/>
            <w:right w:val="none" w:sz="0" w:space="0" w:color="auto"/>
          </w:divBdr>
        </w:div>
        <w:div w:id="1594581433">
          <w:marLeft w:val="0"/>
          <w:marRight w:val="0"/>
          <w:marTop w:val="0"/>
          <w:marBottom w:val="0"/>
          <w:divBdr>
            <w:top w:val="none" w:sz="0" w:space="0" w:color="auto"/>
            <w:left w:val="none" w:sz="0" w:space="0" w:color="auto"/>
            <w:bottom w:val="none" w:sz="0" w:space="0" w:color="auto"/>
            <w:right w:val="none" w:sz="0" w:space="0" w:color="auto"/>
          </w:divBdr>
        </w:div>
        <w:div w:id="713890213">
          <w:marLeft w:val="0"/>
          <w:marRight w:val="0"/>
          <w:marTop w:val="0"/>
          <w:marBottom w:val="0"/>
          <w:divBdr>
            <w:top w:val="none" w:sz="0" w:space="0" w:color="auto"/>
            <w:left w:val="none" w:sz="0" w:space="0" w:color="auto"/>
            <w:bottom w:val="none" w:sz="0" w:space="0" w:color="auto"/>
            <w:right w:val="none" w:sz="0" w:space="0" w:color="auto"/>
          </w:divBdr>
        </w:div>
        <w:div w:id="1335302686">
          <w:marLeft w:val="0"/>
          <w:marRight w:val="0"/>
          <w:marTop w:val="0"/>
          <w:marBottom w:val="0"/>
          <w:divBdr>
            <w:top w:val="none" w:sz="0" w:space="0" w:color="auto"/>
            <w:left w:val="none" w:sz="0" w:space="0" w:color="auto"/>
            <w:bottom w:val="none" w:sz="0" w:space="0" w:color="auto"/>
            <w:right w:val="none" w:sz="0" w:space="0" w:color="auto"/>
          </w:divBdr>
        </w:div>
        <w:div w:id="310597925">
          <w:marLeft w:val="0"/>
          <w:marRight w:val="0"/>
          <w:marTop w:val="0"/>
          <w:marBottom w:val="0"/>
          <w:divBdr>
            <w:top w:val="none" w:sz="0" w:space="0" w:color="auto"/>
            <w:left w:val="none" w:sz="0" w:space="0" w:color="auto"/>
            <w:bottom w:val="none" w:sz="0" w:space="0" w:color="auto"/>
            <w:right w:val="none" w:sz="0" w:space="0" w:color="auto"/>
          </w:divBdr>
        </w:div>
        <w:div w:id="154883922">
          <w:marLeft w:val="0"/>
          <w:marRight w:val="0"/>
          <w:marTop w:val="0"/>
          <w:marBottom w:val="0"/>
          <w:divBdr>
            <w:top w:val="none" w:sz="0" w:space="0" w:color="auto"/>
            <w:left w:val="none" w:sz="0" w:space="0" w:color="auto"/>
            <w:bottom w:val="none" w:sz="0" w:space="0" w:color="auto"/>
            <w:right w:val="none" w:sz="0" w:space="0" w:color="auto"/>
          </w:divBdr>
        </w:div>
        <w:div w:id="2051418334">
          <w:marLeft w:val="0"/>
          <w:marRight w:val="0"/>
          <w:marTop w:val="0"/>
          <w:marBottom w:val="0"/>
          <w:divBdr>
            <w:top w:val="none" w:sz="0" w:space="0" w:color="auto"/>
            <w:left w:val="none" w:sz="0" w:space="0" w:color="auto"/>
            <w:bottom w:val="none" w:sz="0" w:space="0" w:color="auto"/>
            <w:right w:val="none" w:sz="0" w:space="0" w:color="auto"/>
          </w:divBdr>
        </w:div>
        <w:div w:id="1803688330">
          <w:marLeft w:val="0"/>
          <w:marRight w:val="0"/>
          <w:marTop w:val="0"/>
          <w:marBottom w:val="0"/>
          <w:divBdr>
            <w:top w:val="none" w:sz="0" w:space="0" w:color="auto"/>
            <w:left w:val="none" w:sz="0" w:space="0" w:color="auto"/>
            <w:bottom w:val="none" w:sz="0" w:space="0" w:color="auto"/>
            <w:right w:val="none" w:sz="0" w:space="0" w:color="auto"/>
          </w:divBdr>
        </w:div>
        <w:div w:id="1345860587">
          <w:marLeft w:val="0"/>
          <w:marRight w:val="0"/>
          <w:marTop w:val="0"/>
          <w:marBottom w:val="0"/>
          <w:divBdr>
            <w:top w:val="none" w:sz="0" w:space="0" w:color="auto"/>
            <w:left w:val="none" w:sz="0" w:space="0" w:color="auto"/>
            <w:bottom w:val="none" w:sz="0" w:space="0" w:color="auto"/>
            <w:right w:val="none" w:sz="0" w:space="0" w:color="auto"/>
          </w:divBdr>
        </w:div>
        <w:div w:id="1759446806">
          <w:marLeft w:val="0"/>
          <w:marRight w:val="0"/>
          <w:marTop w:val="0"/>
          <w:marBottom w:val="0"/>
          <w:divBdr>
            <w:top w:val="none" w:sz="0" w:space="0" w:color="auto"/>
            <w:left w:val="none" w:sz="0" w:space="0" w:color="auto"/>
            <w:bottom w:val="none" w:sz="0" w:space="0" w:color="auto"/>
            <w:right w:val="none" w:sz="0" w:space="0" w:color="auto"/>
          </w:divBdr>
        </w:div>
        <w:div w:id="1582442843">
          <w:marLeft w:val="0"/>
          <w:marRight w:val="0"/>
          <w:marTop w:val="0"/>
          <w:marBottom w:val="0"/>
          <w:divBdr>
            <w:top w:val="none" w:sz="0" w:space="0" w:color="auto"/>
            <w:left w:val="none" w:sz="0" w:space="0" w:color="auto"/>
            <w:bottom w:val="none" w:sz="0" w:space="0" w:color="auto"/>
            <w:right w:val="none" w:sz="0" w:space="0" w:color="auto"/>
          </w:divBdr>
        </w:div>
        <w:div w:id="775829706">
          <w:marLeft w:val="0"/>
          <w:marRight w:val="0"/>
          <w:marTop w:val="0"/>
          <w:marBottom w:val="0"/>
          <w:divBdr>
            <w:top w:val="none" w:sz="0" w:space="0" w:color="auto"/>
            <w:left w:val="none" w:sz="0" w:space="0" w:color="auto"/>
            <w:bottom w:val="none" w:sz="0" w:space="0" w:color="auto"/>
            <w:right w:val="none" w:sz="0" w:space="0" w:color="auto"/>
          </w:divBdr>
        </w:div>
        <w:div w:id="600453682">
          <w:marLeft w:val="0"/>
          <w:marRight w:val="0"/>
          <w:marTop w:val="0"/>
          <w:marBottom w:val="0"/>
          <w:divBdr>
            <w:top w:val="none" w:sz="0" w:space="0" w:color="auto"/>
            <w:left w:val="none" w:sz="0" w:space="0" w:color="auto"/>
            <w:bottom w:val="none" w:sz="0" w:space="0" w:color="auto"/>
            <w:right w:val="none" w:sz="0" w:space="0" w:color="auto"/>
          </w:divBdr>
        </w:div>
        <w:div w:id="1316910783">
          <w:marLeft w:val="0"/>
          <w:marRight w:val="0"/>
          <w:marTop w:val="0"/>
          <w:marBottom w:val="0"/>
          <w:divBdr>
            <w:top w:val="none" w:sz="0" w:space="0" w:color="auto"/>
            <w:left w:val="none" w:sz="0" w:space="0" w:color="auto"/>
            <w:bottom w:val="none" w:sz="0" w:space="0" w:color="auto"/>
            <w:right w:val="none" w:sz="0" w:space="0" w:color="auto"/>
          </w:divBdr>
        </w:div>
        <w:div w:id="923614425">
          <w:marLeft w:val="0"/>
          <w:marRight w:val="0"/>
          <w:marTop w:val="0"/>
          <w:marBottom w:val="0"/>
          <w:divBdr>
            <w:top w:val="none" w:sz="0" w:space="0" w:color="auto"/>
            <w:left w:val="none" w:sz="0" w:space="0" w:color="auto"/>
            <w:bottom w:val="none" w:sz="0" w:space="0" w:color="auto"/>
            <w:right w:val="none" w:sz="0" w:space="0" w:color="auto"/>
          </w:divBdr>
        </w:div>
        <w:div w:id="1903247880">
          <w:marLeft w:val="0"/>
          <w:marRight w:val="0"/>
          <w:marTop w:val="0"/>
          <w:marBottom w:val="0"/>
          <w:divBdr>
            <w:top w:val="none" w:sz="0" w:space="0" w:color="auto"/>
            <w:left w:val="none" w:sz="0" w:space="0" w:color="auto"/>
            <w:bottom w:val="none" w:sz="0" w:space="0" w:color="auto"/>
            <w:right w:val="none" w:sz="0" w:space="0" w:color="auto"/>
          </w:divBdr>
        </w:div>
        <w:div w:id="1345595378">
          <w:marLeft w:val="0"/>
          <w:marRight w:val="0"/>
          <w:marTop w:val="0"/>
          <w:marBottom w:val="0"/>
          <w:divBdr>
            <w:top w:val="none" w:sz="0" w:space="0" w:color="auto"/>
            <w:left w:val="none" w:sz="0" w:space="0" w:color="auto"/>
            <w:bottom w:val="none" w:sz="0" w:space="0" w:color="auto"/>
            <w:right w:val="none" w:sz="0" w:space="0" w:color="auto"/>
          </w:divBdr>
        </w:div>
        <w:div w:id="191000166">
          <w:marLeft w:val="0"/>
          <w:marRight w:val="0"/>
          <w:marTop w:val="0"/>
          <w:marBottom w:val="0"/>
          <w:divBdr>
            <w:top w:val="none" w:sz="0" w:space="0" w:color="auto"/>
            <w:left w:val="none" w:sz="0" w:space="0" w:color="auto"/>
            <w:bottom w:val="none" w:sz="0" w:space="0" w:color="auto"/>
            <w:right w:val="none" w:sz="0" w:space="0" w:color="auto"/>
          </w:divBdr>
        </w:div>
        <w:div w:id="1784106926">
          <w:marLeft w:val="0"/>
          <w:marRight w:val="0"/>
          <w:marTop w:val="0"/>
          <w:marBottom w:val="0"/>
          <w:divBdr>
            <w:top w:val="none" w:sz="0" w:space="0" w:color="auto"/>
            <w:left w:val="none" w:sz="0" w:space="0" w:color="auto"/>
            <w:bottom w:val="none" w:sz="0" w:space="0" w:color="auto"/>
            <w:right w:val="none" w:sz="0" w:space="0" w:color="auto"/>
          </w:divBdr>
        </w:div>
        <w:div w:id="1812551099">
          <w:marLeft w:val="0"/>
          <w:marRight w:val="0"/>
          <w:marTop w:val="0"/>
          <w:marBottom w:val="0"/>
          <w:divBdr>
            <w:top w:val="none" w:sz="0" w:space="0" w:color="auto"/>
            <w:left w:val="none" w:sz="0" w:space="0" w:color="auto"/>
            <w:bottom w:val="none" w:sz="0" w:space="0" w:color="auto"/>
            <w:right w:val="none" w:sz="0" w:space="0" w:color="auto"/>
          </w:divBdr>
        </w:div>
        <w:div w:id="361250581">
          <w:marLeft w:val="0"/>
          <w:marRight w:val="0"/>
          <w:marTop w:val="0"/>
          <w:marBottom w:val="0"/>
          <w:divBdr>
            <w:top w:val="none" w:sz="0" w:space="0" w:color="auto"/>
            <w:left w:val="none" w:sz="0" w:space="0" w:color="auto"/>
            <w:bottom w:val="none" w:sz="0" w:space="0" w:color="auto"/>
            <w:right w:val="none" w:sz="0" w:space="0" w:color="auto"/>
          </w:divBdr>
        </w:div>
        <w:div w:id="418065202">
          <w:marLeft w:val="0"/>
          <w:marRight w:val="0"/>
          <w:marTop w:val="0"/>
          <w:marBottom w:val="0"/>
          <w:divBdr>
            <w:top w:val="none" w:sz="0" w:space="0" w:color="auto"/>
            <w:left w:val="none" w:sz="0" w:space="0" w:color="auto"/>
            <w:bottom w:val="none" w:sz="0" w:space="0" w:color="auto"/>
            <w:right w:val="none" w:sz="0" w:space="0" w:color="auto"/>
          </w:divBdr>
        </w:div>
        <w:div w:id="624821803">
          <w:marLeft w:val="0"/>
          <w:marRight w:val="0"/>
          <w:marTop w:val="0"/>
          <w:marBottom w:val="0"/>
          <w:divBdr>
            <w:top w:val="none" w:sz="0" w:space="0" w:color="auto"/>
            <w:left w:val="none" w:sz="0" w:space="0" w:color="auto"/>
            <w:bottom w:val="none" w:sz="0" w:space="0" w:color="auto"/>
            <w:right w:val="none" w:sz="0" w:space="0" w:color="auto"/>
          </w:divBdr>
        </w:div>
        <w:div w:id="746800637">
          <w:marLeft w:val="0"/>
          <w:marRight w:val="0"/>
          <w:marTop w:val="0"/>
          <w:marBottom w:val="0"/>
          <w:divBdr>
            <w:top w:val="none" w:sz="0" w:space="0" w:color="auto"/>
            <w:left w:val="none" w:sz="0" w:space="0" w:color="auto"/>
            <w:bottom w:val="none" w:sz="0" w:space="0" w:color="auto"/>
            <w:right w:val="none" w:sz="0" w:space="0" w:color="auto"/>
          </w:divBdr>
        </w:div>
        <w:div w:id="687214601">
          <w:marLeft w:val="0"/>
          <w:marRight w:val="0"/>
          <w:marTop w:val="0"/>
          <w:marBottom w:val="0"/>
          <w:divBdr>
            <w:top w:val="none" w:sz="0" w:space="0" w:color="auto"/>
            <w:left w:val="none" w:sz="0" w:space="0" w:color="auto"/>
            <w:bottom w:val="none" w:sz="0" w:space="0" w:color="auto"/>
            <w:right w:val="none" w:sz="0" w:space="0" w:color="auto"/>
          </w:divBdr>
        </w:div>
        <w:div w:id="611474718">
          <w:marLeft w:val="0"/>
          <w:marRight w:val="0"/>
          <w:marTop w:val="0"/>
          <w:marBottom w:val="0"/>
          <w:divBdr>
            <w:top w:val="none" w:sz="0" w:space="0" w:color="auto"/>
            <w:left w:val="none" w:sz="0" w:space="0" w:color="auto"/>
            <w:bottom w:val="none" w:sz="0" w:space="0" w:color="auto"/>
            <w:right w:val="none" w:sz="0" w:space="0" w:color="auto"/>
          </w:divBdr>
        </w:div>
        <w:div w:id="951480442">
          <w:marLeft w:val="0"/>
          <w:marRight w:val="0"/>
          <w:marTop w:val="0"/>
          <w:marBottom w:val="0"/>
          <w:divBdr>
            <w:top w:val="none" w:sz="0" w:space="0" w:color="auto"/>
            <w:left w:val="none" w:sz="0" w:space="0" w:color="auto"/>
            <w:bottom w:val="none" w:sz="0" w:space="0" w:color="auto"/>
            <w:right w:val="none" w:sz="0" w:space="0" w:color="auto"/>
          </w:divBdr>
          <w:divsChild>
            <w:div w:id="1579973973">
              <w:marLeft w:val="0"/>
              <w:marRight w:val="0"/>
              <w:marTop w:val="0"/>
              <w:marBottom w:val="0"/>
              <w:divBdr>
                <w:top w:val="none" w:sz="0" w:space="0" w:color="auto"/>
                <w:left w:val="none" w:sz="0" w:space="0" w:color="auto"/>
                <w:bottom w:val="none" w:sz="0" w:space="0" w:color="auto"/>
                <w:right w:val="none" w:sz="0" w:space="0" w:color="auto"/>
              </w:divBdr>
            </w:div>
            <w:div w:id="1650547809">
              <w:marLeft w:val="0"/>
              <w:marRight w:val="0"/>
              <w:marTop w:val="0"/>
              <w:marBottom w:val="0"/>
              <w:divBdr>
                <w:top w:val="none" w:sz="0" w:space="0" w:color="auto"/>
                <w:left w:val="none" w:sz="0" w:space="0" w:color="auto"/>
                <w:bottom w:val="none" w:sz="0" w:space="0" w:color="auto"/>
                <w:right w:val="none" w:sz="0" w:space="0" w:color="auto"/>
              </w:divBdr>
            </w:div>
            <w:div w:id="473721490">
              <w:marLeft w:val="0"/>
              <w:marRight w:val="0"/>
              <w:marTop w:val="0"/>
              <w:marBottom w:val="0"/>
              <w:divBdr>
                <w:top w:val="none" w:sz="0" w:space="0" w:color="auto"/>
                <w:left w:val="none" w:sz="0" w:space="0" w:color="auto"/>
                <w:bottom w:val="none" w:sz="0" w:space="0" w:color="auto"/>
                <w:right w:val="none" w:sz="0" w:space="0" w:color="auto"/>
              </w:divBdr>
            </w:div>
            <w:div w:id="416482268">
              <w:marLeft w:val="0"/>
              <w:marRight w:val="0"/>
              <w:marTop w:val="0"/>
              <w:marBottom w:val="0"/>
              <w:divBdr>
                <w:top w:val="none" w:sz="0" w:space="0" w:color="auto"/>
                <w:left w:val="none" w:sz="0" w:space="0" w:color="auto"/>
                <w:bottom w:val="none" w:sz="0" w:space="0" w:color="auto"/>
                <w:right w:val="none" w:sz="0" w:space="0" w:color="auto"/>
              </w:divBdr>
            </w:div>
            <w:div w:id="516963697">
              <w:marLeft w:val="0"/>
              <w:marRight w:val="0"/>
              <w:marTop w:val="0"/>
              <w:marBottom w:val="0"/>
              <w:divBdr>
                <w:top w:val="none" w:sz="0" w:space="0" w:color="auto"/>
                <w:left w:val="none" w:sz="0" w:space="0" w:color="auto"/>
                <w:bottom w:val="none" w:sz="0" w:space="0" w:color="auto"/>
                <w:right w:val="none" w:sz="0" w:space="0" w:color="auto"/>
              </w:divBdr>
            </w:div>
            <w:div w:id="1114324477">
              <w:marLeft w:val="0"/>
              <w:marRight w:val="0"/>
              <w:marTop w:val="0"/>
              <w:marBottom w:val="0"/>
              <w:divBdr>
                <w:top w:val="none" w:sz="0" w:space="0" w:color="auto"/>
                <w:left w:val="none" w:sz="0" w:space="0" w:color="auto"/>
                <w:bottom w:val="none" w:sz="0" w:space="0" w:color="auto"/>
                <w:right w:val="none" w:sz="0" w:space="0" w:color="auto"/>
              </w:divBdr>
            </w:div>
            <w:div w:id="557131196">
              <w:marLeft w:val="0"/>
              <w:marRight w:val="0"/>
              <w:marTop w:val="0"/>
              <w:marBottom w:val="0"/>
              <w:divBdr>
                <w:top w:val="none" w:sz="0" w:space="0" w:color="auto"/>
                <w:left w:val="none" w:sz="0" w:space="0" w:color="auto"/>
                <w:bottom w:val="none" w:sz="0" w:space="0" w:color="auto"/>
                <w:right w:val="none" w:sz="0" w:space="0" w:color="auto"/>
              </w:divBdr>
            </w:div>
            <w:div w:id="677344304">
              <w:marLeft w:val="0"/>
              <w:marRight w:val="0"/>
              <w:marTop w:val="0"/>
              <w:marBottom w:val="0"/>
              <w:divBdr>
                <w:top w:val="none" w:sz="0" w:space="0" w:color="auto"/>
                <w:left w:val="none" w:sz="0" w:space="0" w:color="auto"/>
                <w:bottom w:val="none" w:sz="0" w:space="0" w:color="auto"/>
                <w:right w:val="none" w:sz="0" w:space="0" w:color="auto"/>
              </w:divBdr>
            </w:div>
            <w:div w:id="145636699">
              <w:marLeft w:val="0"/>
              <w:marRight w:val="0"/>
              <w:marTop w:val="0"/>
              <w:marBottom w:val="0"/>
              <w:divBdr>
                <w:top w:val="none" w:sz="0" w:space="0" w:color="auto"/>
                <w:left w:val="none" w:sz="0" w:space="0" w:color="auto"/>
                <w:bottom w:val="none" w:sz="0" w:space="0" w:color="auto"/>
                <w:right w:val="none" w:sz="0" w:space="0" w:color="auto"/>
              </w:divBdr>
            </w:div>
            <w:div w:id="1819953653">
              <w:marLeft w:val="0"/>
              <w:marRight w:val="0"/>
              <w:marTop w:val="0"/>
              <w:marBottom w:val="0"/>
              <w:divBdr>
                <w:top w:val="none" w:sz="0" w:space="0" w:color="auto"/>
                <w:left w:val="none" w:sz="0" w:space="0" w:color="auto"/>
                <w:bottom w:val="none" w:sz="0" w:space="0" w:color="auto"/>
                <w:right w:val="none" w:sz="0" w:space="0" w:color="auto"/>
              </w:divBdr>
            </w:div>
            <w:div w:id="1656301881">
              <w:marLeft w:val="0"/>
              <w:marRight w:val="0"/>
              <w:marTop w:val="0"/>
              <w:marBottom w:val="0"/>
              <w:divBdr>
                <w:top w:val="none" w:sz="0" w:space="0" w:color="auto"/>
                <w:left w:val="none" w:sz="0" w:space="0" w:color="auto"/>
                <w:bottom w:val="none" w:sz="0" w:space="0" w:color="auto"/>
                <w:right w:val="none" w:sz="0" w:space="0" w:color="auto"/>
              </w:divBdr>
            </w:div>
            <w:div w:id="284701742">
              <w:marLeft w:val="0"/>
              <w:marRight w:val="0"/>
              <w:marTop w:val="0"/>
              <w:marBottom w:val="0"/>
              <w:divBdr>
                <w:top w:val="none" w:sz="0" w:space="0" w:color="auto"/>
                <w:left w:val="none" w:sz="0" w:space="0" w:color="auto"/>
                <w:bottom w:val="none" w:sz="0" w:space="0" w:color="auto"/>
                <w:right w:val="none" w:sz="0" w:space="0" w:color="auto"/>
              </w:divBdr>
            </w:div>
            <w:div w:id="1920821363">
              <w:marLeft w:val="0"/>
              <w:marRight w:val="0"/>
              <w:marTop w:val="0"/>
              <w:marBottom w:val="0"/>
              <w:divBdr>
                <w:top w:val="none" w:sz="0" w:space="0" w:color="auto"/>
                <w:left w:val="none" w:sz="0" w:space="0" w:color="auto"/>
                <w:bottom w:val="none" w:sz="0" w:space="0" w:color="auto"/>
                <w:right w:val="none" w:sz="0" w:space="0" w:color="auto"/>
              </w:divBdr>
            </w:div>
            <w:div w:id="556740924">
              <w:marLeft w:val="0"/>
              <w:marRight w:val="0"/>
              <w:marTop w:val="0"/>
              <w:marBottom w:val="0"/>
              <w:divBdr>
                <w:top w:val="none" w:sz="0" w:space="0" w:color="auto"/>
                <w:left w:val="none" w:sz="0" w:space="0" w:color="auto"/>
                <w:bottom w:val="none" w:sz="0" w:space="0" w:color="auto"/>
                <w:right w:val="none" w:sz="0" w:space="0" w:color="auto"/>
              </w:divBdr>
            </w:div>
            <w:div w:id="1839229766">
              <w:marLeft w:val="0"/>
              <w:marRight w:val="0"/>
              <w:marTop w:val="0"/>
              <w:marBottom w:val="0"/>
              <w:divBdr>
                <w:top w:val="none" w:sz="0" w:space="0" w:color="auto"/>
                <w:left w:val="none" w:sz="0" w:space="0" w:color="auto"/>
                <w:bottom w:val="none" w:sz="0" w:space="0" w:color="auto"/>
                <w:right w:val="none" w:sz="0" w:space="0" w:color="auto"/>
              </w:divBdr>
            </w:div>
            <w:div w:id="2105760832">
              <w:marLeft w:val="0"/>
              <w:marRight w:val="0"/>
              <w:marTop w:val="0"/>
              <w:marBottom w:val="0"/>
              <w:divBdr>
                <w:top w:val="none" w:sz="0" w:space="0" w:color="auto"/>
                <w:left w:val="none" w:sz="0" w:space="0" w:color="auto"/>
                <w:bottom w:val="none" w:sz="0" w:space="0" w:color="auto"/>
                <w:right w:val="none" w:sz="0" w:space="0" w:color="auto"/>
              </w:divBdr>
            </w:div>
            <w:div w:id="971326965">
              <w:marLeft w:val="0"/>
              <w:marRight w:val="0"/>
              <w:marTop w:val="0"/>
              <w:marBottom w:val="0"/>
              <w:divBdr>
                <w:top w:val="none" w:sz="0" w:space="0" w:color="auto"/>
                <w:left w:val="none" w:sz="0" w:space="0" w:color="auto"/>
                <w:bottom w:val="none" w:sz="0" w:space="0" w:color="auto"/>
                <w:right w:val="none" w:sz="0" w:space="0" w:color="auto"/>
              </w:divBdr>
            </w:div>
            <w:div w:id="1681197264">
              <w:marLeft w:val="0"/>
              <w:marRight w:val="0"/>
              <w:marTop w:val="0"/>
              <w:marBottom w:val="0"/>
              <w:divBdr>
                <w:top w:val="none" w:sz="0" w:space="0" w:color="auto"/>
                <w:left w:val="none" w:sz="0" w:space="0" w:color="auto"/>
                <w:bottom w:val="none" w:sz="0" w:space="0" w:color="auto"/>
                <w:right w:val="none" w:sz="0" w:space="0" w:color="auto"/>
              </w:divBdr>
            </w:div>
            <w:div w:id="699478528">
              <w:marLeft w:val="0"/>
              <w:marRight w:val="0"/>
              <w:marTop w:val="0"/>
              <w:marBottom w:val="0"/>
              <w:divBdr>
                <w:top w:val="none" w:sz="0" w:space="0" w:color="auto"/>
                <w:left w:val="none" w:sz="0" w:space="0" w:color="auto"/>
                <w:bottom w:val="none" w:sz="0" w:space="0" w:color="auto"/>
                <w:right w:val="none" w:sz="0" w:space="0" w:color="auto"/>
              </w:divBdr>
            </w:div>
            <w:div w:id="464003807">
              <w:marLeft w:val="0"/>
              <w:marRight w:val="0"/>
              <w:marTop w:val="0"/>
              <w:marBottom w:val="0"/>
              <w:divBdr>
                <w:top w:val="none" w:sz="0" w:space="0" w:color="auto"/>
                <w:left w:val="none" w:sz="0" w:space="0" w:color="auto"/>
                <w:bottom w:val="none" w:sz="0" w:space="0" w:color="auto"/>
                <w:right w:val="none" w:sz="0" w:space="0" w:color="auto"/>
              </w:divBdr>
            </w:div>
            <w:div w:id="1575969067">
              <w:marLeft w:val="0"/>
              <w:marRight w:val="0"/>
              <w:marTop w:val="0"/>
              <w:marBottom w:val="0"/>
              <w:divBdr>
                <w:top w:val="none" w:sz="0" w:space="0" w:color="auto"/>
                <w:left w:val="none" w:sz="0" w:space="0" w:color="auto"/>
                <w:bottom w:val="none" w:sz="0" w:space="0" w:color="auto"/>
                <w:right w:val="none" w:sz="0" w:space="0" w:color="auto"/>
              </w:divBdr>
            </w:div>
            <w:div w:id="1501461412">
              <w:marLeft w:val="0"/>
              <w:marRight w:val="0"/>
              <w:marTop w:val="0"/>
              <w:marBottom w:val="0"/>
              <w:divBdr>
                <w:top w:val="none" w:sz="0" w:space="0" w:color="auto"/>
                <w:left w:val="none" w:sz="0" w:space="0" w:color="auto"/>
                <w:bottom w:val="none" w:sz="0" w:space="0" w:color="auto"/>
                <w:right w:val="none" w:sz="0" w:space="0" w:color="auto"/>
              </w:divBdr>
            </w:div>
            <w:div w:id="1780252670">
              <w:marLeft w:val="0"/>
              <w:marRight w:val="0"/>
              <w:marTop w:val="0"/>
              <w:marBottom w:val="0"/>
              <w:divBdr>
                <w:top w:val="none" w:sz="0" w:space="0" w:color="auto"/>
                <w:left w:val="none" w:sz="0" w:space="0" w:color="auto"/>
                <w:bottom w:val="none" w:sz="0" w:space="0" w:color="auto"/>
                <w:right w:val="none" w:sz="0" w:space="0" w:color="auto"/>
              </w:divBdr>
            </w:div>
            <w:div w:id="1628852924">
              <w:marLeft w:val="0"/>
              <w:marRight w:val="0"/>
              <w:marTop w:val="0"/>
              <w:marBottom w:val="0"/>
              <w:divBdr>
                <w:top w:val="none" w:sz="0" w:space="0" w:color="auto"/>
                <w:left w:val="none" w:sz="0" w:space="0" w:color="auto"/>
                <w:bottom w:val="none" w:sz="0" w:space="0" w:color="auto"/>
                <w:right w:val="none" w:sz="0" w:space="0" w:color="auto"/>
              </w:divBdr>
            </w:div>
            <w:div w:id="86580725">
              <w:marLeft w:val="0"/>
              <w:marRight w:val="0"/>
              <w:marTop w:val="0"/>
              <w:marBottom w:val="0"/>
              <w:divBdr>
                <w:top w:val="none" w:sz="0" w:space="0" w:color="auto"/>
                <w:left w:val="none" w:sz="0" w:space="0" w:color="auto"/>
                <w:bottom w:val="none" w:sz="0" w:space="0" w:color="auto"/>
                <w:right w:val="none" w:sz="0" w:space="0" w:color="auto"/>
              </w:divBdr>
            </w:div>
            <w:div w:id="1371765264">
              <w:marLeft w:val="0"/>
              <w:marRight w:val="0"/>
              <w:marTop w:val="0"/>
              <w:marBottom w:val="0"/>
              <w:divBdr>
                <w:top w:val="none" w:sz="0" w:space="0" w:color="auto"/>
                <w:left w:val="none" w:sz="0" w:space="0" w:color="auto"/>
                <w:bottom w:val="none" w:sz="0" w:space="0" w:color="auto"/>
                <w:right w:val="none" w:sz="0" w:space="0" w:color="auto"/>
              </w:divBdr>
            </w:div>
            <w:div w:id="1749575179">
              <w:marLeft w:val="0"/>
              <w:marRight w:val="0"/>
              <w:marTop w:val="0"/>
              <w:marBottom w:val="0"/>
              <w:divBdr>
                <w:top w:val="none" w:sz="0" w:space="0" w:color="auto"/>
                <w:left w:val="none" w:sz="0" w:space="0" w:color="auto"/>
                <w:bottom w:val="none" w:sz="0" w:space="0" w:color="auto"/>
                <w:right w:val="none" w:sz="0" w:space="0" w:color="auto"/>
              </w:divBdr>
            </w:div>
            <w:div w:id="1679428478">
              <w:marLeft w:val="0"/>
              <w:marRight w:val="0"/>
              <w:marTop w:val="0"/>
              <w:marBottom w:val="0"/>
              <w:divBdr>
                <w:top w:val="none" w:sz="0" w:space="0" w:color="auto"/>
                <w:left w:val="none" w:sz="0" w:space="0" w:color="auto"/>
                <w:bottom w:val="none" w:sz="0" w:space="0" w:color="auto"/>
                <w:right w:val="none" w:sz="0" w:space="0" w:color="auto"/>
              </w:divBdr>
            </w:div>
            <w:div w:id="1851336670">
              <w:marLeft w:val="0"/>
              <w:marRight w:val="0"/>
              <w:marTop w:val="0"/>
              <w:marBottom w:val="0"/>
              <w:divBdr>
                <w:top w:val="none" w:sz="0" w:space="0" w:color="auto"/>
                <w:left w:val="none" w:sz="0" w:space="0" w:color="auto"/>
                <w:bottom w:val="none" w:sz="0" w:space="0" w:color="auto"/>
                <w:right w:val="none" w:sz="0" w:space="0" w:color="auto"/>
              </w:divBdr>
            </w:div>
            <w:div w:id="31811355">
              <w:marLeft w:val="0"/>
              <w:marRight w:val="0"/>
              <w:marTop w:val="0"/>
              <w:marBottom w:val="0"/>
              <w:divBdr>
                <w:top w:val="none" w:sz="0" w:space="0" w:color="auto"/>
                <w:left w:val="none" w:sz="0" w:space="0" w:color="auto"/>
                <w:bottom w:val="none" w:sz="0" w:space="0" w:color="auto"/>
                <w:right w:val="none" w:sz="0" w:space="0" w:color="auto"/>
              </w:divBdr>
            </w:div>
            <w:div w:id="726105813">
              <w:marLeft w:val="0"/>
              <w:marRight w:val="0"/>
              <w:marTop w:val="0"/>
              <w:marBottom w:val="0"/>
              <w:divBdr>
                <w:top w:val="none" w:sz="0" w:space="0" w:color="auto"/>
                <w:left w:val="none" w:sz="0" w:space="0" w:color="auto"/>
                <w:bottom w:val="none" w:sz="0" w:space="0" w:color="auto"/>
                <w:right w:val="none" w:sz="0" w:space="0" w:color="auto"/>
              </w:divBdr>
            </w:div>
            <w:div w:id="1872373851">
              <w:marLeft w:val="0"/>
              <w:marRight w:val="0"/>
              <w:marTop w:val="0"/>
              <w:marBottom w:val="0"/>
              <w:divBdr>
                <w:top w:val="none" w:sz="0" w:space="0" w:color="auto"/>
                <w:left w:val="none" w:sz="0" w:space="0" w:color="auto"/>
                <w:bottom w:val="none" w:sz="0" w:space="0" w:color="auto"/>
                <w:right w:val="none" w:sz="0" w:space="0" w:color="auto"/>
              </w:divBdr>
            </w:div>
          </w:divsChild>
        </w:div>
        <w:div w:id="2102068191">
          <w:marLeft w:val="0"/>
          <w:marRight w:val="0"/>
          <w:marTop w:val="0"/>
          <w:marBottom w:val="0"/>
          <w:divBdr>
            <w:top w:val="none" w:sz="0" w:space="0" w:color="auto"/>
            <w:left w:val="none" w:sz="0" w:space="0" w:color="auto"/>
            <w:bottom w:val="none" w:sz="0" w:space="0" w:color="auto"/>
            <w:right w:val="none" w:sz="0" w:space="0" w:color="auto"/>
          </w:divBdr>
          <w:divsChild>
            <w:div w:id="510603690">
              <w:marLeft w:val="0"/>
              <w:marRight w:val="0"/>
              <w:marTop w:val="0"/>
              <w:marBottom w:val="0"/>
              <w:divBdr>
                <w:top w:val="none" w:sz="0" w:space="0" w:color="auto"/>
                <w:left w:val="none" w:sz="0" w:space="0" w:color="auto"/>
                <w:bottom w:val="none" w:sz="0" w:space="0" w:color="auto"/>
                <w:right w:val="none" w:sz="0" w:space="0" w:color="auto"/>
              </w:divBdr>
            </w:div>
            <w:div w:id="1448885460">
              <w:marLeft w:val="0"/>
              <w:marRight w:val="0"/>
              <w:marTop w:val="0"/>
              <w:marBottom w:val="0"/>
              <w:divBdr>
                <w:top w:val="none" w:sz="0" w:space="0" w:color="auto"/>
                <w:left w:val="none" w:sz="0" w:space="0" w:color="auto"/>
                <w:bottom w:val="none" w:sz="0" w:space="0" w:color="auto"/>
                <w:right w:val="none" w:sz="0" w:space="0" w:color="auto"/>
              </w:divBdr>
            </w:div>
            <w:div w:id="864368187">
              <w:marLeft w:val="0"/>
              <w:marRight w:val="0"/>
              <w:marTop w:val="0"/>
              <w:marBottom w:val="0"/>
              <w:divBdr>
                <w:top w:val="none" w:sz="0" w:space="0" w:color="auto"/>
                <w:left w:val="none" w:sz="0" w:space="0" w:color="auto"/>
                <w:bottom w:val="none" w:sz="0" w:space="0" w:color="auto"/>
                <w:right w:val="none" w:sz="0" w:space="0" w:color="auto"/>
              </w:divBdr>
            </w:div>
            <w:div w:id="2054959822">
              <w:marLeft w:val="0"/>
              <w:marRight w:val="0"/>
              <w:marTop w:val="0"/>
              <w:marBottom w:val="0"/>
              <w:divBdr>
                <w:top w:val="none" w:sz="0" w:space="0" w:color="auto"/>
                <w:left w:val="none" w:sz="0" w:space="0" w:color="auto"/>
                <w:bottom w:val="none" w:sz="0" w:space="0" w:color="auto"/>
                <w:right w:val="none" w:sz="0" w:space="0" w:color="auto"/>
              </w:divBdr>
            </w:div>
            <w:div w:id="379205518">
              <w:marLeft w:val="0"/>
              <w:marRight w:val="0"/>
              <w:marTop w:val="0"/>
              <w:marBottom w:val="0"/>
              <w:divBdr>
                <w:top w:val="none" w:sz="0" w:space="0" w:color="auto"/>
                <w:left w:val="none" w:sz="0" w:space="0" w:color="auto"/>
                <w:bottom w:val="none" w:sz="0" w:space="0" w:color="auto"/>
                <w:right w:val="none" w:sz="0" w:space="0" w:color="auto"/>
              </w:divBdr>
            </w:div>
            <w:div w:id="1730421390">
              <w:marLeft w:val="0"/>
              <w:marRight w:val="0"/>
              <w:marTop w:val="0"/>
              <w:marBottom w:val="0"/>
              <w:divBdr>
                <w:top w:val="none" w:sz="0" w:space="0" w:color="auto"/>
                <w:left w:val="none" w:sz="0" w:space="0" w:color="auto"/>
                <w:bottom w:val="none" w:sz="0" w:space="0" w:color="auto"/>
                <w:right w:val="none" w:sz="0" w:space="0" w:color="auto"/>
              </w:divBdr>
            </w:div>
            <w:div w:id="710108846">
              <w:marLeft w:val="0"/>
              <w:marRight w:val="0"/>
              <w:marTop w:val="0"/>
              <w:marBottom w:val="0"/>
              <w:divBdr>
                <w:top w:val="none" w:sz="0" w:space="0" w:color="auto"/>
                <w:left w:val="none" w:sz="0" w:space="0" w:color="auto"/>
                <w:bottom w:val="none" w:sz="0" w:space="0" w:color="auto"/>
                <w:right w:val="none" w:sz="0" w:space="0" w:color="auto"/>
              </w:divBdr>
            </w:div>
            <w:div w:id="1289433313">
              <w:marLeft w:val="0"/>
              <w:marRight w:val="0"/>
              <w:marTop w:val="0"/>
              <w:marBottom w:val="0"/>
              <w:divBdr>
                <w:top w:val="none" w:sz="0" w:space="0" w:color="auto"/>
                <w:left w:val="none" w:sz="0" w:space="0" w:color="auto"/>
                <w:bottom w:val="none" w:sz="0" w:space="0" w:color="auto"/>
                <w:right w:val="none" w:sz="0" w:space="0" w:color="auto"/>
              </w:divBdr>
            </w:div>
            <w:div w:id="1135296196">
              <w:marLeft w:val="0"/>
              <w:marRight w:val="0"/>
              <w:marTop w:val="0"/>
              <w:marBottom w:val="0"/>
              <w:divBdr>
                <w:top w:val="none" w:sz="0" w:space="0" w:color="auto"/>
                <w:left w:val="none" w:sz="0" w:space="0" w:color="auto"/>
                <w:bottom w:val="none" w:sz="0" w:space="0" w:color="auto"/>
                <w:right w:val="none" w:sz="0" w:space="0" w:color="auto"/>
              </w:divBdr>
            </w:div>
            <w:div w:id="170030405">
              <w:marLeft w:val="0"/>
              <w:marRight w:val="0"/>
              <w:marTop w:val="0"/>
              <w:marBottom w:val="0"/>
              <w:divBdr>
                <w:top w:val="none" w:sz="0" w:space="0" w:color="auto"/>
                <w:left w:val="none" w:sz="0" w:space="0" w:color="auto"/>
                <w:bottom w:val="none" w:sz="0" w:space="0" w:color="auto"/>
                <w:right w:val="none" w:sz="0" w:space="0" w:color="auto"/>
              </w:divBdr>
            </w:div>
            <w:div w:id="354621689">
              <w:marLeft w:val="0"/>
              <w:marRight w:val="0"/>
              <w:marTop w:val="0"/>
              <w:marBottom w:val="0"/>
              <w:divBdr>
                <w:top w:val="none" w:sz="0" w:space="0" w:color="auto"/>
                <w:left w:val="none" w:sz="0" w:space="0" w:color="auto"/>
                <w:bottom w:val="none" w:sz="0" w:space="0" w:color="auto"/>
                <w:right w:val="none" w:sz="0" w:space="0" w:color="auto"/>
              </w:divBdr>
            </w:div>
            <w:div w:id="634943827">
              <w:marLeft w:val="0"/>
              <w:marRight w:val="0"/>
              <w:marTop w:val="0"/>
              <w:marBottom w:val="0"/>
              <w:divBdr>
                <w:top w:val="none" w:sz="0" w:space="0" w:color="auto"/>
                <w:left w:val="none" w:sz="0" w:space="0" w:color="auto"/>
                <w:bottom w:val="none" w:sz="0" w:space="0" w:color="auto"/>
                <w:right w:val="none" w:sz="0" w:space="0" w:color="auto"/>
              </w:divBdr>
            </w:div>
            <w:div w:id="277883324">
              <w:marLeft w:val="0"/>
              <w:marRight w:val="0"/>
              <w:marTop w:val="0"/>
              <w:marBottom w:val="0"/>
              <w:divBdr>
                <w:top w:val="none" w:sz="0" w:space="0" w:color="auto"/>
                <w:left w:val="none" w:sz="0" w:space="0" w:color="auto"/>
                <w:bottom w:val="none" w:sz="0" w:space="0" w:color="auto"/>
                <w:right w:val="none" w:sz="0" w:space="0" w:color="auto"/>
              </w:divBdr>
            </w:div>
            <w:div w:id="495075880">
              <w:marLeft w:val="0"/>
              <w:marRight w:val="0"/>
              <w:marTop w:val="0"/>
              <w:marBottom w:val="0"/>
              <w:divBdr>
                <w:top w:val="none" w:sz="0" w:space="0" w:color="auto"/>
                <w:left w:val="none" w:sz="0" w:space="0" w:color="auto"/>
                <w:bottom w:val="none" w:sz="0" w:space="0" w:color="auto"/>
                <w:right w:val="none" w:sz="0" w:space="0" w:color="auto"/>
              </w:divBdr>
            </w:div>
            <w:div w:id="473184949">
              <w:marLeft w:val="0"/>
              <w:marRight w:val="0"/>
              <w:marTop w:val="0"/>
              <w:marBottom w:val="0"/>
              <w:divBdr>
                <w:top w:val="none" w:sz="0" w:space="0" w:color="auto"/>
                <w:left w:val="none" w:sz="0" w:space="0" w:color="auto"/>
                <w:bottom w:val="none" w:sz="0" w:space="0" w:color="auto"/>
                <w:right w:val="none" w:sz="0" w:space="0" w:color="auto"/>
              </w:divBdr>
            </w:div>
            <w:div w:id="1534421710">
              <w:marLeft w:val="0"/>
              <w:marRight w:val="0"/>
              <w:marTop w:val="0"/>
              <w:marBottom w:val="0"/>
              <w:divBdr>
                <w:top w:val="none" w:sz="0" w:space="0" w:color="auto"/>
                <w:left w:val="none" w:sz="0" w:space="0" w:color="auto"/>
                <w:bottom w:val="none" w:sz="0" w:space="0" w:color="auto"/>
                <w:right w:val="none" w:sz="0" w:space="0" w:color="auto"/>
              </w:divBdr>
            </w:div>
            <w:div w:id="251932164">
              <w:marLeft w:val="0"/>
              <w:marRight w:val="0"/>
              <w:marTop w:val="0"/>
              <w:marBottom w:val="0"/>
              <w:divBdr>
                <w:top w:val="none" w:sz="0" w:space="0" w:color="auto"/>
                <w:left w:val="none" w:sz="0" w:space="0" w:color="auto"/>
                <w:bottom w:val="none" w:sz="0" w:space="0" w:color="auto"/>
                <w:right w:val="none" w:sz="0" w:space="0" w:color="auto"/>
              </w:divBdr>
            </w:div>
            <w:div w:id="1462377992">
              <w:marLeft w:val="0"/>
              <w:marRight w:val="0"/>
              <w:marTop w:val="0"/>
              <w:marBottom w:val="0"/>
              <w:divBdr>
                <w:top w:val="none" w:sz="0" w:space="0" w:color="auto"/>
                <w:left w:val="none" w:sz="0" w:space="0" w:color="auto"/>
                <w:bottom w:val="none" w:sz="0" w:space="0" w:color="auto"/>
                <w:right w:val="none" w:sz="0" w:space="0" w:color="auto"/>
              </w:divBdr>
            </w:div>
            <w:div w:id="774133740">
              <w:marLeft w:val="0"/>
              <w:marRight w:val="0"/>
              <w:marTop w:val="0"/>
              <w:marBottom w:val="0"/>
              <w:divBdr>
                <w:top w:val="none" w:sz="0" w:space="0" w:color="auto"/>
                <w:left w:val="none" w:sz="0" w:space="0" w:color="auto"/>
                <w:bottom w:val="none" w:sz="0" w:space="0" w:color="auto"/>
                <w:right w:val="none" w:sz="0" w:space="0" w:color="auto"/>
              </w:divBdr>
            </w:div>
            <w:div w:id="315501821">
              <w:marLeft w:val="0"/>
              <w:marRight w:val="0"/>
              <w:marTop w:val="0"/>
              <w:marBottom w:val="0"/>
              <w:divBdr>
                <w:top w:val="none" w:sz="0" w:space="0" w:color="auto"/>
                <w:left w:val="none" w:sz="0" w:space="0" w:color="auto"/>
                <w:bottom w:val="none" w:sz="0" w:space="0" w:color="auto"/>
                <w:right w:val="none" w:sz="0" w:space="0" w:color="auto"/>
              </w:divBdr>
            </w:div>
            <w:div w:id="1914849248">
              <w:marLeft w:val="0"/>
              <w:marRight w:val="0"/>
              <w:marTop w:val="0"/>
              <w:marBottom w:val="0"/>
              <w:divBdr>
                <w:top w:val="none" w:sz="0" w:space="0" w:color="auto"/>
                <w:left w:val="none" w:sz="0" w:space="0" w:color="auto"/>
                <w:bottom w:val="none" w:sz="0" w:space="0" w:color="auto"/>
                <w:right w:val="none" w:sz="0" w:space="0" w:color="auto"/>
              </w:divBdr>
            </w:div>
            <w:div w:id="1974750416">
              <w:marLeft w:val="0"/>
              <w:marRight w:val="0"/>
              <w:marTop w:val="0"/>
              <w:marBottom w:val="0"/>
              <w:divBdr>
                <w:top w:val="none" w:sz="0" w:space="0" w:color="auto"/>
                <w:left w:val="none" w:sz="0" w:space="0" w:color="auto"/>
                <w:bottom w:val="none" w:sz="0" w:space="0" w:color="auto"/>
                <w:right w:val="none" w:sz="0" w:space="0" w:color="auto"/>
              </w:divBdr>
            </w:div>
            <w:div w:id="1838156790">
              <w:marLeft w:val="0"/>
              <w:marRight w:val="0"/>
              <w:marTop w:val="0"/>
              <w:marBottom w:val="0"/>
              <w:divBdr>
                <w:top w:val="none" w:sz="0" w:space="0" w:color="auto"/>
                <w:left w:val="none" w:sz="0" w:space="0" w:color="auto"/>
                <w:bottom w:val="none" w:sz="0" w:space="0" w:color="auto"/>
                <w:right w:val="none" w:sz="0" w:space="0" w:color="auto"/>
              </w:divBdr>
            </w:div>
            <w:div w:id="1428649967">
              <w:marLeft w:val="0"/>
              <w:marRight w:val="0"/>
              <w:marTop w:val="0"/>
              <w:marBottom w:val="0"/>
              <w:divBdr>
                <w:top w:val="none" w:sz="0" w:space="0" w:color="auto"/>
                <w:left w:val="none" w:sz="0" w:space="0" w:color="auto"/>
                <w:bottom w:val="none" w:sz="0" w:space="0" w:color="auto"/>
                <w:right w:val="none" w:sz="0" w:space="0" w:color="auto"/>
              </w:divBdr>
            </w:div>
            <w:div w:id="933394454">
              <w:marLeft w:val="0"/>
              <w:marRight w:val="0"/>
              <w:marTop w:val="0"/>
              <w:marBottom w:val="0"/>
              <w:divBdr>
                <w:top w:val="none" w:sz="0" w:space="0" w:color="auto"/>
                <w:left w:val="none" w:sz="0" w:space="0" w:color="auto"/>
                <w:bottom w:val="none" w:sz="0" w:space="0" w:color="auto"/>
                <w:right w:val="none" w:sz="0" w:space="0" w:color="auto"/>
              </w:divBdr>
            </w:div>
            <w:div w:id="383064859">
              <w:marLeft w:val="0"/>
              <w:marRight w:val="0"/>
              <w:marTop w:val="0"/>
              <w:marBottom w:val="0"/>
              <w:divBdr>
                <w:top w:val="none" w:sz="0" w:space="0" w:color="auto"/>
                <w:left w:val="none" w:sz="0" w:space="0" w:color="auto"/>
                <w:bottom w:val="none" w:sz="0" w:space="0" w:color="auto"/>
                <w:right w:val="none" w:sz="0" w:space="0" w:color="auto"/>
              </w:divBdr>
            </w:div>
            <w:div w:id="2077782774">
              <w:marLeft w:val="0"/>
              <w:marRight w:val="0"/>
              <w:marTop w:val="0"/>
              <w:marBottom w:val="0"/>
              <w:divBdr>
                <w:top w:val="none" w:sz="0" w:space="0" w:color="auto"/>
                <w:left w:val="none" w:sz="0" w:space="0" w:color="auto"/>
                <w:bottom w:val="none" w:sz="0" w:space="0" w:color="auto"/>
                <w:right w:val="none" w:sz="0" w:space="0" w:color="auto"/>
              </w:divBdr>
            </w:div>
            <w:div w:id="2078287172">
              <w:marLeft w:val="0"/>
              <w:marRight w:val="0"/>
              <w:marTop w:val="0"/>
              <w:marBottom w:val="0"/>
              <w:divBdr>
                <w:top w:val="none" w:sz="0" w:space="0" w:color="auto"/>
                <w:left w:val="none" w:sz="0" w:space="0" w:color="auto"/>
                <w:bottom w:val="none" w:sz="0" w:space="0" w:color="auto"/>
                <w:right w:val="none" w:sz="0" w:space="0" w:color="auto"/>
              </w:divBdr>
            </w:div>
            <w:div w:id="1166945362">
              <w:marLeft w:val="0"/>
              <w:marRight w:val="0"/>
              <w:marTop w:val="0"/>
              <w:marBottom w:val="0"/>
              <w:divBdr>
                <w:top w:val="none" w:sz="0" w:space="0" w:color="auto"/>
                <w:left w:val="none" w:sz="0" w:space="0" w:color="auto"/>
                <w:bottom w:val="none" w:sz="0" w:space="0" w:color="auto"/>
                <w:right w:val="none" w:sz="0" w:space="0" w:color="auto"/>
              </w:divBdr>
            </w:div>
            <w:div w:id="1396318329">
              <w:marLeft w:val="0"/>
              <w:marRight w:val="0"/>
              <w:marTop w:val="0"/>
              <w:marBottom w:val="0"/>
              <w:divBdr>
                <w:top w:val="none" w:sz="0" w:space="0" w:color="auto"/>
                <w:left w:val="none" w:sz="0" w:space="0" w:color="auto"/>
                <w:bottom w:val="none" w:sz="0" w:space="0" w:color="auto"/>
                <w:right w:val="none" w:sz="0" w:space="0" w:color="auto"/>
              </w:divBdr>
            </w:div>
            <w:div w:id="1345549891">
              <w:marLeft w:val="0"/>
              <w:marRight w:val="0"/>
              <w:marTop w:val="0"/>
              <w:marBottom w:val="0"/>
              <w:divBdr>
                <w:top w:val="none" w:sz="0" w:space="0" w:color="auto"/>
                <w:left w:val="none" w:sz="0" w:space="0" w:color="auto"/>
                <w:bottom w:val="none" w:sz="0" w:space="0" w:color="auto"/>
                <w:right w:val="none" w:sz="0" w:space="0" w:color="auto"/>
              </w:divBdr>
            </w:div>
            <w:div w:id="160581613">
              <w:marLeft w:val="0"/>
              <w:marRight w:val="0"/>
              <w:marTop w:val="0"/>
              <w:marBottom w:val="0"/>
              <w:divBdr>
                <w:top w:val="none" w:sz="0" w:space="0" w:color="auto"/>
                <w:left w:val="none" w:sz="0" w:space="0" w:color="auto"/>
                <w:bottom w:val="none" w:sz="0" w:space="0" w:color="auto"/>
                <w:right w:val="none" w:sz="0" w:space="0" w:color="auto"/>
              </w:divBdr>
            </w:div>
            <w:div w:id="1961646989">
              <w:marLeft w:val="0"/>
              <w:marRight w:val="0"/>
              <w:marTop w:val="0"/>
              <w:marBottom w:val="0"/>
              <w:divBdr>
                <w:top w:val="none" w:sz="0" w:space="0" w:color="auto"/>
                <w:left w:val="none" w:sz="0" w:space="0" w:color="auto"/>
                <w:bottom w:val="none" w:sz="0" w:space="0" w:color="auto"/>
                <w:right w:val="none" w:sz="0" w:space="0" w:color="auto"/>
              </w:divBdr>
            </w:div>
            <w:div w:id="1339382431">
              <w:marLeft w:val="0"/>
              <w:marRight w:val="0"/>
              <w:marTop w:val="0"/>
              <w:marBottom w:val="0"/>
              <w:divBdr>
                <w:top w:val="none" w:sz="0" w:space="0" w:color="auto"/>
                <w:left w:val="none" w:sz="0" w:space="0" w:color="auto"/>
                <w:bottom w:val="none" w:sz="0" w:space="0" w:color="auto"/>
                <w:right w:val="none" w:sz="0" w:space="0" w:color="auto"/>
              </w:divBdr>
            </w:div>
            <w:div w:id="636104531">
              <w:marLeft w:val="0"/>
              <w:marRight w:val="0"/>
              <w:marTop w:val="0"/>
              <w:marBottom w:val="0"/>
              <w:divBdr>
                <w:top w:val="none" w:sz="0" w:space="0" w:color="auto"/>
                <w:left w:val="none" w:sz="0" w:space="0" w:color="auto"/>
                <w:bottom w:val="none" w:sz="0" w:space="0" w:color="auto"/>
                <w:right w:val="none" w:sz="0" w:space="0" w:color="auto"/>
              </w:divBdr>
            </w:div>
            <w:div w:id="275799565">
              <w:marLeft w:val="0"/>
              <w:marRight w:val="0"/>
              <w:marTop w:val="0"/>
              <w:marBottom w:val="0"/>
              <w:divBdr>
                <w:top w:val="none" w:sz="0" w:space="0" w:color="auto"/>
                <w:left w:val="none" w:sz="0" w:space="0" w:color="auto"/>
                <w:bottom w:val="none" w:sz="0" w:space="0" w:color="auto"/>
                <w:right w:val="none" w:sz="0" w:space="0" w:color="auto"/>
              </w:divBdr>
            </w:div>
            <w:div w:id="782773638">
              <w:marLeft w:val="0"/>
              <w:marRight w:val="0"/>
              <w:marTop w:val="0"/>
              <w:marBottom w:val="0"/>
              <w:divBdr>
                <w:top w:val="none" w:sz="0" w:space="0" w:color="auto"/>
                <w:left w:val="none" w:sz="0" w:space="0" w:color="auto"/>
                <w:bottom w:val="none" w:sz="0" w:space="0" w:color="auto"/>
                <w:right w:val="none" w:sz="0" w:space="0" w:color="auto"/>
              </w:divBdr>
            </w:div>
            <w:div w:id="167255075">
              <w:marLeft w:val="0"/>
              <w:marRight w:val="0"/>
              <w:marTop w:val="0"/>
              <w:marBottom w:val="0"/>
              <w:divBdr>
                <w:top w:val="none" w:sz="0" w:space="0" w:color="auto"/>
                <w:left w:val="none" w:sz="0" w:space="0" w:color="auto"/>
                <w:bottom w:val="none" w:sz="0" w:space="0" w:color="auto"/>
                <w:right w:val="none" w:sz="0" w:space="0" w:color="auto"/>
              </w:divBdr>
            </w:div>
            <w:div w:id="40640329">
              <w:marLeft w:val="0"/>
              <w:marRight w:val="0"/>
              <w:marTop w:val="0"/>
              <w:marBottom w:val="0"/>
              <w:divBdr>
                <w:top w:val="none" w:sz="0" w:space="0" w:color="auto"/>
                <w:left w:val="none" w:sz="0" w:space="0" w:color="auto"/>
                <w:bottom w:val="none" w:sz="0" w:space="0" w:color="auto"/>
                <w:right w:val="none" w:sz="0" w:space="0" w:color="auto"/>
              </w:divBdr>
            </w:div>
            <w:div w:id="1221675861">
              <w:marLeft w:val="0"/>
              <w:marRight w:val="0"/>
              <w:marTop w:val="0"/>
              <w:marBottom w:val="0"/>
              <w:divBdr>
                <w:top w:val="none" w:sz="0" w:space="0" w:color="auto"/>
                <w:left w:val="none" w:sz="0" w:space="0" w:color="auto"/>
                <w:bottom w:val="none" w:sz="0" w:space="0" w:color="auto"/>
                <w:right w:val="none" w:sz="0" w:space="0" w:color="auto"/>
              </w:divBdr>
            </w:div>
            <w:div w:id="641037614">
              <w:marLeft w:val="0"/>
              <w:marRight w:val="0"/>
              <w:marTop w:val="0"/>
              <w:marBottom w:val="0"/>
              <w:divBdr>
                <w:top w:val="none" w:sz="0" w:space="0" w:color="auto"/>
                <w:left w:val="none" w:sz="0" w:space="0" w:color="auto"/>
                <w:bottom w:val="none" w:sz="0" w:space="0" w:color="auto"/>
                <w:right w:val="none" w:sz="0" w:space="0" w:color="auto"/>
              </w:divBdr>
            </w:div>
            <w:div w:id="438180431">
              <w:marLeft w:val="0"/>
              <w:marRight w:val="0"/>
              <w:marTop w:val="0"/>
              <w:marBottom w:val="0"/>
              <w:divBdr>
                <w:top w:val="none" w:sz="0" w:space="0" w:color="auto"/>
                <w:left w:val="none" w:sz="0" w:space="0" w:color="auto"/>
                <w:bottom w:val="none" w:sz="0" w:space="0" w:color="auto"/>
                <w:right w:val="none" w:sz="0" w:space="0" w:color="auto"/>
              </w:divBdr>
            </w:div>
            <w:div w:id="320475230">
              <w:marLeft w:val="0"/>
              <w:marRight w:val="0"/>
              <w:marTop w:val="0"/>
              <w:marBottom w:val="0"/>
              <w:divBdr>
                <w:top w:val="none" w:sz="0" w:space="0" w:color="auto"/>
                <w:left w:val="none" w:sz="0" w:space="0" w:color="auto"/>
                <w:bottom w:val="none" w:sz="0" w:space="0" w:color="auto"/>
                <w:right w:val="none" w:sz="0" w:space="0" w:color="auto"/>
              </w:divBdr>
            </w:div>
            <w:div w:id="2075079787">
              <w:marLeft w:val="0"/>
              <w:marRight w:val="0"/>
              <w:marTop w:val="0"/>
              <w:marBottom w:val="0"/>
              <w:divBdr>
                <w:top w:val="none" w:sz="0" w:space="0" w:color="auto"/>
                <w:left w:val="none" w:sz="0" w:space="0" w:color="auto"/>
                <w:bottom w:val="none" w:sz="0" w:space="0" w:color="auto"/>
                <w:right w:val="none" w:sz="0" w:space="0" w:color="auto"/>
              </w:divBdr>
            </w:div>
            <w:div w:id="2053840565">
              <w:marLeft w:val="0"/>
              <w:marRight w:val="0"/>
              <w:marTop w:val="0"/>
              <w:marBottom w:val="0"/>
              <w:divBdr>
                <w:top w:val="none" w:sz="0" w:space="0" w:color="auto"/>
                <w:left w:val="none" w:sz="0" w:space="0" w:color="auto"/>
                <w:bottom w:val="none" w:sz="0" w:space="0" w:color="auto"/>
                <w:right w:val="none" w:sz="0" w:space="0" w:color="auto"/>
              </w:divBdr>
            </w:div>
            <w:div w:id="95902712">
              <w:marLeft w:val="0"/>
              <w:marRight w:val="0"/>
              <w:marTop w:val="0"/>
              <w:marBottom w:val="0"/>
              <w:divBdr>
                <w:top w:val="none" w:sz="0" w:space="0" w:color="auto"/>
                <w:left w:val="none" w:sz="0" w:space="0" w:color="auto"/>
                <w:bottom w:val="none" w:sz="0" w:space="0" w:color="auto"/>
                <w:right w:val="none" w:sz="0" w:space="0" w:color="auto"/>
              </w:divBdr>
            </w:div>
            <w:div w:id="1241601530">
              <w:marLeft w:val="0"/>
              <w:marRight w:val="0"/>
              <w:marTop w:val="0"/>
              <w:marBottom w:val="0"/>
              <w:divBdr>
                <w:top w:val="none" w:sz="0" w:space="0" w:color="auto"/>
                <w:left w:val="none" w:sz="0" w:space="0" w:color="auto"/>
                <w:bottom w:val="none" w:sz="0" w:space="0" w:color="auto"/>
                <w:right w:val="none" w:sz="0" w:space="0" w:color="auto"/>
              </w:divBdr>
            </w:div>
          </w:divsChild>
        </w:div>
        <w:div w:id="270166709">
          <w:marLeft w:val="0"/>
          <w:marRight w:val="0"/>
          <w:marTop w:val="0"/>
          <w:marBottom w:val="0"/>
          <w:divBdr>
            <w:top w:val="none" w:sz="0" w:space="0" w:color="auto"/>
            <w:left w:val="none" w:sz="0" w:space="0" w:color="auto"/>
            <w:bottom w:val="none" w:sz="0" w:space="0" w:color="auto"/>
            <w:right w:val="none" w:sz="0" w:space="0" w:color="auto"/>
          </w:divBdr>
        </w:div>
        <w:div w:id="1525940798">
          <w:marLeft w:val="0"/>
          <w:marRight w:val="0"/>
          <w:marTop w:val="0"/>
          <w:marBottom w:val="0"/>
          <w:divBdr>
            <w:top w:val="none" w:sz="0" w:space="0" w:color="auto"/>
            <w:left w:val="none" w:sz="0" w:space="0" w:color="auto"/>
            <w:bottom w:val="none" w:sz="0" w:space="0" w:color="auto"/>
            <w:right w:val="none" w:sz="0" w:space="0" w:color="auto"/>
          </w:divBdr>
        </w:div>
        <w:div w:id="521087950">
          <w:marLeft w:val="0"/>
          <w:marRight w:val="0"/>
          <w:marTop w:val="0"/>
          <w:marBottom w:val="0"/>
          <w:divBdr>
            <w:top w:val="none" w:sz="0" w:space="0" w:color="auto"/>
            <w:left w:val="none" w:sz="0" w:space="0" w:color="auto"/>
            <w:bottom w:val="none" w:sz="0" w:space="0" w:color="auto"/>
            <w:right w:val="none" w:sz="0" w:space="0" w:color="auto"/>
          </w:divBdr>
        </w:div>
        <w:div w:id="289215878">
          <w:marLeft w:val="0"/>
          <w:marRight w:val="0"/>
          <w:marTop w:val="0"/>
          <w:marBottom w:val="0"/>
          <w:divBdr>
            <w:top w:val="none" w:sz="0" w:space="0" w:color="auto"/>
            <w:left w:val="none" w:sz="0" w:space="0" w:color="auto"/>
            <w:bottom w:val="none" w:sz="0" w:space="0" w:color="auto"/>
            <w:right w:val="none" w:sz="0" w:space="0" w:color="auto"/>
          </w:divBdr>
        </w:div>
        <w:div w:id="1115053061">
          <w:marLeft w:val="0"/>
          <w:marRight w:val="0"/>
          <w:marTop w:val="0"/>
          <w:marBottom w:val="0"/>
          <w:divBdr>
            <w:top w:val="none" w:sz="0" w:space="0" w:color="auto"/>
            <w:left w:val="none" w:sz="0" w:space="0" w:color="auto"/>
            <w:bottom w:val="none" w:sz="0" w:space="0" w:color="auto"/>
            <w:right w:val="none" w:sz="0" w:space="0" w:color="auto"/>
          </w:divBdr>
        </w:div>
        <w:div w:id="1648629065">
          <w:marLeft w:val="0"/>
          <w:marRight w:val="0"/>
          <w:marTop w:val="0"/>
          <w:marBottom w:val="0"/>
          <w:divBdr>
            <w:top w:val="none" w:sz="0" w:space="0" w:color="auto"/>
            <w:left w:val="none" w:sz="0" w:space="0" w:color="auto"/>
            <w:bottom w:val="none" w:sz="0" w:space="0" w:color="auto"/>
            <w:right w:val="none" w:sz="0" w:space="0" w:color="auto"/>
          </w:divBdr>
        </w:div>
        <w:div w:id="244657535">
          <w:marLeft w:val="0"/>
          <w:marRight w:val="0"/>
          <w:marTop w:val="0"/>
          <w:marBottom w:val="0"/>
          <w:divBdr>
            <w:top w:val="none" w:sz="0" w:space="0" w:color="auto"/>
            <w:left w:val="none" w:sz="0" w:space="0" w:color="auto"/>
            <w:bottom w:val="none" w:sz="0" w:space="0" w:color="auto"/>
            <w:right w:val="none" w:sz="0" w:space="0" w:color="auto"/>
          </w:divBdr>
        </w:div>
        <w:div w:id="2012681583">
          <w:marLeft w:val="0"/>
          <w:marRight w:val="0"/>
          <w:marTop w:val="0"/>
          <w:marBottom w:val="0"/>
          <w:divBdr>
            <w:top w:val="none" w:sz="0" w:space="0" w:color="auto"/>
            <w:left w:val="none" w:sz="0" w:space="0" w:color="auto"/>
            <w:bottom w:val="none" w:sz="0" w:space="0" w:color="auto"/>
            <w:right w:val="none" w:sz="0" w:space="0" w:color="auto"/>
          </w:divBdr>
        </w:div>
        <w:div w:id="1650863705">
          <w:marLeft w:val="0"/>
          <w:marRight w:val="0"/>
          <w:marTop w:val="0"/>
          <w:marBottom w:val="0"/>
          <w:divBdr>
            <w:top w:val="none" w:sz="0" w:space="0" w:color="auto"/>
            <w:left w:val="none" w:sz="0" w:space="0" w:color="auto"/>
            <w:bottom w:val="none" w:sz="0" w:space="0" w:color="auto"/>
            <w:right w:val="none" w:sz="0" w:space="0" w:color="auto"/>
          </w:divBdr>
        </w:div>
        <w:div w:id="446584828">
          <w:marLeft w:val="0"/>
          <w:marRight w:val="0"/>
          <w:marTop w:val="0"/>
          <w:marBottom w:val="0"/>
          <w:divBdr>
            <w:top w:val="none" w:sz="0" w:space="0" w:color="auto"/>
            <w:left w:val="none" w:sz="0" w:space="0" w:color="auto"/>
            <w:bottom w:val="none" w:sz="0" w:space="0" w:color="auto"/>
            <w:right w:val="none" w:sz="0" w:space="0" w:color="auto"/>
          </w:divBdr>
        </w:div>
        <w:div w:id="270167116">
          <w:marLeft w:val="0"/>
          <w:marRight w:val="0"/>
          <w:marTop w:val="0"/>
          <w:marBottom w:val="0"/>
          <w:divBdr>
            <w:top w:val="none" w:sz="0" w:space="0" w:color="auto"/>
            <w:left w:val="none" w:sz="0" w:space="0" w:color="auto"/>
            <w:bottom w:val="none" w:sz="0" w:space="0" w:color="auto"/>
            <w:right w:val="none" w:sz="0" w:space="0" w:color="auto"/>
          </w:divBdr>
        </w:div>
        <w:div w:id="1243490160">
          <w:marLeft w:val="0"/>
          <w:marRight w:val="0"/>
          <w:marTop w:val="0"/>
          <w:marBottom w:val="0"/>
          <w:divBdr>
            <w:top w:val="none" w:sz="0" w:space="0" w:color="auto"/>
            <w:left w:val="none" w:sz="0" w:space="0" w:color="auto"/>
            <w:bottom w:val="none" w:sz="0" w:space="0" w:color="auto"/>
            <w:right w:val="none" w:sz="0" w:space="0" w:color="auto"/>
          </w:divBdr>
        </w:div>
        <w:div w:id="339355526">
          <w:marLeft w:val="0"/>
          <w:marRight w:val="0"/>
          <w:marTop w:val="0"/>
          <w:marBottom w:val="0"/>
          <w:divBdr>
            <w:top w:val="none" w:sz="0" w:space="0" w:color="auto"/>
            <w:left w:val="none" w:sz="0" w:space="0" w:color="auto"/>
            <w:bottom w:val="none" w:sz="0" w:space="0" w:color="auto"/>
            <w:right w:val="none" w:sz="0" w:space="0" w:color="auto"/>
          </w:divBdr>
        </w:div>
        <w:div w:id="1465268490">
          <w:marLeft w:val="0"/>
          <w:marRight w:val="0"/>
          <w:marTop w:val="0"/>
          <w:marBottom w:val="0"/>
          <w:divBdr>
            <w:top w:val="none" w:sz="0" w:space="0" w:color="auto"/>
            <w:left w:val="none" w:sz="0" w:space="0" w:color="auto"/>
            <w:bottom w:val="none" w:sz="0" w:space="0" w:color="auto"/>
            <w:right w:val="none" w:sz="0" w:space="0" w:color="auto"/>
          </w:divBdr>
        </w:div>
        <w:div w:id="1465198310">
          <w:marLeft w:val="0"/>
          <w:marRight w:val="0"/>
          <w:marTop w:val="0"/>
          <w:marBottom w:val="0"/>
          <w:divBdr>
            <w:top w:val="none" w:sz="0" w:space="0" w:color="auto"/>
            <w:left w:val="none" w:sz="0" w:space="0" w:color="auto"/>
            <w:bottom w:val="none" w:sz="0" w:space="0" w:color="auto"/>
            <w:right w:val="none" w:sz="0" w:space="0" w:color="auto"/>
          </w:divBdr>
        </w:div>
        <w:div w:id="1396053513">
          <w:marLeft w:val="0"/>
          <w:marRight w:val="0"/>
          <w:marTop w:val="0"/>
          <w:marBottom w:val="0"/>
          <w:divBdr>
            <w:top w:val="none" w:sz="0" w:space="0" w:color="auto"/>
            <w:left w:val="none" w:sz="0" w:space="0" w:color="auto"/>
            <w:bottom w:val="none" w:sz="0" w:space="0" w:color="auto"/>
            <w:right w:val="none" w:sz="0" w:space="0" w:color="auto"/>
          </w:divBdr>
        </w:div>
        <w:div w:id="1892106212">
          <w:marLeft w:val="0"/>
          <w:marRight w:val="0"/>
          <w:marTop w:val="0"/>
          <w:marBottom w:val="0"/>
          <w:divBdr>
            <w:top w:val="none" w:sz="0" w:space="0" w:color="auto"/>
            <w:left w:val="none" w:sz="0" w:space="0" w:color="auto"/>
            <w:bottom w:val="none" w:sz="0" w:space="0" w:color="auto"/>
            <w:right w:val="none" w:sz="0" w:space="0" w:color="auto"/>
          </w:divBdr>
        </w:div>
        <w:div w:id="815610584">
          <w:marLeft w:val="0"/>
          <w:marRight w:val="0"/>
          <w:marTop w:val="0"/>
          <w:marBottom w:val="0"/>
          <w:divBdr>
            <w:top w:val="none" w:sz="0" w:space="0" w:color="auto"/>
            <w:left w:val="none" w:sz="0" w:space="0" w:color="auto"/>
            <w:bottom w:val="none" w:sz="0" w:space="0" w:color="auto"/>
            <w:right w:val="none" w:sz="0" w:space="0" w:color="auto"/>
          </w:divBdr>
        </w:div>
        <w:div w:id="391734811">
          <w:marLeft w:val="0"/>
          <w:marRight w:val="0"/>
          <w:marTop w:val="0"/>
          <w:marBottom w:val="0"/>
          <w:divBdr>
            <w:top w:val="none" w:sz="0" w:space="0" w:color="auto"/>
            <w:left w:val="none" w:sz="0" w:space="0" w:color="auto"/>
            <w:bottom w:val="none" w:sz="0" w:space="0" w:color="auto"/>
            <w:right w:val="none" w:sz="0" w:space="0" w:color="auto"/>
          </w:divBdr>
        </w:div>
        <w:div w:id="817184208">
          <w:marLeft w:val="0"/>
          <w:marRight w:val="0"/>
          <w:marTop w:val="0"/>
          <w:marBottom w:val="0"/>
          <w:divBdr>
            <w:top w:val="none" w:sz="0" w:space="0" w:color="auto"/>
            <w:left w:val="none" w:sz="0" w:space="0" w:color="auto"/>
            <w:bottom w:val="none" w:sz="0" w:space="0" w:color="auto"/>
            <w:right w:val="none" w:sz="0" w:space="0" w:color="auto"/>
          </w:divBdr>
        </w:div>
      </w:divsChild>
    </w:div>
    <w:div w:id="20051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uroparl.europa.eu/doceo/document/TA-9-2023-0437_F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4792</Words>
  <Characters>27174</Characters>
  <Application>Microsoft Office Word</Application>
  <DocSecurity>0</DocSecurity>
  <Lines>399</Lines>
  <Paragraphs>85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LEFRANCOIS Vaea (ECHO)</dc:creator>
  <cp:keywords/>
  <dc:description/>
  <cp:lastModifiedBy>DELBAER Gerda (SG)</cp:lastModifiedBy>
  <cp:revision>2</cp:revision>
  <cp:lastPrinted>2023-12-21T09:37:00Z</cp:lastPrinted>
  <dcterms:created xsi:type="dcterms:W3CDTF">2024-03-20T08:46:00Z</dcterms:created>
  <dcterms:modified xsi:type="dcterms:W3CDTF">2024-03-20T08:46:00Z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2023-12-14T09:31:38Z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b0db4bb4-0745-4a02-a37e-0f3630e774e7</vt:lpwstr>
  </property>
  <property fmtid="{D5CDD505-2E9C-101B-9397-08002B2CF9AE}" pid="8" name="MSIP_Label_6bd9ddd1-4d20-43f6-abfa-fc3c07406f94_ContentBits">
    <vt:lpwstr>0</vt:lpwstr>
  </property>
</Properties>
</file>