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CC4B" w14:textId="27CA8304" w:rsidR="00465A10" w:rsidRPr="00217EC4" w:rsidRDefault="00963420" w:rsidP="00413229">
      <w:pPr>
        <w:spacing w:after="600"/>
        <w:jc w:val="center"/>
        <w:rPr>
          <w:rFonts w:ascii="Times New Roman" w:hAnsi="Times New Roman"/>
          <w:b/>
        </w:rPr>
      </w:pPr>
      <w:r>
        <w:rPr>
          <w:rFonts w:ascii="Times New Roman" w:hAnsi="Times New Roman"/>
          <w:b/>
        </w:rPr>
        <w:t xml:space="preserve">Suite donnée à la résolution non législative du Parlement européen sur les </w:t>
      </w:r>
      <w:proofErr w:type="gramStart"/>
      <w:r>
        <w:rPr>
          <w:rFonts w:ascii="Times New Roman" w:hAnsi="Times New Roman"/>
          <w:b/>
        </w:rPr>
        <w:t>enjeux  actuels</w:t>
      </w:r>
      <w:proofErr w:type="gramEnd"/>
      <w:r>
        <w:rPr>
          <w:rFonts w:ascii="Times New Roman" w:hAnsi="Times New Roman"/>
          <w:b/>
        </w:rPr>
        <w:t xml:space="preserve"> et futurs en matière de coopération transfrontalière avec les pays voisins</w:t>
      </w:r>
    </w:p>
    <w:p w14:paraId="222E65B7" w14:textId="7C37E0E0" w:rsidR="00963420" w:rsidRPr="00217EC4" w:rsidRDefault="00963420" w:rsidP="0084310E">
      <w:pPr>
        <w:numPr>
          <w:ilvl w:val="0"/>
          <w:numId w:val="34"/>
        </w:numPr>
        <w:ind w:left="567" w:hanging="567"/>
        <w:rPr>
          <w:rFonts w:ascii="Times New Roman" w:hAnsi="Times New Roman"/>
          <w:i/>
          <w:szCs w:val="24"/>
        </w:rPr>
      </w:pPr>
      <w:proofErr w:type="gramStart"/>
      <w:r>
        <w:rPr>
          <w:rFonts w:ascii="Times New Roman" w:hAnsi="Times New Roman"/>
          <w:b/>
        </w:rPr>
        <w:t>Rapporteur:</w:t>
      </w:r>
      <w:proofErr w:type="gramEnd"/>
      <w:r>
        <w:rPr>
          <w:rFonts w:ascii="Times New Roman" w:hAnsi="Times New Roman"/>
        </w:rPr>
        <w:t xml:space="preserve"> Daniel BUDA (PPE / RO)</w:t>
      </w:r>
    </w:p>
    <w:p w14:paraId="6900E183" w14:textId="739EEC36" w:rsidR="00963420" w:rsidRPr="00413229" w:rsidRDefault="00063DCE" w:rsidP="0084310E">
      <w:pPr>
        <w:pStyle w:val="Default"/>
        <w:numPr>
          <w:ilvl w:val="0"/>
          <w:numId w:val="34"/>
        </w:numPr>
        <w:spacing w:after="240"/>
        <w:ind w:left="567" w:hanging="567"/>
        <w:jc w:val="both"/>
        <w:rPr>
          <w:color w:val="auto"/>
        </w:rPr>
      </w:pPr>
      <w:r>
        <w:rPr>
          <w:b/>
          <w:color w:val="auto"/>
        </w:rPr>
        <w:t xml:space="preserve">Numéros de </w:t>
      </w:r>
      <w:proofErr w:type="gramStart"/>
      <w:r>
        <w:rPr>
          <w:b/>
          <w:color w:val="auto"/>
        </w:rPr>
        <w:t>référence:</w:t>
      </w:r>
      <w:proofErr w:type="gramEnd"/>
      <w:r>
        <w:rPr>
          <w:b/>
          <w:color w:val="auto"/>
        </w:rPr>
        <w:t xml:space="preserve"> </w:t>
      </w:r>
      <w:r>
        <w:rPr>
          <w:color w:val="auto"/>
        </w:rPr>
        <w:t xml:space="preserve">2023/2076 (INI) </w:t>
      </w:r>
      <w:r>
        <w:t>/</w:t>
      </w:r>
      <w:r>
        <w:rPr>
          <w:color w:val="auto"/>
        </w:rPr>
        <w:t xml:space="preserve"> </w:t>
      </w:r>
      <w:r>
        <w:t>A9-0415/2023 /</w:t>
      </w:r>
      <w:r>
        <w:rPr>
          <w:color w:val="auto"/>
        </w:rPr>
        <w:t xml:space="preserve"> P9_TA(2024)0015</w:t>
      </w:r>
    </w:p>
    <w:p w14:paraId="61D85C18" w14:textId="50F88B23" w:rsidR="001F0B89" w:rsidRPr="00217EC4" w:rsidRDefault="00963420" w:rsidP="0084310E">
      <w:pPr>
        <w:numPr>
          <w:ilvl w:val="0"/>
          <w:numId w:val="34"/>
        </w:numPr>
        <w:ind w:left="567" w:hanging="567"/>
        <w:rPr>
          <w:rFonts w:ascii="Times New Roman" w:hAnsi="Times New Roman"/>
          <w:szCs w:val="24"/>
        </w:rPr>
      </w:pP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rPr>
        <w:t xml:space="preserve"> 16 janvier 2024 </w:t>
      </w:r>
    </w:p>
    <w:p w14:paraId="4A4A57B5" w14:textId="54DE70FC" w:rsidR="00906FF7" w:rsidRPr="00217EC4" w:rsidRDefault="00963420" w:rsidP="00EC501E">
      <w:pPr>
        <w:numPr>
          <w:ilvl w:val="0"/>
          <w:numId w:val="34"/>
        </w:numPr>
        <w:ind w:left="567" w:hanging="567"/>
        <w:rPr>
          <w:rFonts w:ascii="Times New Roman" w:hAnsi="Times New Roman"/>
          <w:bCs/>
          <w:i/>
          <w:szCs w:val="24"/>
        </w:rPr>
      </w:pP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b/>
        </w:rPr>
        <w:t xml:space="preserve"> </w:t>
      </w:r>
      <w:r>
        <w:rPr>
          <w:rFonts w:ascii="Times New Roman" w:hAnsi="Times New Roman"/>
        </w:rPr>
        <w:t>commission du développement régional (REGI)</w:t>
      </w:r>
    </w:p>
    <w:p w14:paraId="1540F533" w14:textId="24723351" w:rsidR="00963420" w:rsidRPr="00217EC4"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w:t>
      </w:r>
      <w:proofErr w:type="gramStart"/>
      <w:r>
        <w:rPr>
          <w:rFonts w:ascii="Times New Roman" w:hAnsi="Times New Roman"/>
          <w:b/>
        </w:rPr>
        <w:t>contient:</w:t>
      </w:r>
      <w:proofErr w:type="gramEnd"/>
      <w:r>
        <w:rPr>
          <w:rFonts w:ascii="Times New Roman" w:hAnsi="Times New Roman"/>
          <w:b/>
        </w:rPr>
        <w:t xml:space="preserve"> </w:t>
      </w:r>
    </w:p>
    <w:p w14:paraId="0D3AF523" w14:textId="1E0E1C3E" w:rsidR="00EA781B" w:rsidRPr="00217EC4" w:rsidRDefault="00480C56" w:rsidP="00413229">
      <w:pPr>
        <w:widowControl w:val="0"/>
        <w:spacing w:after="120"/>
        <w:rPr>
          <w:rFonts w:ascii="Times New Roman" w:hAnsi="Times New Roman"/>
          <w:bCs/>
          <w:szCs w:val="24"/>
        </w:rPr>
      </w:pPr>
      <w:r>
        <w:rPr>
          <w:rFonts w:ascii="Times New Roman" w:hAnsi="Times New Roman"/>
        </w:rPr>
        <w:t>La résolution souligne le potentiel de la coopération transfrontalière avec les pays voisins, en particulier dans les zones transfrontalières les plus faiblement peuplées, dans des domaines tels que les énergies renouvelables et l’économie circulaire. Le Parlement demande que des fonds provenant de programmes transfrontaliers soient utilisés pour le développement d’infrastructures de transport durables, y compris la construction de connexions ferroviaires et d’installations de stockage à proximité des frontières de l’Union avec l’Ukraine et la République de Moldavie.</w:t>
      </w:r>
    </w:p>
    <w:p w14:paraId="69EC543E" w14:textId="4F8CC234" w:rsidR="00993C9B" w:rsidRPr="00217EC4" w:rsidRDefault="00480C56" w:rsidP="00413229">
      <w:pPr>
        <w:widowControl w:val="0"/>
        <w:spacing w:after="120"/>
        <w:rPr>
          <w:rFonts w:ascii="Times New Roman" w:hAnsi="Times New Roman"/>
          <w:bCs/>
          <w:szCs w:val="24"/>
        </w:rPr>
      </w:pPr>
      <w:r>
        <w:rPr>
          <w:rFonts w:ascii="Times New Roman" w:hAnsi="Times New Roman"/>
        </w:rPr>
        <w:t>Le Parlement appelle à soutenir des projets d’infrastructures plus durables qui contribuent à améliorer la connectivité des régions transfrontalières en mettant fortement l’accent sur la mer Noire, à traiter les questions de sécurité, y compris celles liées aux conflits régionaux et à la sécurité énergétique, et à encourager les projets visant à moderniser les ports et les infrastructures connexes et à accroître leurs connexions avec les plateformes de transport existantes, en particulier pour leur connexion aux corridors du RTE-T.</w:t>
      </w:r>
    </w:p>
    <w:p w14:paraId="765154C8" w14:textId="4F212BA7" w:rsidR="00993C9B" w:rsidRPr="00217EC4" w:rsidRDefault="00254DDD" w:rsidP="00413229">
      <w:pPr>
        <w:widowControl w:val="0"/>
        <w:spacing w:after="120"/>
        <w:rPr>
          <w:rFonts w:ascii="Times New Roman" w:hAnsi="Times New Roman"/>
          <w:bCs/>
          <w:szCs w:val="24"/>
        </w:rPr>
      </w:pPr>
      <w:r>
        <w:rPr>
          <w:rFonts w:ascii="Times New Roman" w:hAnsi="Times New Roman"/>
        </w:rPr>
        <w:t xml:space="preserve">Le Parlement demande une utilisation plus coordonnée et plus efficace des fonds existants, afin d’accroître la compétitivité du bassin méditerranéen tout en favorisant le potentiel des énergies renouvelables terrestres et en mer, et invite le Conseil européen à demander à la Commission de présenter et d’adopter une stratégie </w:t>
      </w:r>
      <w:proofErr w:type="spellStart"/>
      <w:r>
        <w:rPr>
          <w:rFonts w:ascii="Times New Roman" w:hAnsi="Times New Roman"/>
        </w:rPr>
        <w:t>macrorégionale</w:t>
      </w:r>
      <w:proofErr w:type="spellEnd"/>
      <w:r>
        <w:rPr>
          <w:rFonts w:ascii="Times New Roman" w:hAnsi="Times New Roman"/>
        </w:rPr>
        <w:t xml:space="preserve"> détaillée pour la Méditerranée.</w:t>
      </w:r>
    </w:p>
    <w:p w14:paraId="1867945E" w14:textId="226DEA35" w:rsidR="00EA781B" w:rsidRPr="00217EC4" w:rsidRDefault="00D81DC0" w:rsidP="00413229">
      <w:pPr>
        <w:widowControl w:val="0"/>
        <w:spacing w:after="120"/>
        <w:rPr>
          <w:rFonts w:ascii="Times New Roman" w:hAnsi="Times New Roman"/>
          <w:bCs/>
          <w:szCs w:val="24"/>
        </w:rPr>
      </w:pPr>
      <w:r>
        <w:rPr>
          <w:rFonts w:ascii="Times New Roman" w:hAnsi="Times New Roman"/>
        </w:rPr>
        <w:t xml:space="preserve">La résolution note que l’existence de cadres juridiques et institutionnels différents crée des obstacles supplémentaires à la mise en œuvre des projets. Elle souligne que l’UE et les États membres devraient coopérer plus étroitement avec les pays voisins dans le domaine des soins de santé et des services d’urgence. Elle recommande une plus grande complémentarité entre les projets et souligne la nécessité de créer des synergies avec d’autres instruments de financement de l’UE. Elle recommande d’élaborer une stratégie d’infrastructure pleinement </w:t>
      </w:r>
      <w:proofErr w:type="gramStart"/>
      <w:r>
        <w:rPr>
          <w:rFonts w:ascii="Times New Roman" w:hAnsi="Times New Roman"/>
        </w:rPr>
        <w:t>intégrée</w:t>
      </w:r>
      <w:proofErr w:type="gramEnd"/>
      <w:r>
        <w:rPr>
          <w:rFonts w:ascii="Times New Roman" w:hAnsi="Times New Roman"/>
        </w:rPr>
        <w:t xml:space="preserve"> (route, rail, eau).</w:t>
      </w:r>
    </w:p>
    <w:p w14:paraId="7A3C9363" w14:textId="7BAD204C" w:rsidR="00EA781B" w:rsidRPr="00217EC4" w:rsidRDefault="00254DDD" w:rsidP="00413229">
      <w:pPr>
        <w:widowControl w:val="0"/>
        <w:spacing w:after="120"/>
        <w:rPr>
          <w:rFonts w:ascii="Times New Roman" w:hAnsi="Times New Roman"/>
          <w:bCs/>
          <w:szCs w:val="24"/>
        </w:rPr>
      </w:pPr>
      <w:r>
        <w:rPr>
          <w:rFonts w:ascii="Times New Roman" w:hAnsi="Times New Roman"/>
        </w:rPr>
        <w:t>Le Parlement invite la Commission à réduire la charge bureaucratique, à simplifier considérablement les procédures et à alléger les obstacles liés aux différentes réglementations, en prêtant attention aux zones rurales des régions transfrontalières, car elles sont particulièrement touchées par les problèmes démographiques. La résolution demande d’améliorer la coordination, d’approfondir le dialogue et de développer l’échange de bonnes pratiques entre les régions et les États au moyen, par exemple, d’une plateforme telle qu’Interreg Europe.</w:t>
      </w:r>
    </w:p>
    <w:p w14:paraId="74E1B6A6" w14:textId="27B9DC21" w:rsidR="00EA781B" w:rsidRPr="00217EC4" w:rsidRDefault="00254DDD" w:rsidP="00413229">
      <w:pPr>
        <w:widowControl w:val="0"/>
        <w:spacing w:after="120"/>
        <w:rPr>
          <w:rFonts w:ascii="Times New Roman" w:hAnsi="Times New Roman"/>
          <w:bCs/>
          <w:szCs w:val="24"/>
        </w:rPr>
      </w:pPr>
      <w:r>
        <w:rPr>
          <w:rFonts w:ascii="Times New Roman" w:hAnsi="Times New Roman"/>
        </w:rPr>
        <w:t xml:space="preserve">La résolution souligne que, conformément au principe de partenariat, les collectivités locales et régionales ainsi que les représentants de la société civile et du secteur privé devraient être associés dès le départ à la préparation et à la mise en œuvre des projets.  La Commission est invitée à envisager de fournir un soutien technique aux collectivités locales </w:t>
      </w:r>
      <w:r>
        <w:rPr>
          <w:rFonts w:ascii="Times New Roman" w:hAnsi="Times New Roman"/>
        </w:rPr>
        <w:lastRenderedPageBreak/>
        <w:t>et régionales des pays voisins afin de les aider à élaborer et à mettre en œuvre des projets de coopération territoriale et à poursuivre l’intégration des objectifs de développement durable dans les futurs plans d’action.</w:t>
      </w:r>
    </w:p>
    <w:p w14:paraId="72421621" w14:textId="77777777" w:rsidR="00465A10" w:rsidRPr="00217EC4" w:rsidRDefault="00963420" w:rsidP="00C54C1E">
      <w:pPr>
        <w:keepNext/>
        <w:keepLines/>
        <w:widowControl w:val="0"/>
        <w:numPr>
          <w:ilvl w:val="0"/>
          <w:numId w:val="34"/>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w:t>
      </w:r>
      <w:proofErr w:type="gramStart"/>
      <w:r>
        <w:rPr>
          <w:rFonts w:ascii="Times New Roman" w:hAnsi="Times New Roman"/>
          <w:b/>
        </w:rPr>
        <w:t>prendre:</w:t>
      </w:r>
      <w:proofErr w:type="gramEnd"/>
      <w:r>
        <w:rPr>
          <w:rFonts w:ascii="Times New Roman" w:hAnsi="Times New Roman"/>
          <w:b/>
        </w:rPr>
        <w:t xml:space="preserve"> </w:t>
      </w:r>
    </w:p>
    <w:p w14:paraId="34D286DF" w14:textId="5AE3853A" w:rsidR="00FA600B" w:rsidRPr="00217EC4" w:rsidRDefault="00FA600B" w:rsidP="00C54C1E">
      <w:pPr>
        <w:keepNext/>
        <w:keepLines/>
        <w:widowControl w:val="0"/>
        <w:spacing w:after="120"/>
        <w:rPr>
          <w:rFonts w:ascii="Times New Roman" w:hAnsi="Times New Roman"/>
        </w:rPr>
      </w:pPr>
      <w:r>
        <w:rPr>
          <w:rFonts w:ascii="Times New Roman" w:hAnsi="Times New Roman"/>
        </w:rPr>
        <w:t xml:space="preserve">(Paragraphe 4) La participation du secteur privé est particulièrement encouragée et rendue possible, non seulement pour des raisons d’investissement financier, mais aussi pour sa capacité à apporter des solutions innovantes pour des projets communs, qui peuvent ensuite être intégrées et reproduites. En ce qui concerne l’allocation jugée loin d’être optimale pour la période 2021-2027 et la nécessité de renforcer le financement des programmes, il appartient au Parlement, en tant qu’autorité budgétaire, d’exercer sa marge de manœuvre quant à l’importance du financement. </w:t>
      </w:r>
    </w:p>
    <w:p w14:paraId="1EE74403" w14:textId="75FD7C97" w:rsidR="00465A10" w:rsidRPr="00217EC4" w:rsidRDefault="00906FF7" w:rsidP="00413229">
      <w:pPr>
        <w:widowControl w:val="0"/>
        <w:spacing w:after="120"/>
        <w:rPr>
          <w:rFonts w:ascii="Times New Roman" w:hAnsi="Times New Roman"/>
        </w:rPr>
      </w:pPr>
      <w:r>
        <w:rPr>
          <w:rFonts w:ascii="Times New Roman" w:hAnsi="Times New Roman"/>
        </w:rPr>
        <w:t>(Paragraphe 11) Les programmes Interreg sont élaborés par les représentants des pays participants, y compris des représentants des autorités régionales et locales et des partenaires socio-économiques. Ces parties prenantes décident de l’orientation thématique des programmes, en tenant compte du champ d’application défini par la législation. La mise en place d’une économie durable et l’investissement dans la qualité des emplois restent des sujets importants pour les programmes.</w:t>
      </w:r>
    </w:p>
    <w:p w14:paraId="5B467A09" w14:textId="78EF5943" w:rsidR="00906FF7" w:rsidRPr="00217EC4" w:rsidRDefault="00906FF7" w:rsidP="00413229">
      <w:pPr>
        <w:widowControl w:val="0"/>
        <w:spacing w:after="120"/>
        <w:rPr>
          <w:rFonts w:ascii="Times New Roman" w:hAnsi="Times New Roman"/>
          <w:bCs/>
          <w:szCs w:val="24"/>
        </w:rPr>
      </w:pPr>
      <w:r>
        <w:rPr>
          <w:rFonts w:ascii="Times New Roman" w:hAnsi="Times New Roman"/>
        </w:rPr>
        <w:t>(Paragraphe 14) Les programmes Interreg offrent la possibilité d’investir dans les infrastructures transfrontalières, dans les limites de la taille financière de ces programmes. Tous les programmes transfrontaliers Interreg qui incluent l’Ukraine et la Moldavie permettent des investissements visant à améliorer la connectivité aux frontières.</w:t>
      </w:r>
    </w:p>
    <w:p w14:paraId="3337C085" w14:textId="55263060" w:rsidR="00906FF7" w:rsidRPr="00217EC4" w:rsidRDefault="00906FF7" w:rsidP="00413229">
      <w:pPr>
        <w:widowControl w:val="0"/>
        <w:spacing w:after="120"/>
        <w:rPr>
          <w:rFonts w:ascii="Times New Roman" w:hAnsi="Times New Roman"/>
        </w:rPr>
      </w:pPr>
      <w:r>
        <w:rPr>
          <w:rFonts w:ascii="Times New Roman" w:hAnsi="Times New Roman"/>
        </w:rPr>
        <w:t>(Paragraphe 16) Les programmes Interreg sont élaborés par les États membres participants et, dans le cas des frontières extérieures, par les pays voisins, en fonction de leurs besoins et défis les plus importants en matière de développement. Le cadre juridique applicable permet d’apporter un soutien à l’amélioration de la connectivité transfrontière.</w:t>
      </w:r>
    </w:p>
    <w:p w14:paraId="75CA14D4" w14:textId="18A1A977" w:rsidR="00906FF7" w:rsidRPr="00217EC4" w:rsidRDefault="00906FF7" w:rsidP="00413229">
      <w:pPr>
        <w:widowControl w:val="0"/>
        <w:spacing w:after="120"/>
        <w:rPr>
          <w:rFonts w:ascii="Times New Roman" w:hAnsi="Times New Roman"/>
        </w:rPr>
      </w:pPr>
      <w:r>
        <w:rPr>
          <w:rFonts w:ascii="Times New Roman" w:hAnsi="Times New Roman"/>
        </w:rPr>
        <w:t>(Paragraphe 17) Les programmes Interreg transfrontaliers mis en œuvre entre les États membres et l’Ukraine et la Moldavie soutiennent des projets qui augmentent la connectivité aux frontières. Ils ont reçu fin 2023 un montant supplémentaire de 160 millions d’euros provenant des programmes interrompus avec la Russie et la Biélorussie, ce qui a permis d’ajouter davantage d’actions aux programmes, y compris un soutien aux autorités frontalières.</w:t>
      </w:r>
    </w:p>
    <w:p w14:paraId="726EF33C" w14:textId="1F2E9B84" w:rsidR="00906FF7" w:rsidRPr="00217EC4" w:rsidRDefault="00906FF7" w:rsidP="00413229">
      <w:pPr>
        <w:widowControl w:val="0"/>
        <w:spacing w:after="120"/>
        <w:rPr>
          <w:rFonts w:ascii="Times New Roman" w:hAnsi="Times New Roman"/>
        </w:rPr>
      </w:pPr>
      <w:r>
        <w:rPr>
          <w:rFonts w:ascii="Times New Roman" w:hAnsi="Times New Roman"/>
        </w:rPr>
        <w:t xml:space="preserve">(Paragraphe 27) Le programme Interreg du bassin de la mer Noire (85 millions d’euros pour la période 2021-2027) est axé sur trois priorités de coopération liées 1) à la recherche et à l’innovation, 2) à l’adaptation au changement climatique, aux risques de catastrophe, à la protection de la nature et de la biodiversité, à la lutte contre toutes sortes de pollution, et 3) à l’instauration d’une confiance mutuelle, au renforcement de la démocratie durable et au soutien des acteurs de la société civile. Toutes les priorités sont définies d’un commun accord par les huit pays participants au programme. Les pays participants se sont mis d’accord sur les bénéficiaires éligibles, à </w:t>
      </w:r>
      <w:proofErr w:type="gramStart"/>
      <w:r>
        <w:rPr>
          <w:rFonts w:ascii="Times New Roman" w:hAnsi="Times New Roman"/>
        </w:rPr>
        <w:t>savoir:</w:t>
      </w:r>
      <w:proofErr w:type="gramEnd"/>
      <w:r>
        <w:rPr>
          <w:rFonts w:ascii="Times New Roman" w:hAnsi="Times New Roman"/>
        </w:rPr>
        <w:t xml:space="preserve"> les autorités publiques, les organismes de droit public et les organisations à but non lucratif.</w:t>
      </w:r>
    </w:p>
    <w:p w14:paraId="0853460C" w14:textId="211C31D2" w:rsidR="00906FF7" w:rsidRPr="00217EC4" w:rsidRDefault="00906FF7" w:rsidP="00413229">
      <w:pPr>
        <w:widowControl w:val="0"/>
        <w:spacing w:after="120"/>
        <w:rPr>
          <w:rFonts w:ascii="Times New Roman" w:hAnsi="Times New Roman"/>
        </w:rPr>
      </w:pPr>
      <w:r>
        <w:rPr>
          <w:rFonts w:ascii="Times New Roman" w:hAnsi="Times New Roman"/>
        </w:rPr>
        <w:t>(Paragraphe 30) Le programme Interreg NEXT MED finance la transition écologique dans le bassin maritime méditerranéen. En particulier, le programme vise à améliorer les conditions-cadres pour l’adoption des technologies et la mise en œuvre à grande échelle de mesures d’efficacité énergétique et leur combinaison avec les énergies renouvelables.</w:t>
      </w:r>
    </w:p>
    <w:p w14:paraId="165ADDC0" w14:textId="0E1DA77B" w:rsidR="00906FF7" w:rsidRPr="00217EC4" w:rsidRDefault="00906FF7" w:rsidP="00413229">
      <w:pPr>
        <w:widowControl w:val="0"/>
        <w:spacing w:after="120"/>
        <w:rPr>
          <w:rFonts w:ascii="Times New Roman" w:hAnsi="Times New Roman"/>
        </w:rPr>
      </w:pPr>
      <w:bookmarkStart w:id="0" w:name="_Hlk158753711"/>
      <w:bookmarkEnd w:id="0"/>
      <w:r>
        <w:rPr>
          <w:rFonts w:ascii="Times New Roman" w:hAnsi="Times New Roman"/>
        </w:rPr>
        <w:t xml:space="preserve">(Paragraphe 37) Comme reconnu au paragraphe 37, il n’appartient pas à la Commission de lancer une stratégie </w:t>
      </w:r>
      <w:proofErr w:type="spellStart"/>
      <w:r>
        <w:rPr>
          <w:rFonts w:ascii="Times New Roman" w:hAnsi="Times New Roman"/>
        </w:rPr>
        <w:t>macrorégionale</w:t>
      </w:r>
      <w:proofErr w:type="spellEnd"/>
      <w:r>
        <w:rPr>
          <w:rFonts w:ascii="Times New Roman" w:hAnsi="Times New Roman"/>
        </w:rPr>
        <w:t xml:space="preserve">. L’élaboration d’une telle stratégie nécessite un processus participatif global de tous les partenaires et parties prenantes clés, y compris les États membres et les régions. Elle requiert également le soutien politique unanime de tous </w:t>
      </w:r>
      <w:r>
        <w:rPr>
          <w:rFonts w:ascii="Times New Roman" w:hAnsi="Times New Roman"/>
        </w:rPr>
        <w:lastRenderedPageBreak/>
        <w:t xml:space="preserve">les pays de la zone géographique concernée et l’approbation formelle du Conseil européen. La création d’une nouvelle stratégie </w:t>
      </w:r>
      <w:proofErr w:type="spellStart"/>
      <w:r>
        <w:rPr>
          <w:rFonts w:ascii="Times New Roman" w:hAnsi="Times New Roman"/>
        </w:rPr>
        <w:t>macrorégionale</w:t>
      </w:r>
      <w:proofErr w:type="spellEnd"/>
      <w:r>
        <w:rPr>
          <w:rFonts w:ascii="Times New Roman" w:hAnsi="Times New Roman"/>
        </w:rPr>
        <w:t xml:space="preserve"> nécessite d’importants investissements administratifs et financiers de la part de tous les pays concernés. Cela implique également de démontrer la valeur ajoutée d’une nouvelle stratégie par rapport aux cadres de coopération existants, tout en évitant les chevauchements de processus et de structures. C’est particulièrement important en Méditerranée, où de multiples cadres de coopération existent déjà, tels que l’Union pour la Méditerranée, la stratégie </w:t>
      </w:r>
      <w:proofErr w:type="spellStart"/>
      <w:r>
        <w:rPr>
          <w:rFonts w:ascii="Times New Roman" w:hAnsi="Times New Roman"/>
        </w:rPr>
        <w:t>macrorégionale</w:t>
      </w:r>
      <w:proofErr w:type="spellEnd"/>
      <w:r>
        <w:rPr>
          <w:rFonts w:ascii="Times New Roman" w:hAnsi="Times New Roman"/>
        </w:rPr>
        <w:t xml:space="preserve"> de l’UE pour la région de l’Adriatique et de la mer Ionienne et la stratégie de l’UE pour le bassin maritime couvrant la Méditerranée occidentale.</w:t>
      </w:r>
    </w:p>
    <w:p w14:paraId="59C79767" w14:textId="51AFFC6F" w:rsidR="00906FF7" w:rsidRPr="00217EC4" w:rsidRDefault="00906FF7" w:rsidP="00413229">
      <w:pPr>
        <w:widowControl w:val="0"/>
        <w:spacing w:after="120"/>
        <w:rPr>
          <w:rFonts w:ascii="Times New Roman" w:hAnsi="Times New Roman"/>
        </w:rPr>
      </w:pPr>
      <w:r>
        <w:rPr>
          <w:rFonts w:ascii="Times New Roman" w:hAnsi="Times New Roman"/>
        </w:rPr>
        <w:t>(Paragraphe 38) Les programmes Interreg ont la possibilité de sélectionner un objectif spécifique à Interreg relatif à une meilleure gouvernance de la coopération, qui permet une coopération entre différents organes administratifs afin de simplifier et de rationaliser les procédures existantes dans le but de faciliter la coopération transfrontalière.</w:t>
      </w:r>
    </w:p>
    <w:p w14:paraId="383A5D8E" w14:textId="22CF76D4" w:rsidR="00906FF7" w:rsidRPr="00217EC4" w:rsidRDefault="00906FF7" w:rsidP="00413229">
      <w:pPr>
        <w:widowControl w:val="0"/>
        <w:spacing w:after="120"/>
        <w:rPr>
          <w:rFonts w:ascii="Times New Roman" w:hAnsi="Times New Roman"/>
        </w:rPr>
      </w:pPr>
      <w:r>
        <w:rPr>
          <w:rFonts w:ascii="Times New Roman" w:hAnsi="Times New Roman"/>
        </w:rPr>
        <w:t>(Paragraphe 43) Les programmes Interreg sont élaborés par un large éventail de parties prenantes représentant les pays participants. Une telle approche permet d’élaborer des programmes adaptés aux besoins des pays et régions concernés.</w:t>
      </w:r>
    </w:p>
    <w:p w14:paraId="7374B981" w14:textId="6AD782D2" w:rsidR="00906FF7" w:rsidRPr="00217EC4" w:rsidRDefault="00906FF7" w:rsidP="00413229">
      <w:pPr>
        <w:widowControl w:val="0"/>
        <w:spacing w:after="120"/>
        <w:rPr>
          <w:rFonts w:ascii="Times New Roman" w:hAnsi="Times New Roman"/>
        </w:rPr>
      </w:pPr>
      <w:r>
        <w:rPr>
          <w:rFonts w:ascii="Times New Roman" w:hAnsi="Times New Roman"/>
        </w:rPr>
        <w:t>(Paragraphe 53) Les programmes Interreg sont élaborés conjointement par les pays participants, y compris les pays voisins.</w:t>
      </w:r>
    </w:p>
    <w:p w14:paraId="6836B045" w14:textId="4305EFAE" w:rsidR="00906FF7" w:rsidRPr="00217EC4" w:rsidRDefault="00906FF7" w:rsidP="00413229">
      <w:pPr>
        <w:widowControl w:val="0"/>
        <w:spacing w:after="120"/>
        <w:rPr>
          <w:rFonts w:ascii="Times New Roman" w:hAnsi="Times New Roman"/>
        </w:rPr>
      </w:pPr>
      <w:r>
        <w:rPr>
          <w:rFonts w:ascii="Times New Roman" w:hAnsi="Times New Roman"/>
        </w:rPr>
        <w:t>(Paragraphe 58) Le règlement Interreg exige que tous les programmes Interreg tiennent compte de la complémentarité et des synergies avec d’autres programmes et instruments de financement. Chaque programme doit démontrer comment cette complémentarité et ces synergies sont assurées.</w:t>
      </w:r>
    </w:p>
    <w:p w14:paraId="26F8B1F3" w14:textId="6DADA6B1" w:rsidR="00906FF7" w:rsidRPr="00217EC4" w:rsidRDefault="00906FF7" w:rsidP="00413229">
      <w:pPr>
        <w:widowControl w:val="0"/>
        <w:spacing w:after="120"/>
        <w:rPr>
          <w:rFonts w:ascii="Times New Roman" w:hAnsi="Times New Roman"/>
        </w:rPr>
      </w:pPr>
      <w:r>
        <w:rPr>
          <w:rFonts w:ascii="Times New Roman" w:hAnsi="Times New Roman"/>
        </w:rPr>
        <w:t>(Paragraphe 60) Les programmes Interreg soutiennent la coopération des autorités publiques avec d’autres parties prenantes, y compris dans l’élaboration de stratégies, de plans et d’échanges d’expériences communs dans le cadre d’un large éventail de politiques. Les programmes Interreg transfrontaliers investissent dans la mobilité intelligente et les solutions de mobilité durable.</w:t>
      </w:r>
    </w:p>
    <w:p w14:paraId="660750E6" w14:textId="6511F7CD" w:rsidR="00906FF7" w:rsidRPr="00217EC4" w:rsidRDefault="00906FF7" w:rsidP="00413229">
      <w:pPr>
        <w:widowControl w:val="0"/>
        <w:spacing w:after="120"/>
        <w:rPr>
          <w:rFonts w:ascii="Times New Roman" w:hAnsi="Times New Roman"/>
        </w:rPr>
      </w:pPr>
      <w:r>
        <w:rPr>
          <w:rFonts w:ascii="Times New Roman" w:hAnsi="Times New Roman"/>
        </w:rPr>
        <w:t>(Paragraphe 62) La Commission encourage la pleine exploitation de toutes les possibilités de simplification introduites dans le cadre juridique de la politique de cohésion dans les programmes Interreg 2021-2027. Il s’agit notamment de promouvoir le recours à des options simplifiées en matière de coûts, qui réduisent considérablement la charge administrative pesant sur les bénéficiaires et les institutions.</w:t>
      </w:r>
    </w:p>
    <w:p w14:paraId="6A8EB59C" w14:textId="02D951D1" w:rsidR="00906FF7" w:rsidRPr="00217EC4" w:rsidRDefault="00906FF7" w:rsidP="00413229">
      <w:pPr>
        <w:widowControl w:val="0"/>
        <w:spacing w:after="120"/>
        <w:rPr>
          <w:rFonts w:ascii="Times New Roman" w:hAnsi="Times New Roman"/>
        </w:rPr>
      </w:pPr>
      <w:r>
        <w:rPr>
          <w:rFonts w:ascii="Times New Roman" w:hAnsi="Times New Roman"/>
        </w:rPr>
        <w:t>(Paragraphe 63) Le programme Interreg Europe permet la coopération et l’apprentissage mutuel entre les États membres et les pays partenaires à tous les niveaux de gouvernance – national, régional et local. Le programme a été modifié en 2023 afin d’étendre son champ d’application à l’Albanie, à la Bosnie-Herzégovine, à la Moldavie, au Monténégro, à la Macédoine du Nord, à la Serbie et à l’Ukraine.</w:t>
      </w:r>
    </w:p>
    <w:p w14:paraId="1B228E86" w14:textId="39EE9774" w:rsidR="00906FF7" w:rsidRPr="00217EC4" w:rsidRDefault="00906FF7" w:rsidP="00413229">
      <w:pPr>
        <w:widowControl w:val="0"/>
        <w:spacing w:after="120"/>
        <w:rPr>
          <w:rFonts w:ascii="Times New Roman" w:hAnsi="Times New Roman"/>
        </w:rPr>
      </w:pPr>
      <w:r>
        <w:rPr>
          <w:rFonts w:ascii="Times New Roman" w:hAnsi="Times New Roman"/>
        </w:rPr>
        <w:t>(Paragraphe 64) Les programmes Interreg sont élaborés et mis en œuvre conformément aux principes de gouvernance à plusieurs niveaux et de partenariat, qui favorisent la coopération entre les autorités à différents niveaux et les représentants socio-économiques. En particulier, le principe de partenariat est garanti par le respect des exigences énoncées dans le code de conduite européen sur le partenariat établi par le règlement délégué (UE) n° 240/2014.</w:t>
      </w:r>
    </w:p>
    <w:p w14:paraId="52A3CEA1" w14:textId="1B4C5A4E" w:rsidR="00906FF7" w:rsidRPr="00217EC4" w:rsidRDefault="00906FF7" w:rsidP="00413229">
      <w:pPr>
        <w:widowControl w:val="0"/>
        <w:spacing w:after="120"/>
        <w:rPr>
          <w:rFonts w:ascii="Times New Roman" w:hAnsi="Times New Roman"/>
        </w:rPr>
      </w:pPr>
      <w:r>
        <w:rPr>
          <w:rFonts w:ascii="Times New Roman" w:hAnsi="Times New Roman"/>
        </w:rPr>
        <w:t>(Paragraphe 65) Les programmes Interreg favorisent le développement durable et contribuent à la réalisation des objectifs de développement durable. Les conditions applicables à la prochaine génération de programmes seront définies dans la base juridique pertinente.</w:t>
      </w:r>
    </w:p>
    <w:p w14:paraId="2B795556" w14:textId="59453F8B" w:rsidR="00906FF7" w:rsidRDefault="00906FF7" w:rsidP="00413229">
      <w:pPr>
        <w:widowControl w:val="0"/>
        <w:spacing w:after="120"/>
        <w:rPr>
          <w:rFonts w:ascii="Times New Roman" w:hAnsi="Times New Roman"/>
        </w:rPr>
      </w:pPr>
      <w:r>
        <w:rPr>
          <w:rFonts w:ascii="Times New Roman" w:hAnsi="Times New Roman"/>
        </w:rPr>
        <w:t xml:space="preserve">(Paragraphe 66) Les programmes Interreg offrent aux pays partenaires une occasion unique de mettre en œuvre les programmes de financement de l’UE sur un pied d’égalité avec les </w:t>
      </w:r>
      <w:r>
        <w:rPr>
          <w:rFonts w:ascii="Times New Roman" w:hAnsi="Times New Roman"/>
        </w:rPr>
        <w:lastRenderedPageBreak/>
        <w:t>États membres. Les autorités des pays partenaires bénéficient de la coopération et de l’échange d’expériences avec les autorités des États membres et la Commission européenne. Les programmes bénéficient d’une assistance technique destinée au renforcement des capacités. En outre, la Commission européenne coopère directement avec les autorités des pays partenaires afin de promouvoir les outils existants pour le développement des capacités administratives.</w:t>
      </w:r>
    </w:p>
    <w:sectPr w:rsidR="00906FF7" w:rsidSect="00812321">
      <w:footerReference w:type="even" r:id="rId8"/>
      <w:footerReference w:type="default" r:id="rId9"/>
      <w:footerReference w:type="first" r:id="rId1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2641" w14:textId="77777777" w:rsidR="008C2D03" w:rsidRDefault="008C2D03">
      <w:r>
        <w:separator/>
      </w:r>
    </w:p>
  </w:endnote>
  <w:endnote w:type="continuationSeparator" w:id="0">
    <w:p w14:paraId="0756159D" w14:textId="77777777" w:rsidR="008C2D03" w:rsidRDefault="008C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CF76" w14:textId="77777777" w:rsidR="008C2D03" w:rsidRDefault="008C2D03">
      <w:r>
        <w:separator/>
      </w:r>
    </w:p>
  </w:footnote>
  <w:footnote w:type="continuationSeparator" w:id="0">
    <w:p w14:paraId="09264305" w14:textId="77777777" w:rsidR="008C2D03" w:rsidRDefault="008C2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33"/>
  </w:num>
  <w:num w:numId="4" w16cid:durableId="580018736">
    <w:abstractNumId w:val="13"/>
  </w:num>
  <w:num w:numId="5" w16cid:durableId="221647625">
    <w:abstractNumId w:val="29"/>
  </w:num>
  <w:num w:numId="6" w16cid:durableId="298344620">
    <w:abstractNumId w:val="10"/>
  </w:num>
  <w:num w:numId="7" w16cid:durableId="58093387">
    <w:abstractNumId w:val="6"/>
  </w:num>
  <w:num w:numId="8" w16cid:durableId="1122530581">
    <w:abstractNumId w:val="15"/>
  </w:num>
  <w:num w:numId="9" w16cid:durableId="1479684095">
    <w:abstractNumId w:val="32"/>
  </w:num>
  <w:num w:numId="10" w16cid:durableId="340007303">
    <w:abstractNumId w:val="24"/>
  </w:num>
  <w:num w:numId="11" w16cid:durableId="346519941">
    <w:abstractNumId w:val="26"/>
  </w:num>
  <w:num w:numId="12" w16cid:durableId="691036718">
    <w:abstractNumId w:val="12"/>
  </w:num>
  <w:num w:numId="13" w16cid:durableId="1452093781">
    <w:abstractNumId w:val="16"/>
  </w:num>
  <w:num w:numId="14" w16cid:durableId="906961314">
    <w:abstractNumId w:val="30"/>
  </w:num>
  <w:num w:numId="15" w16cid:durableId="1388455259">
    <w:abstractNumId w:val="14"/>
  </w:num>
  <w:num w:numId="16" w16cid:durableId="1677533267">
    <w:abstractNumId w:val="36"/>
  </w:num>
  <w:num w:numId="17" w16cid:durableId="961619330">
    <w:abstractNumId w:val="31"/>
  </w:num>
  <w:num w:numId="18" w16cid:durableId="1095638383">
    <w:abstractNumId w:val="22"/>
  </w:num>
  <w:num w:numId="19" w16cid:durableId="357776219">
    <w:abstractNumId w:val="23"/>
  </w:num>
  <w:num w:numId="20" w16cid:durableId="1481578588">
    <w:abstractNumId w:val="28"/>
  </w:num>
  <w:num w:numId="21" w16cid:durableId="1812137613">
    <w:abstractNumId w:val="3"/>
  </w:num>
  <w:num w:numId="22" w16cid:durableId="370300677">
    <w:abstractNumId w:val="4"/>
  </w:num>
  <w:num w:numId="23" w16cid:durableId="1948660650">
    <w:abstractNumId w:val="5"/>
  </w:num>
  <w:num w:numId="24" w16cid:durableId="122113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4"/>
  </w:num>
  <w:num w:numId="26" w16cid:durableId="1203983393">
    <w:abstractNumId w:val="25"/>
  </w:num>
  <w:num w:numId="27" w16cid:durableId="1149204463">
    <w:abstractNumId w:val="17"/>
  </w:num>
  <w:num w:numId="28" w16cid:durableId="614867515">
    <w:abstractNumId w:val="35"/>
  </w:num>
  <w:num w:numId="29" w16cid:durableId="1513490821">
    <w:abstractNumId w:val="2"/>
  </w:num>
  <w:num w:numId="30" w16cid:durableId="1269506392">
    <w:abstractNumId w:val="21"/>
  </w:num>
  <w:num w:numId="31" w16cid:durableId="160509948">
    <w:abstractNumId w:val="20"/>
  </w:num>
  <w:num w:numId="32" w16cid:durableId="146094414">
    <w:abstractNumId w:val="9"/>
  </w:num>
  <w:num w:numId="33" w16cid:durableId="2145806991">
    <w:abstractNumId w:val="11"/>
  </w:num>
  <w:num w:numId="34" w16cid:durableId="1322079617">
    <w:abstractNumId w:val="19"/>
  </w:num>
  <w:num w:numId="35" w16cid:durableId="166173441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6E7"/>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5E"/>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2F"/>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17EC4"/>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27F1D"/>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4DDD"/>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ED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938"/>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994"/>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14"/>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229"/>
    <w:rsid w:val="004134C0"/>
    <w:rsid w:val="00413C08"/>
    <w:rsid w:val="00413FFE"/>
    <w:rsid w:val="00414299"/>
    <w:rsid w:val="004145B4"/>
    <w:rsid w:val="00414967"/>
    <w:rsid w:val="00414B5B"/>
    <w:rsid w:val="00414C19"/>
    <w:rsid w:val="00414CAD"/>
    <w:rsid w:val="004150F4"/>
    <w:rsid w:val="00415563"/>
    <w:rsid w:val="0041596E"/>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970"/>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10"/>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C5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4C"/>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69F"/>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40"/>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3BA"/>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3CF3"/>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4EF6"/>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046"/>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6D"/>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396E"/>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29"/>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4F34"/>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D03"/>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6FF7"/>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24"/>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37CF1"/>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9B"/>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4FA4"/>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8AE"/>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0F"/>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67E34"/>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67"/>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041"/>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9F1"/>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9CC"/>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C1E"/>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C0"/>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D1B"/>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59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1B"/>
    <w:rsid w:val="00EA7828"/>
    <w:rsid w:val="00EA7A72"/>
    <w:rsid w:val="00EA7C4C"/>
    <w:rsid w:val="00EB0006"/>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88"/>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53F"/>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AD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7CC"/>
    <w:rsid w:val="00FA3A0A"/>
    <w:rsid w:val="00FA4329"/>
    <w:rsid w:val="00FA47DA"/>
    <w:rsid w:val="00FA4906"/>
    <w:rsid w:val="00FA4C39"/>
    <w:rsid w:val="00FA4F7A"/>
    <w:rsid w:val="00FA5078"/>
    <w:rsid w:val="00FA5244"/>
    <w:rsid w:val="00FA55DB"/>
    <w:rsid w:val="00FA583B"/>
    <w:rsid w:val="00FA600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43928">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7765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Template>
  <TotalTime>2</TotalTime>
  <Pages>4</Pages>
  <Words>1629</Words>
  <Characters>10153</Characters>
  <Application>Microsoft Office Word</Application>
  <DocSecurity>0</DocSecurity>
  <PresentationFormat>Microsoft Word 8.0b</PresentationFormat>
  <Lines>149</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11742</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DODEKOVA Gabriela (SG)</cp:lastModifiedBy>
  <cp:revision>2</cp:revision>
  <cp:lastPrinted>2024-02-14T08:24:00Z</cp:lastPrinted>
  <dcterms:created xsi:type="dcterms:W3CDTF">2024-07-04T12:21:00Z</dcterms:created>
  <dcterms:modified xsi:type="dcterms:W3CDTF">2024-07-04T12:21:00Z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ies>
</file>