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95F9C" w14:textId="42A67CCB" w:rsidR="002651DD" w:rsidRPr="002651DD" w:rsidRDefault="00A020FE" w:rsidP="00A020FE">
      <w:pPr>
        <w:spacing w:after="600"/>
        <w:jc w:val="center"/>
        <w:rPr>
          <w:b/>
          <w:bCs/>
        </w:rPr>
      </w:pPr>
      <w:r>
        <w:rPr>
          <w:b/>
        </w:rPr>
        <w:t>Suite donnée à la résolution non législative du Parlement européen sur la proposition de règlement du Conseil modifiant l’annexe II du règlement (CE) nº 396/2005 du Parlement européen et du Conseil en ce qui concerne les limites maximales applicables aux résidus de thiaclopride présents dans ou sur certains produits</w:t>
      </w:r>
    </w:p>
    <w:p w14:paraId="01F375C1" w14:textId="5F38BF01" w:rsidR="003720DA" w:rsidRPr="000E3AFE" w:rsidRDefault="003720DA" w:rsidP="00A020FE">
      <w:pPr>
        <w:spacing w:after="240"/>
        <w:ind w:left="567" w:hanging="567"/>
      </w:pPr>
      <w:r>
        <w:rPr>
          <w:b/>
        </w:rPr>
        <w:t>1.</w:t>
      </w:r>
      <w:r>
        <w:tab/>
      </w:r>
      <w:r>
        <w:rPr>
          <w:b/>
        </w:rPr>
        <w:t>Résolution présentée conformément à l’article 112, paragraphes 2 et 3 et paragraphe 4, point c), du règlement intérieur du Parlement européen</w:t>
      </w:r>
    </w:p>
    <w:p w14:paraId="50FBAF5B" w14:textId="7EDDBC89" w:rsidR="003720DA" w:rsidRPr="000E3AFE" w:rsidRDefault="003720DA" w:rsidP="00A020FE">
      <w:pPr>
        <w:spacing w:after="240"/>
        <w:ind w:left="567" w:hanging="567"/>
      </w:pPr>
      <w:r>
        <w:rPr>
          <w:b/>
        </w:rPr>
        <w:t>2.</w:t>
      </w:r>
      <w:r>
        <w:tab/>
      </w:r>
      <w:r>
        <w:rPr>
          <w:b/>
        </w:rPr>
        <w:t xml:space="preserve">Numéros de référence: </w:t>
      </w:r>
      <w:r>
        <w:t>2023/3005 (RPS) / B9-0057/2024 / P9_TA(2024)0016</w:t>
      </w:r>
    </w:p>
    <w:p w14:paraId="2CFE0CEA" w14:textId="10B0E76A" w:rsidR="003720DA" w:rsidRPr="000E3AFE" w:rsidRDefault="003720DA" w:rsidP="00A020FE">
      <w:pPr>
        <w:spacing w:after="240"/>
        <w:ind w:left="567" w:hanging="567"/>
      </w:pPr>
      <w:r>
        <w:rPr>
          <w:b/>
        </w:rPr>
        <w:t>3.</w:t>
      </w:r>
      <w:r>
        <w:tab/>
      </w:r>
      <w:r>
        <w:rPr>
          <w:b/>
        </w:rPr>
        <w:t>Date d’adoption de la résolution:</w:t>
      </w:r>
      <w:r>
        <w:t xml:space="preserve"> 17 janvier 2024</w:t>
      </w:r>
    </w:p>
    <w:p w14:paraId="2A9EBE3F" w14:textId="3D44185C" w:rsidR="003720DA" w:rsidRPr="000E3AFE" w:rsidRDefault="003720DA" w:rsidP="00A020FE">
      <w:pPr>
        <w:spacing w:after="240"/>
        <w:ind w:left="567" w:hanging="567"/>
      </w:pPr>
      <w:r>
        <w:rPr>
          <w:b/>
        </w:rPr>
        <w:t>4.</w:t>
      </w:r>
      <w:r>
        <w:rPr>
          <w:b/>
        </w:rPr>
        <w:tab/>
        <w:t>Commission parlementaire compétente:</w:t>
      </w:r>
      <w:r>
        <w:t xml:space="preserve"> commission de l’environnement, de la santé publique et de la sécurité alimentaire (ENVI)</w:t>
      </w:r>
    </w:p>
    <w:p w14:paraId="78674EE5" w14:textId="030FBE3B" w:rsidR="003720DA" w:rsidRPr="000E3AFE" w:rsidRDefault="003720DA" w:rsidP="00A020FE">
      <w:pPr>
        <w:spacing w:after="240"/>
        <w:ind w:left="567" w:hanging="567"/>
        <w:rPr>
          <w:b/>
          <w:bCs/>
        </w:rPr>
      </w:pPr>
      <w:r>
        <w:rPr>
          <w:b/>
        </w:rPr>
        <w:t>5.</w:t>
      </w:r>
      <w:r>
        <w:rPr>
          <w:b/>
        </w:rPr>
        <w:tab/>
        <w:t>Analyse/évaluation succincte de la résolution et des demandes qu’elle contient:</w:t>
      </w:r>
    </w:p>
    <w:p w14:paraId="4B285FCA" w14:textId="197E7C9C" w:rsidR="00BC28AC" w:rsidRDefault="00475C1C" w:rsidP="00A020FE">
      <w:pPr>
        <w:spacing w:after="120" w:line="240" w:lineRule="auto"/>
      </w:pPr>
      <w:r>
        <w:t>Le projet de règlement vise à abaisser les limites maximales de résidus (LMR) de thiaclopride à la limite de détermination (LD) pour les pêches et les poivrons doux/piments doux car l’évaluation des risques de l’Autorité européenne de sécurité des aliments (EFSA) publiée en 2023 a révélé un risque en matière de santé pour les consommateurs. Il vise également à abaisser les LMR à la LD pour 87 denrées alimentaires dont les LMR étaient fondées sur d’anciennes utilisations dans l’UE, devenues obsolètes après la révocation d’autorisations existantes pour les produits phytopharmaceutiques à la suite du règlement d’exécution (UE) 2020/23 de la Commission portant sur le non-renouvellement de l’approbation de la substance active thiaclopride.</w:t>
      </w:r>
      <w:r>
        <w:rPr>
          <w:sz w:val="20"/>
        </w:rPr>
        <w:t xml:space="preserve"> </w:t>
      </w:r>
      <w:r>
        <w:t>De plus, le projet de règlement maintient les LMR de 64 denrées au-dessus de la LD sur la base des LMR du Codex (CXL) et de deux tolérances à l’importation (pour la papaye et le thé), que l’EFSA a confirmées comme étant sans danger pour les consommateurs de l’UE.</w:t>
      </w:r>
    </w:p>
    <w:p w14:paraId="668646BB" w14:textId="3FB898AC" w:rsidR="004B7666" w:rsidRDefault="00475C1C" w:rsidP="00A020FE">
      <w:pPr>
        <w:spacing w:after="120" w:line="240" w:lineRule="auto"/>
      </w:pPr>
      <w:r>
        <w:t>Dans sa résolution, le Parlement s’oppose à maintenir les LMR des produits importés au-delà de la LD en raison des domaines de préoccupations qui ont mené au non-renouvellement de l’approbation, à savoir, la contamination des eaux souterraines par plusieurs métabolites pertinents et la classification en tant que substance «toxique pour la reproduction» (catégorie 1B) et potentiellement «cancérogène» (catégorie 2), conformément au règlement (CE) nº 1272/2008 (</w:t>
      </w:r>
      <w:r>
        <w:rPr>
          <w:b/>
          <w:bCs/>
        </w:rPr>
        <w:t>considérants C, E, F, G et AB</w:t>
      </w:r>
      <w:r>
        <w:t>). Selon la résolution, toutes les LMR de thiaclopride fondées sur d’anciennes utilisations dans l’UE, sur les tolérances à l’importation ainsi que sur les CXL doivent être inférieures à la LD afin d’assurer un niveau élevé de protection de la santé des êtres humains (</w:t>
      </w:r>
      <w:r>
        <w:rPr>
          <w:b/>
          <w:bCs/>
        </w:rPr>
        <w:t>considérants H, N et O</w:t>
      </w:r>
      <w:r>
        <w:t>).</w:t>
      </w:r>
    </w:p>
    <w:p w14:paraId="3190D0B9" w14:textId="27C5C285" w:rsidR="004B7666" w:rsidRDefault="00F852DC" w:rsidP="00A020FE">
      <w:pPr>
        <w:spacing w:after="120" w:line="240" w:lineRule="auto"/>
      </w:pPr>
      <w:r>
        <w:t>Dans sa résolution, le Parlement fait également référence à des préoccupations environnementales relatives à l’utilisation du thiaclopride et à sa potentielle toxicité pour les abeilles et les autres pollinisateurs (</w:t>
      </w:r>
      <w:r>
        <w:rPr>
          <w:b/>
          <w:bCs/>
        </w:rPr>
        <w:t>considérant D</w:t>
      </w:r>
      <w:r>
        <w:t>). Le Parlement inclut des références scientifiques (</w:t>
      </w:r>
      <w:r>
        <w:rPr>
          <w:b/>
          <w:bCs/>
        </w:rPr>
        <w:t>considérants U, V et W</w:t>
      </w:r>
      <w:r>
        <w:t>) pour appuyer la demande adressée à la Commission de suivre la même approche que celle adoptée pour la clothianidine et le thiaméthoxame [par exemple, fixer toutes les LMR à la LD étant donné que toutes ces substances appartiennent à la même famille de composants actifs (les néonicotinoïdes)] (</w:t>
      </w:r>
      <w:r>
        <w:rPr>
          <w:b/>
          <w:bCs/>
        </w:rPr>
        <w:t>considérants Q, R, S, T et Y</w:t>
      </w:r>
      <w:r>
        <w:t>).</w:t>
      </w:r>
    </w:p>
    <w:p w14:paraId="4F7FB9E4" w14:textId="1EB52238" w:rsidR="00475C1C" w:rsidRPr="00F226EC" w:rsidRDefault="007C461D" w:rsidP="00A020FE">
      <w:pPr>
        <w:spacing w:after="120" w:line="240" w:lineRule="auto"/>
      </w:pPr>
      <w:r>
        <w:t xml:space="preserve">Dans sa résolution, le Parlement indique que le projet de règlement d’exécution n’est pas compatible avec l’esprit et la lettre des règlements (CE) nº 396/2005, (CE) nº 178/2002 et </w:t>
      </w:r>
      <w:r>
        <w:lastRenderedPageBreak/>
        <w:t>(CE) nº 1107/2009 (</w:t>
      </w:r>
      <w:r>
        <w:rPr>
          <w:b/>
          <w:bCs/>
        </w:rPr>
        <w:t>paragraphe 2</w:t>
      </w:r>
      <w:r>
        <w:t>), et demande à la Commission de retirer sa proposition de règlement (</w:t>
      </w:r>
      <w:r>
        <w:rPr>
          <w:b/>
          <w:bCs/>
        </w:rPr>
        <w:t>paragraphe 3</w:t>
      </w:r>
      <w:r>
        <w:t>), de soumettre un nouveau projet visant à abaisser toutes les LMR de thiaclopride à la LD et de rejeter toute demande de tolérance à l’importation (</w:t>
      </w:r>
      <w:r>
        <w:rPr>
          <w:b/>
          <w:bCs/>
        </w:rPr>
        <w:t>paragraphe 4</w:t>
      </w:r>
      <w:r>
        <w:t>).</w:t>
      </w:r>
    </w:p>
    <w:p w14:paraId="6D2448D6" w14:textId="285632FD" w:rsidR="003720DA" w:rsidRPr="000E3AFE" w:rsidRDefault="003720DA" w:rsidP="00A020FE">
      <w:pPr>
        <w:keepNext/>
        <w:keepLines/>
        <w:spacing w:after="240" w:line="240" w:lineRule="auto"/>
        <w:ind w:left="567" w:hanging="567"/>
        <w:rPr>
          <w:b/>
          <w:bCs/>
        </w:rPr>
      </w:pPr>
      <w:r>
        <w:rPr>
          <w:b/>
        </w:rPr>
        <w:t>6.</w:t>
      </w:r>
      <w:r>
        <w:rPr>
          <w:b/>
        </w:rPr>
        <w:tab/>
        <w:t>Réponse à ces demandes et aperçu des mesures que la Commission a prises ou envisage de prendre:</w:t>
      </w:r>
    </w:p>
    <w:p w14:paraId="6D92D097" w14:textId="2E8BCDD5" w:rsidR="003E4DF0" w:rsidRDefault="000A72F1" w:rsidP="00A020FE">
      <w:pPr>
        <w:keepNext/>
        <w:keepLines/>
        <w:spacing w:after="120" w:line="240" w:lineRule="auto"/>
      </w:pPr>
      <w:r>
        <w:t xml:space="preserve">En ce qui concerne le </w:t>
      </w:r>
      <w:r>
        <w:rPr>
          <w:b/>
          <w:bCs/>
        </w:rPr>
        <w:t>paragraphe 2</w:t>
      </w:r>
      <w:r>
        <w:t xml:space="preserve"> de la résolution, la Commission considère que la proposition de règlement est pleinement conforme aux dispositions et aux objectifs du règlement (CE) nº 396/2005 (le règlement sur les LMR) et du règlement (CE) nº 178/2002 (la législation alimentaire générale). S’il est vrai que le thiaclopride est classé comme toxique pour la reproduction, catégorie 1B, et qu’il doit par conséquent remplir des «critères d’exclusion» prévus par le règlement (CE) nº 1107/2009, il est possible, pour cet effet spécifique — la toxicité pour la reproduction — d’établir un seuil d’exposition sans risque en dessous duquel il ne devrait pas exister d’effets néfastes sur la santé, qui permettrait d’établir des LMR sans danger. La Commission a demandé à l’EFSA de procéder à une évaluation des risques pour les LMR existantes fondées sur des utilisations en dehors de l’UE. L’évaluation des risques de l’EFSA, prenant en compte la toxicité pour la reproduction, a conclu que les LMR fondées sur la base des tolérances à l’importation et des CXL sont sans danger pour les consommateurs, à l’exception des LMR existantes pour les pêches et les poivrons doux. Étant donné que les pêches et les poivrons doux actuellement disponibles sur le marché pourraient faire courir un risque aux consommateurs, le projet de règlement entend abaisser ces valeurs sans délai ni mesures transitoires pour les produits mis sur le marché avant la date d’application du nouveau règlement. L’objection du Parlement empêche la Commission d’adopter le règlement et prolonge donc inévitablement l’application de ces LMR, qui devraient être abaissées en raison des préoccupations liées à la santé des consommateurs.</w:t>
      </w:r>
    </w:p>
    <w:p w14:paraId="4CFCFBA3" w14:textId="5468A1AE" w:rsidR="00D03F6C" w:rsidRDefault="00E16405" w:rsidP="00A020FE">
      <w:pPr>
        <w:spacing w:after="120" w:line="240" w:lineRule="auto"/>
        <w:rPr>
          <w:rFonts w:eastAsia="Times New Roman" w:cstheme="minorHAnsi"/>
        </w:rPr>
      </w:pPr>
      <w:r>
        <w:t xml:space="preserve">En ce qui concerne les </w:t>
      </w:r>
      <w:r>
        <w:rPr>
          <w:b/>
          <w:bCs/>
        </w:rPr>
        <w:t>paragraphes 3 et 4</w:t>
      </w:r>
      <w:r>
        <w:t>, la Commission considère qu’en proposant le projet de règlement, elle mettait correctement en œuvre le cadre réglementaire approuvé par les colégislateurs conformément à sa finalité et à son contenu, et fait observer que l’objection du Parlement l’empêche de procéder à son adoption. La demande du Parlement européen visant à abaisser toutes les LMR à la LD, fondée sur le fait que la substance active est classée comme toxique pour la reproduction (catégorie 1B), n’est pas conforme au règlement (CE) nº 396/2005. Elle n’est également pas compatible avec l’accord sanitaire et phytosanitaire (SPS) de l’Organisation mondiale du commerce. Selon l’évaluation des risques menée par l’EFSA, il est possible d’appliquer un seuil qui permettrait d’établir des LMR sans danger pour les consommateurs. La demande du Parlement européen visant à abaisser toutes les LMR à la LD en raison des propriétés que cette substance active partagerait avec d’autres néonicotinoïdes n’est pas suffisamment étayée par des informations scientifiques. L’évaluation disponible menée par l’EFSA a révélé une toxicité aiguë pour les abeilles nettement moins élevée que celle de la clothianidine et du thiaméthoxame (100 fois moins toxique). Par conséquent, la Commission considère qu’il n’est pas justifié de suivre la même approche que pour la clothianidine et le thiaméthoxame.</w:t>
      </w:r>
    </w:p>
    <w:p w14:paraId="7DB6CE5C" w14:textId="4D0F6D92" w:rsidR="00E95625" w:rsidRDefault="00D03F6C" w:rsidP="00A020FE">
      <w:pPr>
        <w:spacing w:after="120" w:line="240" w:lineRule="auto"/>
      </w:pPr>
      <w:r>
        <w:t xml:space="preserve">En ce qui concerne la requête du </w:t>
      </w:r>
      <w:r>
        <w:rPr>
          <w:b/>
          <w:bCs/>
        </w:rPr>
        <w:t xml:space="preserve">paragraphe 4 </w:t>
      </w:r>
      <w:r>
        <w:t xml:space="preserve">visant à refuser toute demande de tolérances à l’importation, la Commission tient à rappeler que le règlement (CE) nº 396/2005 indique que les demandes de LMR relatives à des utilisations dans l’Union et dans des pays tiers sont traitées de la même manière en ce qui concerne la sécurité des consommateurs et les exigences en matière de données. Refuser les tolérances à l’importation soumises conformément à la procédure décrite dans les articles 6 à 11 du règlement (CE) nº 396/2005 et pour lesquelles l’EFSA confirme qu’elles sont sans danger pour les consommateurs serait </w:t>
      </w:r>
      <w:r>
        <w:lastRenderedPageBreak/>
        <w:t>contraire aux dispositions du règlement (CE) nº 396/2005 et irait à l’encontre des obligations internationales de l’UE au titre de l’accord sanitaire et phytosanitaire (SPS) de l’Organisation mondiale du commerce.</w:t>
      </w:r>
    </w:p>
    <w:p w14:paraId="3C1A8376" w14:textId="0636F17F" w:rsidR="00922C40" w:rsidRDefault="00922C40" w:rsidP="00A020FE">
      <w:pPr>
        <w:spacing w:after="120" w:line="240" w:lineRule="auto"/>
      </w:pPr>
      <w:r>
        <w:t>Bien que les arguments avancés dans l’objection du Parlement européen (toxicité pour la reproduction et pour les abeilles) ne préconisent pas une approche différente de celle proposée par la Commission, il convient de noter que, dans ses conclusions de l’examen par les pairs, l’EFSA a soulevé la présence de signes indiquant que la substance pourrait être un perturbateur endocrinien, mais n’a pas mené à terme l’évaluation correspondante, étant donné qu’il était évident que le thiaclopride ne remplissait pas les critères d’approbation pour d’autres raisons.</w:t>
      </w:r>
    </w:p>
    <w:p w14:paraId="6032185D" w14:textId="57DADAF1" w:rsidR="00922C40" w:rsidRDefault="00922C40" w:rsidP="00A020FE">
      <w:pPr>
        <w:spacing w:after="120" w:line="240" w:lineRule="auto"/>
      </w:pPr>
      <w:r>
        <w:t xml:space="preserve">La Commission, constatant que cette information pourrait être également pertinente dans le contexte de la fixation des LMR, réfléchira à prendre en compte cette incertitude lors de la préparation d’un autre projet de règlement. </w:t>
      </w:r>
    </w:p>
    <w:sectPr w:rsidR="00922C4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2C7E0" w14:textId="77777777" w:rsidR="00742955" w:rsidRDefault="00742955" w:rsidP="008E34E4">
      <w:pPr>
        <w:spacing w:after="0" w:line="240" w:lineRule="auto"/>
      </w:pPr>
      <w:r>
        <w:separator/>
      </w:r>
    </w:p>
  </w:endnote>
  <w:endnote w:type="continuationSeparator" w:id="0">
    <w:p w14:paraId="22AB31BD" w14:textId="77777777" w:rsidR="00742955" w:rsidRDefault="00742955" w:rsidP="008E34E4">
      <w:pPr>
        <w:spacing w:after="0" w:line="240" w:lineRule="auto"/>
      </w:pPr>
      <w:r>
        <w:continuationSeparator/>
      </w:r>
    </w:p>
  </w:endnote>
  <w:endnote w:type="continuationNotice" w:id="1">
    <w:p w14:paraId="59F5726F" w14:textId="77777777" w:rsidR="00742955" w:rsidRDefault="007429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DDB65" w14:textId="77777777" w:rsidR="00742955" w:rsidRDefault="00742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3D2B5" w14:textId="77777777" w:rsidR="00742955" w:rsidRDefault="00742955" w:rsidP="008E34E4">
      <w:pPr>
        <w:spacing w:after="0" w:line="240" w:lineRule="auto"/>
      </w:pPr>
      <w:r>
        <w:separator/>
      </w:r>
    </w:p>
  </w:footnote>
  <w:footnote w:type="continuationSeparator" w:id="0">
    <w:p w14:paraId="24E55DBB" w14:textId="77777777" w:rsidR="00742955" w:rsidRDefault="00742955" w:rsidP="008E34E4">
      <w:pPr>
        <w:spacing w:after="0" w:line="240" w:lineRule="auto"/>
      </w:pPr>
      <w:r>
        <w:continuationSeparator/>
      </w:r>
    </w:p>
  </w:footnote>
  <w:footnote w:type="continuationNotice" w:id="1">
    <w:p w14:paraId="5020DD25" w14:textId="77777777" w:rsidR="00742955" w:rsidRDefault="007429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46464" w14:textId="77777777" w:rsidR="00742955" w:rsidRDefault="007429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459A2"/>
    <w:multiLevelType w:val="hybridMultilevel"/>
    <w:tmpl w:val="B2FE341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7B635A3"/>
    <w:multiLevelType w:val="hybridMultilevel"/>
    <w:tmpl w:val="A3986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BE94A28"/>
    <w:multiLevelType w:val="hybridMultilevel"/>
    <w:tmpl w:val="45FAD3CC"/>
    <w:lvl w:ilvl="0" w:tplc="E178578E">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52936197">
    <w:abstractNumId w:val="1"/>
  </w:num>
  <w:num w:numId="2" w16cid:durableId="606431157">
    <w:abstractNumId w:val="0"/>
  </w:num>
  <w:num w:numId="3" w16cid:durableId="2138453888">
    <w:abstractNumId w:val="3"/>
  </w:num>
  <w:num w:numId="4" w16cid:durableId="587614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720DA"/>
    <w:rsid w:val="00020CFA"/>
    <w:rsid w:val="00020FBF"/>
    <w:rsid w:val="00053C00"/>
    <w:rsid w:val="000632B7"/>
    <w:rsid w:val="000871FB"/>
    <w:rsid w:val="000A72F1"/>
    <w:rsid w:val="000E3AFE"/>
    <w:rsid w:val="001068B3"/>
    <w:rsid w:val="00117173"/>
    <w:rsid w:val="00182F2E"/>
    <w:rsid w:val="001C539E"/>
    <w:rsid w:val="001E460E"/>
    <w:rsid w:val="001E640F"/>
    <w:rsid w:val="00202F15"/>
    <w:rsid w:val="002222B5"/>
    <w:rsid w:val="00232A0A"/>
    <w:rsid w:val="002365C3"/>
    <w:rsid w:val="00252132"/>
    <w:rsid w:val="002651DD"/>
    <w:rsid w:val="0026743F"/>
    <w:rsid w:val="002F58C5"/>
    <w:rsid w:val="0031278D"/>
    <w:rsid w:val="00314F97"/>
    <w:rsid w:val="00320F99"/>
    <w:rsid w:val="003333E8"/>
    <w:rsid w:val="0033649E"/>
    <w:rsid w:val="003720DA"/>
    <w:rsid w:val="00387A04"/>
    <w:rsid w:val="003B6C88"/>
    <w:rsid w:val="003D3062"/>
    <w:rsid w:val="003E4DF0"/>
    <w:rsid w:val="003F3BB5"/>
    <w:rsid w:val="0040151D"/>
    <w:rsid w:val="004476FA"/>
    <w:rsid w:val="004654A0"/>
    <w:rsid w:val="00475C1C"/>
    <w:rsid w:val="00481193"/>
    <w:rsid w:val="004B56E1"/>
    <w:rsid w:val="004B7666"/>
    <w:rsid w:val="004E7EF6"/>
    <w:rsid w:val="00586D74"/>
    <w:rsid w:val="005965B8"/>
    <w:rsid w:val="005F7729"/>
    <w:rsid w:val="00661F16"/>
    <w:rsid w:val="00693BFA"/>
    <w:rsid w:val="006C39A0"/>
    <w:rsid w:val="007215B1"/>
    <w:rsid w:val="00737D13"/>
    <w:rsid w:val="00740FDB"/>
    <w:rsid w:val="00742955"/>
    <w:rsid w:val="007A4902"/>
    <w:rsid w:val="007C461D"/>
    <w:rsid w:val="008176B0"/>
    <w:rsid w:val="008E0AF1"/>
    <w:rsid w:val="008E34E4"/>
    <w:rsid w:val="00922C40"/>
    <w:rsid w:val="009230F9"/>
    <w:rsid w:val="00942381"/>
    <w:rsid w:val="009558B7"/>
    <w:rsid w:val="00963BC6"/>
    <w:rsid w:val="009A4F58"/>
    <w:rsid w:val="009A750B"/>
    <w:rsid w:val="009C5EE1"/>
    <w:rsid w:val="009D7965"/>
    <w:rsid w:val="009F29A3"/>
    <w:rsid w:val="00A020FE"/>
    <w:rsid w:val="00A16ED7"/>
    <w:rsid w:val="00A2112A"/>
    <w:rsid w:val="00A55717"/>
    <w:rsid w:val="00AA5D02"/>
    <w:rsid w:val="00AC6455"/>
    <w:rsid w:val="00B03308"/>
    <w:rsid w:val="00B8246B"/>
    <w:rsid w:val="00BA7AFF"/>
    <w:rsid w:val="00BC28AC"/>
    <w:rsid w:val="00C331BA"/>
    <w:rsid w:val="00C35B99"/>
    <w:rsid w:val="00C5552A"/>
    <w:rsid w:val="00C92103"/>
    <w:rsid w:val="00CE50D9"/>
    <w:rsid w:val="00D03F6C"/>
    <w:rsid w:val="00D370B3"/>
    <w:rsid w:val="00D5380A"/>
    <w:rsid w:val="00D85DEC"/>
    <w:rsid w:val="00D87F07"/>
    <w:rsid w:val="00D95671"/>
    <w:rsid w:val="00DE0D0E"/>
    <w:rsid w:val="00E16405"/>
    <w:rsid w:val="00E806F4"/>
    <w:rsid w:val="00E95625"/>
    <w:rsid w:val="00EC0537"/>
    <w:rsid w:val="00EE5FB2"/>
    <w:rsid w:val="00F226EC"/>
    <w:rsid w:val="00F337BE"/>
    <w:rsid w:val="00F852DC"/>
    <w:rsid w:val="00F97CB7"/>
    <w:rsid w:val="00FA51B6"/>
    <w:rsid w:val="00FF5D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747DC"/>
  <w15:chartTrackingRefBased/>
  <w15:docId w15:val="{6F799846-4922-4CF7-9113-37972B83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0DA"/>
    <w:pPr>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0DA"/>
    <w:pPr>
      <w:ind w:left="720"/>
      <w:contextualSpacing/>
    </w:pPr>
  </w:style>
  <w:style w:type="character" w:customStyle="1" w:styleId="highlight">
    <w:name w:val="highlight"/>
    <w:rsid w:val="00D5380A"/>
  </w:style>
  <w:style w:type="paragraph" w:styleId="FootnoteText">
    <w:name w:val="footnote text"/>
    <w:aliases w:val="Fußnotentext Char,Fußnotentext Char1 Char1,Fußnotentext Char Char Char Char,Fußnotentext Char1 Char Char Char,Fußnotentext Char Char,Fußnotentext Char1 Char Char Char Char,Fußnotentext Char Char Char Char Char Char,Fußnotentext Char1,fn"/>
    <w:basedOn w:val="Normal"/>
    <w:link w:val="FootnoteTextChar"/>
    <w:semiHidden/>
    <w:unhideWhenUsed/>
    <w:rsid w:val="00D5380A"/>
    <w:pPr>
      <w:spacing w:after="0" w:line="240" w:lineRule="auto"/>
    </w:pPr>
    <w:rPr>
      <w:sz w:val="20"/>
      <w:szCs w:val="20"/>
    </w:rPr>
  </w:style>
  <w:style w:type="character" w:customStyle="1" w:styleId="FootnoteTextChar">
    <w:name w:val="Footnote Text Char"/>
    <w:aliases w:val="Fußnotentext Char Char1,Fußnotentext Char1 Char1 Char,Fußnotentext Char Char Char Char Char,Fußnotentext Char1 Char Char Char Char1,Fußnotentext Char Char Char,Fußnotentext Char1 Char Char Char Char Char,Fußnotentext Char1 Char"/>
    <w:basedOn w:val="DefaultParagraphFont"/>
    <w:link w:val="FootnoteText"/>
    <w:semiHidden/>
    <w:rsid w:val="00D5380A"/>
    <w:rPr>
      <w:rFonts w:ascii="Times New Roman" w:hAnsi="Times New Roman" w:cs="Times New Roman"/>
      <w:sz w:val="20"/>
      <w:szCs w:val="20"/>
      <w:lang w:val="fr-FR"/>
    </w:rPr>
  </w:style>
  <w:style w:type="character" w:styleId="FootnoteReference">
    <w:name w:val="footnote reference"/>
    <w:aliases w:val="Voetnoot verwijzing,number,Footnote reference number,Footnote symbol,note TESI,-E Fußnotenzeichen,SUPERS,stylish,Footnote Reference_EP-LCA,BVI fnr,Odwołanie przypisu,Footnote Reference2,Footnote Reference Number,E FNZ,Footnote#,Ref,FR"/>
    <w:basedOn w:val="DefaultParagraphFont"/>
    <w:link w:val="SUPERSChar"/>
    <w:uiPriority w:val="99"/>
    <w:unhideWhenUsed/>
    <w:qFormat/>
    <w:rsid w:val="00D5380A"/>
    <w:rPr>
      <w:vertAlign w:val="superscript"/>
    </w:rPr>
  </w:style>
  <w:style w:type="character" w:styleId="Hyperlink">
    <w:name w:val="Hyperlink"/>
    <w:aliases w:val="Char1"/>
    <w:uiPriority w:val="99"/>
    <w:semiHidden/>
    <w:unhideWhenUsed/>
    <w:rsid w:val="00D5380A"/>
    <w:rPr>
      <w:color w:val="0000FF"/>
      <w:u w:val="single"/>
    </w:rPr>
  </w:style>
  <w:style w:type="character" w:styleId="CommentReference">
    <w:name w:val="annotation reference"/>
    <w:basedOn w:val="DefaultParagraphFont"/>
    <w:uiPriority w:val="99"/>
    <w:semiHidden/>
    <w:unhideWhenUsed/>
    <w:rsid w:val="0040151D"/>
    <w:rPr>
      <w:sz w:val="16"/>
      <w:szCs w:val="16"/>
    </w:rPr>
  </w:style>
  <w:style w:type="paragraph" w:styleId="CommentText">
    <w:name w:val="annotation text"/>
    <w:basedOn w:val="Normal"/>
    <w:link w:val="CommentTextChar"/>
    <w:uiPriority w:val="99"/>
    <w:unhideWhenUsed/>
    <w:rsid w:val="0040151D"/>
    <w:pPr>
      <w:spacing w:line="240" w:lineRule="auto"/>
    </w:pPr>
    <w:rPr>
      <w:sz w:val="20"/>
      <w:szCs w:val="20"/>
    </w:rPr>
  </w:style>
  <w:style w:type="character" w:customStyle="1" w:styleId="CommentTextChar">
    <w:name w:val="Comment Text Char"/>
    <w:basedOn w:val="DefaultParagraphFont"/>
    <w:link w:val="CommentText"/>
    <w:uiPriority w:val="99"/>
    <w:rsid w:val="0040151D"/>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40151D"/>
    <w:rPr>
      <w:b/>
      <w:bCs/>
    </w:rPr>
  </w:style>
  <w:style w:type="character" w:customStyle="1" w:styleId="CommentSubjectChar">
    <w:name w:val="Comment Subject Char"/>
    <w:basedOn w:val="CommentTextChar"/>
    <w:link w:val="CommentSubject"/>
    <w:uiPriority w:val="99"/>
    <w:semiHidden/>
    <w:rsid w:val="0040151D"/>
    <w:rPr>
      <w:rFonts w:ascii="Times New Roman" w:hAnsi="Times New Roman" w:cs="Times New Roman"/>
      <w:b/>
      <w:bCs/>
      <w:sz w:val="20"/>
      <w:szCs w:val="20"/>
      <w:lang w:val="fr-FR"/>
    </w:rPr>
  </w:style>
  <w:style w:type="paragraph" w:styleId="Revision">
    <w:name w:val="Revision"/>
    <w:hidden/>
    <w:uiPriority w:val="99"/>
    <w:semiHidden/>
    <w:rsid w:val="009A4F58"/>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A4F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F58"/>
    <w:rPr>
      <w:rFonts w:ascii="Segoe UI" w:hAnsi="Segoe UI" w:cs="Segoe UI"/>
      <w:sz w:val="18"/>
      <w:szCs w:val="18"/>
      <w:lang w:val="fr-FR"/>
    </w:rPr>
  </w:style>
  <w:style w:type="paragraph" w:customStyle="1" w:styleId="SUPERSChar">
    <w:name w:val="SUPERS Char"/>
    <w:aliases w:val="EN Footnote Reference Char"/>
    <w:basedOn w:val="Normal"/>
    <w:link w:val="FootnoteReference"/>
    <w:uiPriority w:val="99"/>
    <w:rsid w:val="00475C1C"/>
    <w:pPr>
      <w:spacing w:line="240" w:lineRule="exact"/>
    </w:pPr>
    <w:rPr>
      <w:rFonts w:asciiTheme="minorHAnsi" w:hAnsiTheme="minorHAnsi" w:cstheme="minorBidi"/>
      <w:sz w:val="22"/>
      <w:szCs w:val="22"/>
      <w:vertAlign w:val="superscript"/>
    </w:rPr>
  </w:style>
  <w:style w:type="paragraph" w:styleId="Header">
    <w:name w:val="header"/>
    <w:basedOn w:val="Normal"/>
    <w:link w:val="HeaderChar"/>
    <w:uiPriority w:val="99"/>
    <w:unhideWhenUsed/>
    <w:rsid w:val="007429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955"/>
    <w:rPr>
      <w:rFonts w:ascii="Times New Roman" w:hAnsi="Times New Roman" w:cs="Times New Roman"/>
      <w:sz w:val="24"/>
      <w:szCs w:val="24"/>
      <w:lang w:val="fr-FR"/>
    </w:rPr>
  </w:style>
  <w:style w:type="paragraph" w:styleId="Footer">
    <w:name w:val="footer"/>
    <w:basedOn w:val="Normal"/>
    <w:link w:val="FooterChar"/>
    <w:uiPriority w:val="99"/>
    <w:unhideWhenUsed/>
    <w:rsid w:val="007429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955"/>
    <w:rPr>
      <w:rFonts w:ascii="Times New Roman" w:hAnsi="Times New Roman"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720420">
      <w:bodyDiv w:val="1"/>
      <w:marLeft w:val="0"/>
      <w:marRight w:val="0"/>
      <w:marTop w:val="0"/>
      <w:marBottom w:val="0"/>
      <w:divBdr>
        <w:top w:val="none" w:sz="0" w:space="0" w:color="auto"/>
        <w:left w:val="none" w:sz="0" w:space="0" w:color="auto"/>
        <w:bottom w:val="none" w:sz="0" w:space="0" w:color="auto"/>
        <w:right w:val="none" w:sz="0" w:space="0" w:color="auto"/>
      </w:divBdr>
    </w:div>
    <w:div w:id="633605992">
      <w:bodyDiv w:val="1"/>
      <w:marLeft w:val="0"/>
      <w:marRight w:val="0"/>
      <w:marTop w:val="0"/>
      <w:marBottom w:val="0"/>
      <w:divBdr>
        <w:top w:val="none" w:sz="0" w:space="0" w:color="auto"/>
        <w:left w:val="none" w:sz="0" w:space="0" w:color="auto"/>
        <w:bottom w:val="none" w:sz="0" w:space="0" w:color="auto"/>
        <w:right w:val="none" w:sz="0" w:space="0" w:color="auto"/>
      </w:divBdr>
    </w:div>
    <w:div w:id="766509879">
      <w:bodyDiv w:val="1"/>
      <w:marLeft w:val="0"/>
      <w:marRight w:val="0"/>
      <w:marTop w:val="0"/>
      <w:marBottom w:val="0"/>
      <w:divBdr>
        <w:top w:val="none" w:sz="0" w:space="0" w:color="auto"/>
        <w:left w:val="none" w:sz="0" w:space="0" w:color="auto"/>
        <w:bottom w:val="none" w:sz="0" w:space="0" w:color="auto"/>
        <w:right w:val="none" w:sz="0" w:space="0" w:color="auto"/>
      </w:divBdr>
    </w:div>
    <w:div w:id="774328914">
      <w:bodyDiv w:val="1"/>
      <w:marLeft w:val="0"/>
      <w:marRight w:val="0"/>
      <w:marTop w:val="0"/>
      <w:marBottom w:val="0"/>
      <w:divBdr>
        <w:top w:val="none" w:sz="0" w:space="0" w:color="auto"/>
        <w:left w:val="none" w:sz="0" w:space="0" w:color="auto"/>
        <w:bottom w:val="none" w:sz="0" w:space="0" w:color="auto"/>
        <w:right w:val="none" w:sz="0" w:space="0" w:color="auto"/>
      </w:divBdr>
    </w:div>
    <w:div w:id="826484125">
      <w:bodyDiv w:val="1"/>
      <w:marLeft w:val="0"/>
      <w:marRight w:val="0"/>
      <w:marTop w:val="0"/>
      <w:marBottom w:val="0"/>
      <w:divBdr>
        <w:top w:val="none" w:sz="0" w:space="0" w:color="auto"/>
        <w:left w:val="none" w:sz="0" w:space="0" w:color="auto"/>
        <w:bottom w:val="none" w:sz="0" w:space="0" w:color="auto"/>
        <w:right w:val="none" w:sz="0" w:space="0" w:color="auto"/>
      </w:divBdr>
    </w:div>
    <w:div w:id="1017275384">
      <w:bodyDiv w:val="1"/>
      <w:marLeft w:val="0"/>
      <w:marRight w:val="0"/>
      <w:marTop w:val="0"/>
      <w:marBottom w:val="0"/>
      <w:divBdr>
        <w:top w:val="none" w:sz="0" w:space="0" w:color="auto"/>
        <w:left w:val="none" w:sz="0" w:space="0" w:color="auto"/>
        <w:bottom w:val="none" w:sz="0" w:space="0" w:color="auto"/>
        <w:right w:val="none" w:sz="0" w:space="0" w:color="auto"/>
      </w:divBdr>
    </w:div>
    <w:div w:id="1217814170">
      <w:bodyDiv w:val="1"/>
      <w:marLeft w:val="0"/>
      <w:marRight w:val="0"/>
      <w:marTop w:val="0"/>
      <w:marBottom w:val="0"/>
      <w:divBdr>
        <w:top w:val="none" w:sz="0" w:space="0" w:color="auto"/>
        <w:left w:val="none" w:sz="0" w:space="0" w:color="auto"/>
        <w:bottom w:val="none" w:sz="0" w:space="0" w:color="auto"/>
        <w:right w:val="none" w:sz="0" w:space="0" w:color="auto"/>
      </w:divBdr>
    </w:div>
    <w:div w:id="190055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81E5D-D011-488F-8729-FFD441C4A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1316</Words>
  <Characters>7200</Characters>
  <Application>Microsoft Office Word</Application>
  <DocSecurity>0</DocSecurity>
  <Lines>102</Lines>
  <Paragraphs>18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MARGUERITTE Juliette-Marie (SANTE)</dc:creator>
  <cp:keywords/>
  <dc:description/>
  <cp:lastModifiedBy>DELBAER Gerda (SG)</cp:lastModifiedBy>
  <cp:revision>2</cp:revision>
  <dcterms:created xsi:type="dcterms:W3CDTF">2024-06-11T15:26:00Z</dcterms:created>
  <dcterms:modified xsi:type="dcterms:W3CDTF">2024-06-11T15:26:00Z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2022-12-19T16:34:27Z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55b3b0ed-f193-4539-8e75-d58abe361ef5</vt:lpwstr>
  </property>
  <property fmtid="{D5CDD505-2E9C-101B-9397-08002B2CF9AE}" pid="8" name="MSIP_Label_6bd9ddd1-4d20-43f6-abfa-fc3c07406f94_ContentBits">
    <vt:lpwstr>0</vt:lpwstr>
  </property>
</Properties>
</file>