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349A" w14:textId="123643B1" w:rsidR="00355294" w:rsidRPr="00956DDA" w:rsidRDefault="7E16C84D" w:rsidP="008B1CB5">
      <w:pPr>
        <w:spacing w:after="600" w:line="240" w:lineRule="auto"/>
        <w:jc w:val="center"/>
        <w:rPr>
          <w:rFonts w:ascii="Times New Roman" w:eastAsia="Times New Roman" w:hAnsi="Times New Roman" w:cs="Times New Roman"/>
          <w:b/>
          <w:bCs/>
        </w:rPr>
      </w:pPr>
      <w:r>
        <w:rPr>
          <w:rFonts w:ascii="Times New Roman" w:hAnsi="Times New Roman"/>
          <w:b/>
        </w:rPr>
        <w:t>Suite donnée à la résolution non législative du Parlement européen sur la transparence et la responsabilité des organisations non gouvernementales financées par le budget de l’Union</w:t>
      </w:r>
    </w:p>
    <w:p w14:paraId="1089DE8B" w14:textId="05221756" w:rsidR="00355294" w:rsidRPr="00A15581" w:rsidRDefault="004F27BD" w:rsidP="008B1CB5">
      <w:pPr>
        <w:pStyle w:val="ListParagraph"/>
        <w:numPr>
          <w:ilvl w:val="0"/>
          <w:numId w:val="5"/>
        </w:numPr>
        <w:spacing w:after="240" w:line="240" w:lineRule="auto"/>
        <w:ind w:left="567" w:hanging="567"/>
        <w:contextualSpacing w:val="0"/>
        <w:jc w:val="both"/>
        <w:rPr>
          <w:rFonts w:ascii="Times New Roman" w:eastAsia="Times New Roman" w:hAnsi="Times New Roman" w:cs="Times New Roman"/>
        </w:rPr>
      </w:pPr>
      <w:r>
        <w:rPr>
          <w:rFonts w:ascii="Times New Roman" w:hAnsi="Times New Roman"/>
          <w:b/>
        </w:rPr>
        <w:t>Rapporteur:</w:t>
      </w:r>
      <w:r>
        <w:rPr>
          <w:rFonts w:ascii="Times New Roman" w:hAnsi="Times New Roman"/>
        </w:rPr>
        <w:t xml:space="preserve"> Markus PIEPER (PPE / DE)</w:t>
      </w:r>
    </w:p>
    <w:p w14:paraId="77A6CC42" w14:textId="41507393" w:rsidR="00355294" w:rsidRPr="00956DDA" w:rsidRDefault="7E16C84D" w:rsidP="008B1CB5">
      <w:pPr>
        <w:pStyle w:val="ListParagraph"/>
        <w:numPr>
          <w:ilvl w:val="0"/>
          <w:numId w:val="5"/>
        </w:numPr>
        <w:spacing w:after="240" w:line="240" w:lineRule="auto"/>
        <w:ind w:left="567" w:hanging="567"/>
        <w:contextualSpacing w:val="0"/>
        <w:jc w:val="both"/>
        <w:rPr>
          <w:rFonts w:ascii="Times New Roman" w:eastAsia="Times New Roman" w:hAnsi="Times New Roman" w:cs="Times New Roman"/>
          <w:b/>
          <w:bCs/>
        </w:rPr>
      </w:pPr>
      <w:r>
        <w:rPr>
          <w:rFonts w:ascii="Times New Roman" w:hAnsi="Times New Roman"/>
          <w:b/>
        </w:rPr>
        <w:t xml:space="preserve">Numéro de référence: </w:t>
      </w:r>
      <w:r>
        <w:rPr>
          <w:rFonts w:ascii="Times New Roman" w:hAnsi="Times New Roman"/>
        </w:rPr>
        <w:t>2023/2122 (INI) / A9-0446/2023 / P9_TA (2024)0036</w:t>
      </w:r>
    </w:p>
    <w:p w14:paraId="0BCCD4D0" w14:textId="37674C53" w:rsidR="00355294" w:rsidRPr="00956DDA" w:rsidRDefault="7E16C84D" w:rsidP="008B1CB5">
      <w:pPr>
        <w:pStyle w:val="ListParagraph"/>
        <w:numPr>
          <w:ilvl w:val="0"/>
          <w:numId w:val="5"/>
        </w:numPr>
        <w:spacing w:after="240" w:line="240" w:lineRule="auto"/>
        <w:ind w:left="567" w:hanging="567"/>
        <w:contextualSpacing w:val="0"/>
        <w:jc w:val="both"/>
        <w:rPr>
          <w:rFonts w:ascii="Times New Roman" w:eastAsia="Times New Roman" w:hAnsi="Times New Roman" w:cs="Times New Roman"/>
          <w:i/>
          <w:iCs/>
        </w:rPr>
      </w:pPr>
      <w:r>
        <w:rPr>
          <w:rFonts w:ascii="Times New Roman" w:hAnsi="Times New Roman"/>
          <w:b/>
        </w:rPr>
        <w:t>Date d'adoption de la résolution</w:t>
      </w:r>
      <w:r>
        <w:rPr>
          <w:rFonts w:ascii="Times New Roman" w:hAnsi="Times New Roman"/>
        </w:rPr>
        <w:t xml:space="preserve"> 17 janvier 2024</w:t>
      </w:r>
    </w:p>
    <w:p w14:paraId="5E3BD705" w14:textId="12710965" w:rsidR="00355294" w:rsidRPr="00956DDA" w:rsidRDefault="7E16C84D" w:rsidP="008B1CB5">
      <w:pPr>
        <w:pStyle w:val="ListParagraph"/>
        <w:numPr>
          <w:ilvl w:val="0"/>
          <w:numId w:val="5"/>
        </w:numPr>
        <w:spacing w:after="240" w:line="240" w:lineRule="auto"/>
        <w:ind w:left="567" w:hanging="567"/>
        <w:contextualSpacing w:val="0"/>
        <w:jc w:val="both"/>
        <w:rPr>
          <w:rFonts w:ascii="Times New Roman" w:eastAsia="Times New Roman" w:hAnsi="Times New Roman" w:cs="Times New Roman"/>
        </w:rPr>
      </w:pPr>
      <w:r>
        <w:rPr>
          <w:rFonts w:ascii="Times New Roman" w:hAnsi="Times New Roman"/>
          <w:b/>
        </w:rPr>
        <w:t xml:space="preserve">Commission parlementaire compétente </w:t>
      </w:r>
      <w:r>
        <w:rPr>
          <w:rFonts w:ascii="Times New Roman" w:hAnsi="Times New Roman"/>
        </w:rPr>
        <w:t>Commission du contrôle budgétaire (CONT)</w:t>
      </w:r>
    </w:p>
    <w:p w14:paraId="7D46B755" w14:textId="158225E3" w:rsidR="00355294" w:rsidRPr="00956DDA" w:rsidRDefault="7E16C84D" w:rsidP="008B1CB5">
      <w:pPr>
        <w:pStyle w:val="ListParagraph"/>
        <w:numPr>
          <w:ilvl w:val="0"/>
          <w:numId w:val="5"/>
        </w:numPr>
        <w:spacing w:after="240" w:line="240" w:lineRule="auto"/>
        <w:ind w:left="567" w:hanging="567"/>
        <w:contextualSpacing w:val="0"/>
        <w:jc w:val="both"/>
        <w:rPr>
          <w:rFonts w:ascii="Times New Roman" w:eastAsia="Times New Roman" w:hAnsi="Times New Roman" w:cs="Times New Roman"/>
          <w:i/>
          <w:iCs/>
        </w:rPr>
      </w:pPr>
      <w:r>
        <w:rPr>
          <w:rFonts w:ascii="Times New Roman" w:hAnsi="Times New Roman"/>
          <w:b/>
        </w:rPr>
        <w:t>Analyse/évaluation succincte de la résolution et des demandes qu’elle contient</w:t>
      </w:r>
    </w:p>
    <w:p w14:paraId="4596179D" w14:textId="2BE8E2EC" w:rsidR="02CD687E" w:rsidRPr="00956DDA" w:rsidRDefault="02CD687E" w:rsidP="008B1CB5">
      <w:pPr>
        <w:spacing w:after="120" w:line="240" w:lineRule="auto"/>
        <w:jc w:val="both"/>
        <w:rPr>
          <w:rFonts w:ascii="Times New Roman" w:eastAsia="Times New Roman" w:hAnsi="Times New Roman" w:cs="Times New Roman"/>
        </w:rPr>
      </w:pPr>
      <w:r>
        <w:rPr>
          <w:rFonts w:ascii="Times New Roman" w:hAnsi="Times New Roman"/>
        </w:rPr>
        <w:t>La transparence et la responsabilité des organisations non gouvernementales (ONG) financées par le budget de l’Union européenne (UE) présentent un intérêt pour les institutions de l’Union et constituent un principe directeur pour la Commission dans la manière dont le budget de l’UE est dépensé, conformément aux exigences légales en vigueur.</w:t>
      </w:r>
    </w:p>
    <w:p w14:paraId="76C1D926" w14:textId="09EC4287" w:rsidR="00C352BC" w:rsidRPr="00956DDA" w:rsidRDefault="310C0740" w:rsidP="008B1CB5">
      <w:pPr>
        <w:spacing w:after="120" w:line="240" w:lineRule="auto"/>
        <w:jc w:val="both"/>
        <w:rPr>
          <w:i/>
          <w:iCs/>
        </w:rPr>
      </w:pPr>
      <w:bookmarkStart w:id="0" w:name="_Hlk160028811"/>
      <w:r>
        <w:rPr>
          <w:rFonts w:ascii="Times New Roman" w:hAnsi="Times New Roman"/>
        </w:rPr>
        <w:t>La résolution actuelle reflète la reconnaissance, par le Parlement européen, du rôle essentiel que jouent les ONG</w:t>
      </w:r>
      <w:bookmarkEnd w:id="0"/>
      <w:r>
        <w:rPr>
          <w:rFonts w:ascii="Times New Roman" w:hAnsi="Times New Roman"/>
        </w:rPr>
        <w:t xml:space="preserve"> pour représenter la société civile et défendre l’état de droit et les valeurs démocratiques, pour lutter contre la corruption et pour promouvoir les droits de l’homme et la démocratie dans les pays de l’Union et les pays tiers, ainsi que de l’importance de veiller à ce que ces organisations continuent d’être autorisées à bénéficier d’un financement de l’Union. Dans le même temps,</w:t>
      </w:r>
      <w:bookmarkStart w:id="1" w:name="_Hlk160028645"/>
      <w:r>
        <w:rPr>
          <w:rFonts w:ascii="Times New Roman" w:hAnsi="Times New Roman"/>
        </w:rPr>
        <w:t xml:space="preserve"> le Parlement européen invite la Commission à garantir davantage de transparence et de responsabilité pour ce type d’organisation, par exemple en rationalisant et en simplifiant les procédures permettant d’autoriser le financement des ONG, en faisant en sorte que le système de détection rapide et d’exclusion (EDES) soit pleinement opérationnel et à ce que seules les organisations qui agissent dans le plein respect des valeurs de l’Union reçoivent un financement de l’Union, en renforçant la transparence et la responsabilité tout au long de la chaîne de financement, en introduisant de nouvelles obligations en matière de divulgation d’informations, en développant la convivialité de la base de données du système de transparence financière (STF) et en rationalisant les bases de données.</w:t>
      </w:r>
    </w:p>
    <w:bookmarkEnd w:id="1"/>
    <w:p w14:paraId="5E8CC2EC" w14:textId="571C908E" w:rsidR="00355294" w:rsidRPr="00956DDA" w:rsidRDefault="7E16C84D" w:rsidP="008B1CB5">
      <w:pPr>
        <w:pStyle w:val="ListParagraph"/>
        <w:numPr>
          <w:ilvl w:val="0"/>
          <w:numId w:val="5"/>
        </w:numPr>
        <w:spacing w:after="240" w:line="240" w:lineRule="auto"/>
        <w:ind w:left="567" w:hanging="567"/>
        <w:jc w:val="both"/>
        <w:rPr>
          <w:rFonts w:ascii="Times New Roman" w:eastAsia="Times New Roman" w:hAnsi="Times New Roman" w:cs="Times New Roman"/>
          <w:b/>
          <w:bCs/>
        </w:rPr>
      </w:pPr>
      <w:r>
        <w:rPr>
          <w:rFonts w:ascii="Times New Roman" w:hAnsi="Times New Roman"/>
          <w:b/>
        </w:rPr>
        <w:t xml:space="preserve">Réponse aux demandes et aperçu des mesures que la Commission a prises ou envisage de prendre: </w:t>
      </w:r>
    </w:p>
    <w:p w14:paraId="70973BA3" w14:textId="3E4CB638" w:rsidR="00355294" w:rsidRPr="00956DDA" w:rsidRDefault="00D46C1B" w:rsidP="000C184A">
      <w:pPr>
        <w:spacing w:after="120" w:line="240" w:lineRule="auto"/>
        <w:jc w:val="both"/>
        <w:rPr>
          <w:rFonts w:ascii="Times New Roman" w:eastAsia="Times New Roman" w:hAnsi="Times New Roman" w:cs="Times New Roman"/>
          <w:i/>
          <w:iCs/>
        </w:rPr>
      </w:pPr>
      <w:r>
        <w:rPr>
          <w:rFonts w:ascii="Times New Roman" w:hAnsi="Times New Roman"/>
          <w:i/>
        </w:rPr>
        <w:t>Rationalisation et simplification des procédures pour permettre un financement adéquat des ONG</w:t>
      </w:r>
    </w:p>
    <w:p w14:paraId="3F5E489B" w14:textId="7F784A27" w:rsidR="006325A1" w:rsidRPr="00956DDA" w:rsidRDefault="41B269DF" w:rsidP="008B1CB5">
      <w:pPr>
        <w:spacing w:after="120" w:line="240" w:lineRule="auto"/>
        <w:jc w:val="both"/>
        <w:rPr>
          <w:rFonts w:ascii="Times New Roman" w:hAnsi="Times New Roman" w:cs="Times New Roman"/>
          <w:sz w:val="20"/>
          <w:szCs w:val="20"/>
        </w:rPr>
      </w:pPr>
      <w:r>
        <w:rPr>
          <w:rFonts w:ascii="Times New Roman" w:hAnsi="Times New Roman"/>
        </w:rPr>
        <w:t xml:space="preserve">La Commission partage l’avis du Parlement européen et reconnaît l’importance des ONG dans la défense des valeurs européennes et démocratiques. La Commission convient en outre qu’une approche équilibrée entre les exigences spécifiques aux ONG et la facilitation de leur financement adéquat et transparent doit être garantie. À cette fin, en règle générale, un financement de l’Union est octroyé à la suite d’appels à propositions transparents et ouverts au public, qui permettent à tous les demandeurs concernés de soumettre une proposition. Dans les domaines d’action les plus pertinents, tels que le programme «Citoyens, égalité, droits et valeurs» (CERV), les organisations de la société civile actives dans la promotion et la protection de l’état de droit, des droits fondamentaux et de la démocratie aux niveaux national, régional et </w:t>
      </w:r>
      <w:r>
        <w:rPr>
          <w:rFonts w:ascii="Times New Roman" w:hAnsi="Times New Roman"/>
        </w:rPr>
        <w:lastRenderedPageBreak/>
        <w:t xml:space="preserve">local sont encouragées à participer à des appels spécifiquement conçus pour renforcer leurs capacités et leur durabilité. </w:t>
      </w:r>
      <w:r>
        <w:t>Le soutien au titre de l’instrument de voisinage, de coopération au développement et de coopération internationale — Europe dans le monde (IVCDCI — Europe dans le monde) vise, entre autres, à protéger les défenseurs des droits de l’homme dans les circonstances les plus difficiles et les situations d’urgence.</w:t>
      </w:r>
      <w:r>
        <w:rPr>
          <w:rFonts w:ascii="Times New Roman" w:hAnsi="Times New Roman"/>
        </w:rPr>
        <w:t xml:space="preserve"> Il reconnaît la nécessité d’apporter une aide aux défenseurs des droits de l’homme et à la société civile, en particulier au niveau local, y compris au moyen d’un mécanisme spécial leur permettant d'effectuer leur travail sans entraves. Dans le cadre de cet instrument, des subventions peuvent être octroyées directement aux défenseurs des droits de l’homme pour financer des actions et des besoins de protection urgents, ainsi qu’aux organisations de la société civile (</w:t>
      </w:r>
      <w:r>
        <w:rPr>
          <w:rFonts w:ascii="Times New Roman" w:hAnsi="Times New Roman"/>
          <w:b/>
        </w:rPr>
        <w:t>paragraphe 5</w:t>
      </w:r>
      <w:r>
        <w:rPr>
          <w:rFonts w:ascii="Times New Roman" w:hAnsi="Times New Roman"/>
        </w:rPr>
        <w:t>).</w:t>
      </w:r>
    </w:p>
    <w:p w14:paraId="36AF7C0E" w14:textId="6CE1872D" w:rsidR="00D46C1B" w:rsidRPr="00956DDA" w:rsidRDefault="3E3FBC69" w:rsidP="008B1CB5">
      <w:pPr>
        <w:spacing w:after="120" w:line="240" w:lineRule="auto"/>
        <w:jc w:val="both"/>
        <w:rPr>
          <w:rFonts w:ascii="Times New Roman" w:eastAsia="Times New Roman" w:hAnsi="Times New Roman" w:cs="Times New Roman"/>
        </w:rPr>
      </w:pPr>
      <w:r>
        <w:rPr>
          <w:rFonts w:ascii="Times New Roman" w:hAnsi="Times New Roman"/>
        </w:rPr>
        <w:t>La Commission comprend également l’invitation à simplifier et à rationaliser encore les procédures afin que les petites ONG, y compris au niveau local, puissent solliciter un financement de l’Union et en bénéficier; Afin de faciliter l’accès au financement pour les petits projets, les colégislateurs sont convenus d’introduire les subventions de très faible valeur en tant que nouvelle catégorie de subventions dans le cadre de l’accord politique sur la refonte du règlement financier. Les demandeurs de telles subventions, y compris les ONG, devront fournir moins de documents à la Commission; par exemple ils n’auront plus besoin de remplir une déclaration sur l’honneur, et ils ne devront pas démontrer leur capacité financière à mettre l’action en œuvre. En outre, il est possible de réduire au maximum les déclarations pour les petits bénéficiaires grâce à un recours accru à des formes simplifiées de financement, car celles-ci suppriment la nécessité d’établir des rapports financiers (</w:t>
      </w:r>
      <w:r>
        <w:rPr>
          <w:rFonts w:ascii="Times New Roman" w:hAnsi="Times New Roman"/>
          <w:b/>
        </w:rPr>
        <w:t>paragraphes 7 et 41</w:t>
      </w:r>
      <w:r>
        <w:rPr>
          <w:rFonts w:ascii="Times New Roman" w:hAnsi="Times New Roman"/>
        </w:rPr>
        <w:t>).</w:t>
      </w:r>
    </w:p>
    <w:p w14:paraId="712C4765" w14:textId="6E15B881" w:rsidR="00C449F3" w:rsidRPr="00956DDA" w:rsidRDefault="1F6A06F7" w:rsidP="008B1CB5">
      <w:pPr>
        <w:spacing w:after="120" w:line="240" w:lineRule="auto"/>
        <w:jc w:val="both"/>
        <w:rPr>
          <w:rFonts w:ascii="Times New Roman" w:eastAsia="Times New Roman" w:hAnsi="Times New Roman" w:cs="Times New Roman"/>
        </w:rPr>
      </w:pPr>
      <w:r>
        <w:rPr>
          <w:rFonts w:ascii="Times New Roman" w:hAnsi="Times New Roman"/>
        </w:rPr>
        <w:t>La Commission propose régulièrement des formations à l’ensemble du personnel participant à la gestion des subventions, y compris une formation générale sur les règles financières et une formation technique sur la gestion des subventions. La Commission a mis en place, pour la période de programmation 2021-2027, une procédure électronique unique pour toutes les phases de la procédure de subvention dans presque tous les programmes de financement, ce qui simplifie les procédures pour le personnel et les demandeurs, notamment en normalisant les procédures et les documents nécessaires pour introduire une demande dans tous les programmes. Outre les lignes directrices accessibles au public (telles que le modèle de convention de subvention annoté), les programmes de financement ont également la possibilité d’aider les demandeurs ou les bénéficiaires au moyen d’initiatives d’assistance technique, de formations couvrant l’établissement de rapports et les règles financières et en publiant des informations simples et claires, y compris des FAQ sur la manière de postuler. Certains programmes prévoient des bureaux de programme/points de contact dans les États membres qui peuvent aider directement les demandeurs (</w:t>
      </w:r>
      <w:r>
        <w:rPr>
          <w:rFonts w:ascii="Times New Roman" w:hAnsi="Times New Roman"/>
          <w:b/>
        </w:rPr>
        <w:t>paragraphes 7 et 41</w:t>
      </w:r>
      <w:r>
        <w:rPr>
          <w:rFonts w:ascii="Times New Roman" w:hAnsi="Times New Roman"/>
        </w:rPr>
        <w:t>).</w:t>
      </w:r>
    </w:p>
    <w:p w14:paraId="2C8558DE" w14:textId="0B832314" w:rsidR="007A1ABD" w:rsidRPr="00956DDA" w:rsidRDefault="007A1ABD" w:rsidP="008B1CB5">
      <w:pPr>
        <w:spacing w:after="120" w:line="240" w:lineRule="auto"/>
        <w:jc w:val="both"/>
        <w:rPr>
          <w:rFonts w:ascii="Times New Roman" w:eastAsia="Times New Roman" w:hAnsi="Times New Roman" w:cs="Times New Roman"/>
        </w:rPr>
      </w:pPr>
      <w:r>
        <w:rPr>
          <w:rFonts w:ascii="Times New Roman" w:hAnsi="Times New Roman"/>
        </w:rPr>
        <w:t>En outre, dans le but de rationaliser les procédures et d’accroître la transparence du financement de l’Union, la Commission a reconnu la nécessité d’une définition harmonisée des ONG conformément aux recommandations du Parlement européen et de la Cour des comptes européenne. Une définition commune des ONG a fait l’objet d’un accord politique dans le cadre de la refonte du règlement financier. La nouvelle définition sera reflétée dans les documents, procédures et systèmes de la Commission après l’entrée en vigueur de la refonte du règlement financier (</w:t>
      </w:r>
      <w:r>
        <w:rPr>
          <w:rFonts w:ascii="Times New Roman" w:hAnsi="Times New Roman"/>
          <w:b/>
        </w:rPr>
        <w:t>paragraphes 16 et 18</w:t>
      </w:r>
      <w:r>
        <w:rPr>
          <w:rFonts w:ascii="Times New Roman" w:hAnsi="Times New Roman"/>
        </w:rPr>
        <w:t>).</w:t>
      </w:r>
    </w:p>
    <w:p w14:paraId="36663FEB" w14:textId="2D57761D" w:rsidR="00D46C1B" w:rsidRPr="000C184A" w:rsidRDefault="004156A9" w:rsidP="000C184A">
      <w:pPr>
        <w:spacing w:after="120" w:line="240" w:lineRule="auto"/>
        <w:jc w:val="both"/>
        <w:rPr>
          <w:rFonts w:ascii="Times New Roman" w:eastAsia="Times New Roman" w:hAnsi="Times New Roman" w:cs="Times New Roman"/>
          <w:i/>
          <w:iCs/>
        </w:rPr>
      </w:pPr>
      <w:r>
        <w:rPr>
          <w:rFonts w:ascii="Times New Roman" w:hAnsi="Times New Roman"/>
          <w:i/>
        </w:rPr>
        <w:lastRenderedPageBreak/>
        <w:t>Veiller à ce que le système de détection rapide et d’exclusion soit pleinement opérationnel et à ce que seules les organisations qui agissent dans le plein respect des valeurs de l’UE reçoivent un financement de l’Union</w:t>
      </w:r>
    </w:p>
    <w:p w14:paraId="0D5B8E0D" w14:textId="7C246D20" w:rsidR="00315A83" w:rsidRPr="00956DDA" w:rsidRDefault="519B93CB" w:rsidP="008B1CB5">
      <w:pPr>
        <w:spacing w:after="120" w:line="240" w:lineRule="auto"/>
        <w:jc w:val="both"/>
        <w:rPr>
          <w:rFonts w:ascii="Times New Roman" w:eastAsia="Times New Roman" w:hAnsi="Times New Roman" w:cs="Times New Roman"/>
        </w:rPr>
      </w:pPr>
      <w:r>
        <w:rPr>
          <w:rFonts w:ascii="Times New Roman" w:hAnsi="Times New Roman"/>
        </w:rPr>
        <w:t>La Commission convient que seules les organisations qui agissent dans le plein respect des valeurs de l’Union européenne (UE) découlant du traité sur l’Union européenne et de la charte des droits fondamentaux de l’Union européenne devraient bénéficier d’un financement. C’est pourquoi, lors de l’exécution du budget, la</w:t>
      </w:r>
      <w:bookmarkStart w:id="2" w:name="_Hlk160036295"/>
      <w:r>
        <w:rPr>
          <w:rFonts w:ascii="Times New Roman" w:hAnsi="Times New Roman"/>
        </w:rPr>
        <w:t xml:space="preserve"> Commission veille, à tous les stades (avant signature, mise en œuvre, contrôles ex post), à ce que seuls les organisations, y compris les ONG, et les projets compatibles avec les valeurs de l’UE bénéficient d’un soutien</w:t>
      </w:r>
      <w:bookmarkEnd w:id="2"/>
      <w:r>
        <w:rPr>
          <w:rFonts w:ascii="Times New Roman" w:hAnsi="Times New Roman"/>
        </w:rPr>
        <w:t>.  Au stade qui précède la signature, la Commission met en œuvre des processus de sélection rigoureux et des contrôles ex ante fondés sur des critères objectifs conformes aux conditions de l’appel. Les contrôles établis portent sur trois points. La Commission recherche l’existence d’une situation d’exclusion, y compris une faute professionnelle grave, qui peut refléter des comportements contraires aux valeurs de l’Union. Deuxièmement, les demandeurs de fonds de l’UE sont déjà tenus de déclarer explicitement si leur organisation, les personnes ayant un pouvoir de représentation, de décision ou de contrôle, les bénéficiaires effectifs ou les personnes essentielles à l’attribution/à la mise en œuvre de l’action se trouvent dans une des situations d’exclusion, y compris en raison d’une faute professionnelle grave (qui peut inclure une violation des valeurs de l’UE). Les demandeurs de pays tiers établis en dehors de la juridiction du droit de l’Union doivent également déclarer explicitement qu’ils respectent les principes généraux, y compris les droits et valeurs fondamentaux. En outre, en fonction des domaines d’action du programme, la Commission peut également inclure des critères d’éligibilité spécifiques dans les appels à propositions afin que les projets respectent et promeuvent les valeurs de l’Union et rejeter les projets qui ne respectent pas ces critères (</w:t>
      </w:r>
      <w:r>
        <w:rPr>
          <w:rFonts w:ascii="Times New Roman" w:hAnsi="Times New Roman"/>
          <w:b/>
        </w:rPr>
        <w:t>paragraphe J et paragraphes 20, 28 et 33</w:t>
      </w:r>
      <w:r>
        <w:rPr>
          <w:rFonts w:ascii="Times New Roman" w:hAnsi="Times New Roman"/>
        </w:rPr>
        <w:t>).</w:t>
      </w:r>
    </w:p>
    <w:p w14:paraId="0D1C4BB7" w14:textId="1C7B5A91" w:rsidR="008403A8" w:rsidRPr="00956DDA" w:rsidRDefault="73B9129F" w:rsidP="008B1CB5">
      <w:pPr>
        <w:spacing w:after="120" w:line="240" w:lineRule="auto"/>
        <w:jc w:val="both"/>
        <w:rPr>
          <w:rFonts w:ascii="Times New Roman" w:eastAsia="Times New Roman" w:hAnsi="Times New Roman" w:cs="Times New Roman"/>
        </w:rPr>
      </w:pPr>
      <w:r>
        <w:rPr>
          <w:rFonts w:ascii="Times New Roman" w:hAnsi="Times New Roman"/>
        </w:rPr>
        <w:t>La Commission rappelle qu’elle a conçu son cadre de contrôle interne conformément à l’article 36 du règlement financier et qu’elle veille à ce que le budget soit exécuté dans le respect des principes d’un contrôle interne efficace et efficient, conformément au principe de bonne gestion financière. Afin de prévenir les erreurs et les irrégularités avant l’autorisation des opérations et d’atténuer les risques de non-réalisation des objectifs, des contrôles ex ante sont systématiquement appliqués à chaque opération, conformément à l’article 74 du règlement financier. La conception du contrôle interne de la Commission tient compte, entre autres, de la proportionnalité, des coûts du contrôle, des contrôles ex post et des mesures d’atténuation des faiblesses constatées. Dans les rapports annuels d’activité de tous les services, la Commission rend compte de manière transparente de son évaluation des mesures de contrôle interne et d’atténuation en ce qui concerne les faiblesses relevées par le service d’audit interne, les audits externes et/ou la Cour des comptes européenne (</w:t>
      </w:r>
      <w:r>
        <w:rPr>
          <w:rFonts w:ascii="Times New Roman" w:hAnsi="Times New Roman"/>
          <w:b/>
        </w:rPr>
        <w:t>paragraphe 23</w:t>
      </w:r>
      <w:r>
        <w:rPr>
          <w:rFonts w:ascii="Times New Roman" w:hAnsi="Times New Roman"/>
        </w:rPr>
        <w:t>).</w:t>
      </w:r>
    </w:p>
    <w:p w14:paraId="6D9A5BF6" w14:textId="5E677DB7" w:rsidR="1131D2EF" w:rsidRPr="00956DDA" w:rsidRDefault="008403A8" w:rsidP="008B1CB5">
      <w:pPr>
        <w:spacing w:after="120" w:line="240" w:lineRule="auto"/>
        <w:jc w:val="both"/>
        <w:rPr>
          <w:rFonts w:ascii="Times New Roman" w:eastAsia="Times New Roman" w:hAnsi="Times New Roman" w:cs="Times New Roman"/>
        </w:rPr>
      </w:pPr>
      <w:r>
        <w:rPr>
          <w:rFonts w:ascii="Times New Roman" w:hAnsi="Times New Roman"/>
        </w:rPr>
        <w:t>En outre,</w:t>
      </w:r>
      <w:bookmarkStart w:id="3" w:name="_Hlk160036339"/>
      <w:r>
        <w:rPr>
          <w:rFonts w:ascii="Times New Roman" w:hAnsi="Times New Roman"/>
        </w:rPr>
        <w:t xml:space="preserve"> sur la base du règlement financier actuel, le système de détection rapide et d’exclusion est déjà pleinement opérationnel</w:t>
      </w:r>
      <w:bookmarkEnd w:id="3"/>
      <w:r>
        <w:rPr>
          <w:rFonts w:ascii="Times New Roman" w:hAnsi="Times New Roman"/>
        </w:rPr>
        <w:t xml:space="preserve"> et s’applique aux personnes ou entités qui reçoivent des fonds de l’Union en gestion directe et indirecte et qui agissent en tant que participant, destinataire ou fournisseur de capacité, quel que soit leur statut. Par conséquent, ces personnes ou entités, y compris les ONG, peuvent déjà faire l’objet de mesures EDES pour autant qu’elles relèvent de son champ d’application. </w:t>
      </w:r>
      <w:bookmarkStart w:id="4" w:name="_Hlk160036366"/>
      <w:r>
        <w:rPr>
          <w:rFonts w:ascii="Times New Roman" w:hAnsi="Times New Roman"/>
        </w:rPr>
        <w:t xml:space="preserve">La refonte du règlement financier renforcera encore le système EDES en ajoutant spécifiquement, parmi les critères d’exclusion, le motif d’«incitation à la discrimination, à la haine ou à la violence contre un groupe de personnes ou un membre d’un groupe, ou activités similaires contraires aux valeurs sur lesquelles l’Union est fondée, </w:t>
      </w:r>
      <w:r>
        <w:rPr>
          <w:rFonts w:ascii="Times New Roman" w:hAnsi="Times New Roman"/>
        </w:rPr>
        <w:lastRenderedPageBreak/>
        <w:t xml:space="preserve">consacrées à l’article 2 du traité UE», dans la notion plus large de faute professionnelle grave. </w:t>
      </w:r>
      <w:bookmarkEnd w:id="4"/>
      <w:r>
        <w:rPr>
          <w:rFonts w:ascii="Times New Roman" w:hAnsi="Times New Roman"/>
        </w:rPr>
        <w:t>Cela renforcera encore la structure actuelle (</w:t>
      </w:r>
      <w:r>
        <w:rPr>
          <w:rFonts w:ascii="Times New Roman" w:hAnsi="Times New Roman"/>
          <w:b/>
        </w:rPr>
        <w:t>paragraphe J et paragraphes 20, 28, 33 et 46</w:t>
      </w:r>
      <w:r>
        <w:rPr>
          <w:rFonts w:ascii="Times New Roman" w:hAnsi="Times New Roman"/>
        </w:rPr>
        <w:t>).</w:t>
      </w:r>
    </w:p>
    <w:p w14:paraId="43F2A448" w14:textId="3F439075" w:rsidR="004F6660" w:rsidRPr="00956DDA" w:rsidRDefault="500620EA" w:rsidP="008B1CB5">
      <w:pPr>
        <w:spacing w:after="120" w:line="240" w:lineRule="auto"/>
        <w:jc w:val="both"/>
        <w:rPr>
          <w:rFonts w:ascii="Times New Roman" w:eastAsia="Times New Roman" w:hAnsi="Times New Roman" w:cs="Times New Roman"/>
        </w:rPr>
      </w:pPr>
      <w:r>
        <w:rPr>
          <w:rFonts w:ascii="Times New Roman" w:hAnsi="Times New Roman"/>
        </w:rPr>
        <w:t>Les recommandations découlant de la décharge 2021 de la Commission ont été prises en compte par la refonte du règlement financier convenue au niveau politique, y compris l’extension du champ d’application d’EDES aux fonds en gestion partagée et aux fonds décaissés en gestion directe avec les États membres (applicable à partir du 1</w:t>
      </w:r>
      <w:r>
        <w:rPr>
          <w:rFonts w:ascii="Times New Roman" w:hAnsi="Times New Roman"/>
          <w:vertAlign w:val="superscript"/>
        </w:rPr>
        <w:t>er</w:t>
      </w:r>
      <w:r>
        <w:rPr>
          <w:rFonts w:ascii="Times New Roman" w:hAnsi="Times New Roman"/>
        </w:rPr>
        <w:t> janvier 2028). Le renforcement du système conduira à des exclusions plus efficaces et plus efficientes à l’avenir. En ce qui concerne la publication de la liste des entités exclues, le règlement financier envisage la possibilité de publier les informations relatives à l’exclusion afin de renforcer l’effet dissuasif de la mesure. Toutefois, aucune publication ne peut avoir lieu s’il est nécessaire de préserver la confidentialité d’une enquête ou d’une procédure judiciaire nationale lorsque la publication causerait un préjudice disproportionné à la personne ou à l’entité à exclure et en cas de protection des données à caractère personnel. La proportionnalité d’une publication doit être évaluée au cas par cas, en tenant compte de la gravité de la faute, y compris des facteurs aggravants d’une part, et des dommages disproportionnés potentiels pour la personne ou l’entité, de la préservation de la confidentialité d’autres procédures ou de données à caractère personnel (</w:t>
      </w:r>
      <w:r>
        <w:rPr>
          <w:rFonts w:ascii="Times New Roman" w:hAnsi="Times New Roman"/>
          <w:b/>
        </w:rPr>
        <w:t>paragraphe 50</w:t>
      </w:r>
      <w:r>
        <w:rPr>
          <w:rFonts w:ascii="Times New Roman" w:hAnsi="Times New Roman"/>
        </w:rPr>
        <w:t>).</w:t>
      </w:r>
    </w:p>
    <w:p w14:paraId="65EF9799" w14:textId="47B7D2BC" w:rsidR="008D672C" w:rsidRPr="00956DDA" w:rsidRDefault="00A15581" w:rsidP="008B1CB5">
      <w:pPr>
        <w:spacing w:after="120" w:line="240" w:lineRule="auto"/>
        <w:jc w:val="both"/>
        <w:rPr>
          <w:rFonts w:ascii="Times New Roman" w:eastAsia="Times New Roman" w:hAnsi="Times New Roman" w:cs="Times New Roman"/>
        </w:rPr>
      </w:pPr>
      <w:r>
        <w:rPr>
          <w:rFonts w:ascii="Times New Roman" w:hAnsi="Times New Roman"/>
        </w:rPr>
        <w:t>La Commission tient à préciser que les normes d’audit internationalement reconnues (par exemple, l’INTOSAI) et le règlement (CE) nº 1049/2001 relatif à l’accès du public aux documents définissent les rapports d’audit des audits en cours comme des informations confidentielles qui ne peuvent être divulguées à des tiers. Ce n’est qu’une fois la procédure finalisée que les informations peuvent être mises à la disposition de tiers.</w:t>
      </w:r>
    </w:p>
    <w:p w14:paraId="7013218F" w14:textId="6DD5BDA1" w:rsidR="000416D3" w:rsidRPr="00956DDA" w:rsidRDefault="000416D3" w:rsidP="008B1CB5">
      <w:pPr>
        <w:spacing w:after="120" w:line="240" w:lineRule="auto"/>
        <w:jc w:val="both"/>
        <w:rPr>
          <w:rFonts w:ascii="Times New Roman" w:eastAsia="Times New Roman" w:hAnsi="Times New Roman" w:cs="Times New Roman"/>
        </w:rPr>
      </w:pPr>
      <w:r>
        <w:rPr>
          <w:rFonts w:ascii="Times New Roman" w:hAnsi="Times New Roman"/>
        </w:rPr>
        <w:t>En ce qui concerne le statut d’accès de l’Office européen de lutte antifraude (OLAF), conformément à l’article 129 du règlement financier, toute personne ou entité qui reçoit des fonds de l’Union coopère pleinement à la protection des intérêts financiers de l’Union et accorde, comme condition à la réception des fonds, les droits et accès nécessaires pour permettre à l’OLAF d’exercer pleinement ses compétences respectives. Dans le cas de l’OLAF, cela inclut le droit d’effectuer des enquêtes, y compris des contrôles et vérifications sur place. Les dispositions pertinentes de la refonte du règlement financier, telles qu’adoptées au niveau politique, applicables à partir du 1</w:t>
      </w:r>
      <w:r>
        <w:rPr>
          <w:rFonts w:ascii="Times New Roman" w:hAnsi="Times New Roman"/>
          <w:vertAlign w:val="superscript"/>
        </w:rPr>
        <w:t>er</w:t>
      </w:r>
      <w:r>
        <w:rPr>
          <w:rFonts w:ascii="Times New Roman" w:hAnsi="Times New Roman"/>
        </w:rPr>
        <w:t> janvier 2028, prévoient l’interconnexion d’EDES avec l’outil d’exploration de données et de calcul du risque, auquel l’OLAF aura accès dans le cadre de l’exercice de ses compétences. En conséquence, les données d’EDES sont incluses dans l’outil d’exploration de données et de calcul du risque (</w:t>
      </w:r>
      <w:r>
        <w:rPr>
          <w:rFonts w:ascii="Times New Roman" w:hAnsi="Times New Roman"/>
          <w:b/>
        </w:rPr>
        <w:t>paragraphe 51</w:t>
      </w:r>
      <w:r>
        <w:rPr>
          <w:rFonts w:ascii="Times New Roman" w:hAnsi="Times New Roman"/>
        </w:rPr>
        <w:t>).</w:t>
      </w:r>
    </w:p>
    <w:p w14:paraId="347E77FA" w14:textId="011E9C41" w:rsidR="00C352BC" w:rsidRPr="000C184A" w:rsidRDefault="00C9229E" w:rsidP="000C184A">
      <w:pPr>
        <w:spacing w:after="120" w:line="240" w:lineRule="auto"/>
      </w:pPr>
      <w:r>
        <w:rPr>
          <w:rFonts w:ascii="Times New Roman" w:hAnsi="Times New Roman"/>
          <w:i/>
        </w:rPr>
        <w:t>Transparence et responsabilité tout au long de la chaîne de financement</w:t>
      </w:r>
    </w:p>
    <w:p w14:paraId="57E27D5D" w14:textId="1F1A8029" w:rsidR="00E0066D" w:rsidRPr="00956DDA" w:rsidRDefault="002360EC" w:rsidP="008B1CB5">
      <w:pPr>
        <w:spacing w:after="120" w:line="240" w:lineRule="auto"/>
        <w:jc w:val="both"/>
        <w:rPr>
          <w:rFonts w:ascii="Times New Roman" w:eastAsia="Times New Roman" w:hAnsi="Times New Roman" w:cs="Times New Roman"/>
        </w:rPr>
      </w:pPr>
      <w:r>
        <w:rPr>
          <w:rFonts w:ascii="Times New Roman" w:hAnsi="Times New Roman"/>
        </w:rPr>
        <w:t>Conformément aux dispositions du règlement financier, la Commission publie des informations sur les bénéficiaires de financements de l’UE exécutés en gestion directe par l’intermédiaire du système de transparence financière (STF). On entend par «destinataire» un bénéficiaire, un contractant, un expert externe rémunéré ou une personne ou entité qui reçoit des prix ou des fonds dans le cadre d’un instrument financier ou qui exécute des fonds de l’Union en vertu de l’article 62, paragraphe 1, premier alinéa, point c), du règlement financier. Le STF va au-delà du champ d’application des exigences visant à renforcer la transparence en publiant les bénéficiaires des financements de l’UE mis en œuvre en «gestion indirecte» (paragraphes 21, 22, 39 et 42).</w:t>
      </w:r>
    </w:p>
    <w:p w14:paraId="6F0883AD" w14:textId="3C93A0AE" w:rsidR="00CA3A45" w:rsidRPr="00956DDA" w:rsidRDefault="23162A0A" w:rsidP="008B1CB5">
      <w:pPr>
        <w:spacing w:after="120" w:line="240" w:lineRule="auto"/>
        <w:jc w:val="both"/>
        <w:rPr>
          <w:rFonts w:ascii="Times New Roman" w:eastAsia="Times New Roman" w:hAnsi="Times New Roman" w:cs="Times New Roman"/>
        </w:rPr>
      </w:pPr>
      <w:r>
        <w:rPr>
          <w:rFonts w:ascii="Times New Roman" w:hAnsi="Times New Roman"/>
        </w:rPr>
        <w:t>Le soutien financier à des tiers</w:t>
      </w:r>
      <w:bookmarkStart w:id="5" w:name="_Hlk160037360"/>
      <w:r>
        <w:rPr>
          <w:rFonts w:ascii="Times New Roman" w:hAnsi="Times New Roman"/>
        </w:rPr>
        <w:t xml:space="preserve"> est un moyen limité et efficace pour les bénéficiaires de mettre en œuvre les actions financées par l’UE. Toutefois, la Commission n’a pas de relation contractuelle avec le bénéficiaire d’un soutien financier; c’est au bénéficiaire qu’il incombe de mettre en </w:t>
      </w:r>
      <w:r>
        <w:rPr>
          <w:rFonts w:ascii="Times New Roman" w:hAnsi="Times New Roman"/>
        </w:rPr>
        <w:lastRenderedPageBreak/>
        <w:t>œuvre correctement les règles financières et sans marge d’appréciation, ce qui peut être vérifié lors des contrôles ex post et ex ante. Il n’est pas possible d’enregistrer les destinataires et les montants dans le STF car ces informations ne sont pas collectées systématiquement. La collecte de ces informations alourdirait de façon importante la charge qui pèse sur les bénéficiaires de subventions de l’UE et irait à l’encontre du programme de simplification de l’accès aux financements de l’UE, qui a été constamment demandé par les parties prenantes ainsi que par les colégislateurs. Compte tenu des règles en place qui garantissent une bonne gestion financière par l’obligation d’étendre les conditions pertinentes sous la responsabilité du bénéficiaire également aux bénéficiaires du FSTP, la mise en place d’exigences supplémentaires en matière de microrapports ne serait pas proportionnée. Le respect des règles est contrôlé au moyen de contrôles ex post, d’examens et</w:t>
      </w:r>
      <w:bookmarkEnd w:id="5"/>
      <w:r>
        <w:rPr>
          <w:rFonts w:ascii="Times New Roman" w:hAnsi="Times New Roman"/>
        </w:rPr>
        <w:t xml:space="preserve"> d’audits présentant un bon rapport coût-efficacité (</w:t>
      </w:r>
      <w:r>
        <w:rPr>
          <w:rFonts w:ascii="Times New Roman" w:hAnsi="Times New Roman"/>
          <w:b/>
        </w:rPr>
        <w:t>paragraphe 42</w:t>
      </w:r>
      <w:r>
        <w:rPr>
          <w:rFonts w:ascii="Times New Roman" w:hAnsi="Times New Roman"/>
        </w:rPr>
        <w:t>).</w:t>
      </w:r>
    </w:p>
    <w:p w14:paraId="45FA53E6" w14:textId="1AA8D18B" w:rsidR="7A2CF813" w:rsidRPr="00956DDA" w:rsidRDefault="4765F755" w:rsidP="008B1CB5">
      <w:pPr>
        <w:spacing w:after="120" w:line="240" w:lineRule="auto"/>
        <w:jc w:val="both"/>
        <w:rPr>
          <w:rFonts w:ascii="Times New Roman" w:eastAsia="Times New Roman" w:hAnsi="Times New Roman" w:cs="Times New Roman"/>
        </w:rPr>
      </w:pPr>
      <w:bookmarkStart w:id="6" w:name="_Hlk160037464"/>
      <w:r>
        <w:rPr>
          <w:rFonts w:ascii="Times New Roman" w:hAnsi="Times New Roman"/>
        </w:rPr>
        <w:t xml:space="preserve">La refonte du règlement financier telle qu’adoptée au niveau politique renforce la transparence et la responsabilité en élargissant le champ d’application des obligations de transparence à toutes les méthodes d’exécution du budget de l’UE, y compris la gestion partagée et indirecte. À la suite de l’accord politique sur la refonte du règlement financier, la Commission mettra à disposition sur un site web centralisé, à partir de 2028, des informations sur les bénéficiaires de fonds de l’UE gérés dans tous les modes de gestion (directe, partagée, indirecte et facilité pour la reprise et la résilience — type d’instruments). La refonte renforce également l’homogénéité et la cohérence des données entre les États membres en créant pour ces derniers l’obligation de donner à la Commission un accès aux données pertinentes sur les destinataires de fonds de l’UE. En outre, il est précisé que, pour la gestion partagée, les «destinataires» s’entendent comme des références aux destinataires, contractants, sous-traitants et bénéficiaires visés dans la réglementation sectorielle, et que les informations destinées à ces destinataires sont publiées pour autant que la réglementation sectorielle exige leur collecte et leur stockage. En ce qui concerne la transparence de l’allocation des fonds, conformément à l’accord politique conclu par les colégislateurs, la liste des données obligatoires à publier inclut le montant engagé et, en cas d’engagement avec plusieurs destinataires, la ventilation de ce montant par bénéficiaire lorsqu’elle est disponible </w:t>
      </w:r>
      <w:bookmarkEnd w:id="6"/>
      <w:r>
        <w:rPr>
          <w:rFonts w:ascii="Times New Roman" w:hAnsi="Times New Roman"/>
        </w:rPr>
        <w:t>(</w:t>
      </w:r>
      <w:r>
        <w:rPr>
          <w:rFonts w:ascii="Times New Roman" w:hAnsi="Times New Roman"/>
          <w:b/>
        </w:rPr>
        <w:t>paragraphes 21, 22, 38 et 39</w:t>
      </w:r>
      <w:r>
        <w:rPr>
          <w:rFonts w:ascii="Times New Roman" w:hAnsi="Times New Roman"/>
        </w:rPr>
        <w:t>).</w:t>
      </w:r>
    </w:p>
    <w:p w14:paraId="55DE07A0" w14:textId="5CB2C7CD" w:rsidR="001408D7" w:rsidRPr="00956DDA" w:rsidRDefault="3D1B45F5" w:rsidP="008B1CB5">
      <w:pPr>
        <w:spacing w:after="120" w:line="240" w:lineRule="auto"/>
        <w:jc w:val="both"/>
      </w:pPr>
      <w:r>
        <w:rPr>
          <w:rFonts w:ascii="Times New Roman" w:hAnsi="Times New Roman"/>
        </w:rPr>
        <w:t>Tous les bénéficiaires de l’Union qui signent un modèle institutionnel de convention de subvention dans le cadre de programmes en gestion directe ont une obligation de visibilité en matière de financement. Le non-respect des règles de communication institutionnelle (exigences en matière de visibilité) énoncées dans le modèle de convention de subvention signé constitue une violation spécifique de ses obligations par le bénéficiaire et peut entraîner des réductions de subvention imposées par les ordonnateurs, ou d’autres conséquences telles que la suspension ou la résiliation de la convention. Une telle ligne de conduite ne peut être adoptée qu’après avoir donné au bénéficiaire la possibilité d’être entendu et de formuler des observations (</w:t>
      </w:r>
      <w:r>
        <w:rPr>
          <w:rFonts w:ascii="Times New Roman" w:hAnsi="Times New Roman"/>
          <w:b/>
        </w:rPr>
        <w:t>paragraphe 40</w:t>
      </w:r>
      <w:r>
        <w:rPr>
          <w:rFonts w:ascii="Times New Roman" w:hAnsi="Times New Roman"/>
        </w:rPr>
        <w:t>).</w:t>
      </w:r>
    </w:p>
    <w:p w14:paraId="1A6DEE8F" w14:textId="326E9A61" w:rsidR="0080513B" w:rsidRPr="000C184A" w:rsidRDefault="004156A9" w:rsidP="000C184A">
      <w:pPr>
        <w:spacing w:after="120" w:line="240" w:lineRule="auto"/>
      </w:pPr>
      <w:r>
        <w:rPr>
          <w:rFonts w:ascii="Times New Roman" w:hAnsi="Times New Roman"/>
          <w:i/>
        </w:rPr>
        <w:t>Introduction d’obligations supplémentaires en matière de divulgation d’informations</w:t>
      </w:r>
    </w:p>
    <w:p w14:paraId="462C3716" w14:textId="3D7ECEAC" w:rsidR="006027ED" w:rsidRPr="00956DDA" w:rsidRDefault="0F5A17ED" w:rsidP="008B1CB5">
      <w:pPr>
        <w:spacing w:after="120" w:line="240" w:lineRule="auto"/>
        <w:jc w:val="both"/>
        <w:rPr>
          <w:rFonts w:ascii="Times New Roman" w:eastAsia="Times New Roman" w:hAnsi="Times New Roman" w:cs="Times New Roman"/>
        </w:rPr>
      </w:pPr>
      <w:bookmarkStart w:id="7" w:name="_Hlk160037771"/>
      <w:r>
        <w:rPr>
          <w:rFonts w:ascii="Times New Roman" w:hAnsi="Times New Roman"/>
        </w:rPr>
        <w:t xml:space="preserve">Conformément à l’accord interinstitutionnel du 20 mai 2021 entre le Parlement européen, le Conseil et la Commission sur un registre de transparence obligatoire, la Commission et les deux autres institutions signataires exigent des représentants d’intérêts qui interagissent avec les institutions et qui ne représentent pas d’intérêts commerciaux qu’ils déclarent leurs principales sources de financement ainsi que le montant de chaque contribution supérieur à 10 000 EUR dépassant 10 % du budget total et le nom du contributeur dans leurs déclarations au registre de </w:t>
      </w:r>
      <w:r>
        <w:rPr>
          <w:rFonts w:ascii="Times New Roman" w:hAnsi="Times New Roman"/>
        </w:rPr>
        <w:lastRenderedPageBreak/>
        <w:t>transparence</w:t>
      </w:r>
      <w:bookmarkEnd w:id="7"/>
      <w:r>
        <w:rPr>
          <w:rFonts w:ascii="Times New Roman" w:hAnsi="Times New Roman"/>
        </w:rPr>
        <w:t>. Cela contribue à assurer la transparence des sources de financement de ces acteurs, qu’il s’agisse de pays tiers ou d’autres sources.</w:t>
      </w:r>
    </w:p>
    <w:p w14:paraId="2E0E97AF" w14:textId="44CB5E92" w:rsidR="006027ED" w:rsidRPr="00956DDA" w:rsidRDefault="006027ED" w:rsidP="008B1CB5">
      <w:pPr>
        <w:spacing w:after="120" w:line="240" w:lineRule="auto"/>
        <w:jc w:val="both"/>
        <w:rPr>
          <w:rFonts w:ascii="Times New Roman" w:eastAsia="Times New Roman" w:hAnsi="Times New Roman" w:cs="Times New Roman"/>
        </w:rPr>
      </w:pPr>
      <w:r>
        <w:rPr>
          <w:rFonts w:ascii="Times New Roman" w:hAnsi="Times New Roman"/>
        </w:rPr>
        <w:t>La proposition de la Commission relative au paquet «Défense de la démocratie» du 12 décembre 2023 vise également à renforcer la transparence et la responsabilité démocratique des activités de représentation d’intérêts au nom de pays tiers. Ce train de mesures comprend une proposition de directive</w:t>
      </w:r>
      <w:r>
        <w:rPr>
          <w:rFonts w:ascii="Times New Roman" w:hAnsi="Times New Roman"/>
          <w:color w:val="333333"/>
          <w:sz w:val="21"/>
          <w:shd w:val="clear" w:color="auto" w:fill="FFFFFF"/>
        </w:rPr>
        <w:t xml:space="preserve"> (</w:t>
      </w:r>
      <w:r>
        <w:rPr>
          <w:rFonts w:ascii="Times New Roman" w:hAnsi="Times New Roman"/>
        </w:rPr>
        <w:t xml:space="preserve">COM/2023/637 final) dont l’objectif est d’établir des listes d’enregistrement nationales obligatoires pour toutes les entités, y compris les ONG, qui exercent des activités de représentation d’intérêts pour le compte de pays tiers. </w:t>
      </w:r>
      <w:bookmarkStart w:id="8" w:name="_Hlk160037837"/>
      <w:r>
        <w:rPr>
          <w:rFonts w:ascii="Times New Roman" w:hAnsi="Times New Roman"/>
        </w:rPr>
        <w:t>Les entités seraient tenues, entre autres, de déclarer le pays tiers pour le compte duquel elles agissent et les montants annuels couvrant</w:t>
      </w:r>
      <w:bookmarkEnd w:id="8"/>
      <w:r>
        <w:rPr>
          <w:rFonts w:ascii="Times New Roman" w:hAnsi="Times New Roman"/>
        </w:rPr>
        <w:t xml:space="preserve"> toutes les tâches effectuées dans le but d’influencer l’élaboration, la formulation ou la mise en œuvre de la proposition, de la politique ou de l’initiative visée par l’activité de représentation d’intérêts, pour une année complète d’activité.</w:t>
      </w:r>
    </w:p>
    <w:p w14:paraId="432970DB" w14:textId="5234F249" w:rsidR="00C449F3" w:rsidRPr="00956DDA" w:rsidRDefault="006027ED" w:rsidP="008B1CB5">
      <w:pPr>
        <w:spacing w:after="120" w:line="240" w:lineRule="auto"/>
        <w:jc w:val="both"/>
        <w:rPr>
          <w:rFonts w:ascii="Times New Roman" w:eastAsia="Times New Roman" w:hAnsi="Times New Roman" w:cs="Times New Roman"/>
        </w:rPr>
      </w:pPr>
      <w:r>
        <w:rPr>
          <w:rFonts w:ascii="Times New Roman" w:hAnsi="Times New Roman"/>
        </w:rPr>
        <w:t>En ce qui concerne</w:t>
      </w:r>
      <w:bookmarkStart w:id="9" w:name="_Hlk160037967"/>
      <w:r>
        <w:rPr>
          <w:rFonts w:ascii="Times New Roman" w:hAnsi="Times New Roman"/>
        </w:rPr>
        <w:t xml:space="preserve"> l’imposition d’une obligation générale de déclarer les sources de financement, la Commission estime qu’une telle déclaration dans la demande constituerait une charge supplémentaire importante pour les demandeurs qui les dissuaderait un peu plus encore de demander un financement de l’UE. Comme indiqué précédemment, la Commission s’est engagée à réduire les informations exigées des demandeurs, en particulier pour les subventions de faible montant, et cette suggestion irait à l’encontre de cet objectif. Enfin, l’objet et le bénéfice de ces informations ne sont pas clairs, car ils n’affecteraient pas l’éligibilité à la subvention spécifique</w:t>
      </w:r>
      <w:bookmarkEnd w:id="9"/>
      <w:r>
        <w:rPr>
          <w:rFonts w:ascii="Times New Roman" w:hAnsi="Times New Roman"/>
        </w:rPr>
        <w:t xml:space="preserve"> (</w:t>
      </w:r>
      <w:r>
        <w:rPr>
          <w:rFonts w:ascii="Times New Roman" w:hAnsi="Times New Roman"/>
          <w:b/>
        </w:rPr>
        <w:t>paragraphes 25, 30, 33,45 et 48</w:t>
      </w:r>
      <w:r>
        <w:rPr>
          <w:rFonts w:ascii="Times New Roman" w:hAnsi="Times New Roman"/>
        </w:rPr>
        <w:t>).</w:t>
      </w:r>
    </w:p>
    <w:p w14:paraId="7D547192" w14:textId="18B2D27F" w:rsidR="004D4C1F" w:rsidRPr="00956DDA" w:rsidRDefault="517DB584" w:rsidP="008B1CB5">
      <w:pPr>
        <w:spacing w:after="120" w:line="240" w:lineRule="auto"/>
        <w:jc w:val="both"/>
        <w:rPr>
          <w:rFonts w:ascii="Times New Roman" w:eastAsia="Times New Roman" w:hAnsi="Times New Roman" w:cs="Times New Roman"/>
        </w:rPr>
      </w:pPr>
      <w:bookmarkStart w:id="10" w:name="_Hlk160038040"/>
      <w:r>
        <w:rPr>
          <w:rFonts w:ascii="Times New Roman" w:hAnsi="Times New Roman"/>
        </w:rPr>
        <w:t>En ce qui concerne l’établissement de rapports sur les activités de lobbying, les normes de transparence qui s’appliquent aux représentants d’intérêts au niveau des institutions de l’UE sont énoncées dans l’AII. La mise en œuvre de normes de transparence rigoureuses à la Commission prévoit l’inscription obligatoire des représentants d’intérêts dans le registre de transparence avant les réunions tenues avec les commissaires, les membres de leur cabinet et les directeurs généraux, et des informations sur ces réunions sont également publiées.</w:t>
      </w:r>
    </w:p>
    <w:bookmarkEnd w:id="10"/>
    <w:p w14:paraId="01B4FF30" w14:textId="5B3D7F59" w:rsidR="004D4C1F" w:rsidRPr="00956DDA" w:rsidRDefault="004D4C1F" w:rsidP="008B1CB5">
      <w:pPr>
        <w:spacing w:after="120" w:line="240" w:lineRule="auto"/>
        <w:jc w:val="both"/>
        <w:rPr>
          <w:rFonts w:ascii="Times New Roman" w:eastAsia="Times New Roman" w:hAnsi="Times New Roman" w:cs="Times New Roman"/>
        </w:rPr>
      </w:pPr>
      <w:r>
        <w:rPr>
          <w:rFonts w:ascii="Times New Roman" w:hAnsi="Times New Roman"/>
        </w:rPr>
        <w:t>L’établissement de rapports sur les activités de lobbying dans le registre de transparence est requis pour tous les acteurs qui participent à certaines activités de lobbying, telles que définies par les institutions de l’UE et appelées «mesures de conditionnalité». Les représentants d’intérêts enregistrés sont tenus d’actualiser leur inscription au moins une fois par an afin de s’assurer que les informations sont pertinentes et à jour et le contenu est également soumis à un examen ad hoc par le secrétariat du registre de transparence.</w:t>
      </w:r>
    </w:p>
    <w:p w14:paraId="11498627" w14:textId="70EC844D" w:rsidR="00E23EB7" w:rsidRPr="00956DDA" w:rsidRDefault="00E23EB7" w:rsidP="008B1CB5">
      <w:pPr>
        <w:spacing w:after="120" w:line="240" w:lineRule="auto"/>
        <w:jc w:val="both"/>
        <w:rPr>
          <w:rFonts w:ascii="Times New Roman" w:eastAsia="Times New Roman" w:hAnsi="Times New Roman" w:cs="Times New Roman"/>
        </w:rPr>
      </w:pPr>
      <w:bookmarkStart w:id="11" w:name="_Hlk160038250"/>
      <w:r>
        <w:rPr>
          <w:rFonts w:ascii="Times New Roman" w:hAnsi="Times New Roman"/>
        </w:rPr>
        <w:t xml:space="preserve">La Commission publie des informations sur toutes les réunions tenues entre ses décideurs de haut niveau sur le plan politique et administratif et des représentants d’intérêts, y compris des ONG, qui participent à des activités couvertes par le registre de transparence. </w:t>
      </w:r>
      <w:bookmarkEnd w:id="11"/>
      <w:r>
        <w:rPr>
          <w:rFonts w:ascii="Times New Roman" w:hAnsi="Times New Roman"/>
        </w:rPr>
        <w:t>Ces informations sont facilement accessibles dans ce registre. La publication des réunions est à présent étendue au Parlement européen de façon à couvrir les réunions avec tous les députés au Parlement européen (depuis le 1</w:t>
      </w:r>
      <w:r>
        <w:rPr>
          <w:rFonts w:ascii="Times New Roman" w:hAnsi="Times New Roman"/>
          <w:vertAlign w:val="superscript"/>
        </w:rPr>
        <w:t>er</w:t>
      </w:r>
      <w:r>
        <w:rPr>
          <w:rFonts w:ascii="Times New Roman" w:hAnsi="Times New Roman"/>
        </w:rPr>
        <w:t> novembre 2023). La Commission exige également l’inscription avant la participation de lobbyistes à ses groupes d’experts et rend publiques leurs contributions aux initiatives de la Commission telles que les consultations publiques et les feuilles de route (</w:t>
      </w:r>
      <w:r>
        <w:rPr>
          <w:rFonts w:ascii="Times New Roman" w:hAnsi="Times New Roman"/>
          <w:b/>
        </w:rPr>
        <w:t>paragraphes 25 et 48</w:t>
      </w:r>
      <w:r>
        <w:rPr>
          <w:rFonts w:ascii="Times New Roman" w:hAnsi="Times New Roman"/>
        </w:rPr>
        <w:t>).</w:t>
      </w:r>
    </w:p>
    <w:p w14:paraId="16A18ECF" w14:textId="580355A7" w:rsidR="00315A83" w:rsidRPr="00956DDA" w:rsidRDefault="00315A83" w:rsidP="008B1CB5">
      <w:pPr>
        <w:spacing w:after="120" w:line="240" w:lineRule="auto"/>
        <w:jc w:val="both"/>
        <w:rPr>
          <w:rFonts w:ascii="Times New Roman" w:eastAsia="Times New Roman" w:hAnsi="Times New Roman" w:cs="Times New Roman"/>
        </w:rPr>
      </w:pPr>
      <w:r>
        <w:rPr>
          <w:rFonts w:ascii="Times New Roman" w:hAnsi="Times New Roman"/>
        </w:rPr>
        <w:t xml:space="preserve">En ce qui concerne la demande d’imposer les mêmes obligations d’information à tous les types d’organisations figurant dans le registre de transparence, la Commission ne peut, de sa propre initiative, imposer aux demandeurs ou aux entités inscrites au registre de transparence des </w:t>
      </w:r>
      <w:r>
        <w:rPr>
          <w:rFonts w:ascii="Times New Roman" w:hAnsi="Times New Roman"/>
        </w:rPr>
        <w:lastRenderedPageBreak/>
        <w:t>obligations d’information autres que celles énoncées dans l’AII pertinent. Toutes les décisions et conditions relatives au registre de transparence sont prises conjointement par le Parlement européen, le Conseil et la Commission. Selon l’AII, les déclarants sont organisés en fonction des différents intérêts représentés afin d’accroître la transparence de leurs activités de lobbying. Par exemple, a) lorsqu’une entité représente ses propres intérêts, il est utile de demander des informations sur ses dépenses de lobbying, son affiliation et ses intermédiaires, b) lorsqu’un cabinet de conseil ou un cabinet d’avocats représente des clients, il est pertinent de demander des informations sur les revenus/sujet défendu par client; c) lorsqu’une ONG représente des intérêts non commerciaux, il est utile d’en savoir plus sur son financement et ses sources de financement. Les mêmes informations peuvent donc ne pas être demandées pour ces trois catégories distinctes (</w:t>
      </w:r>
      <w:r>
        <w:rPr>
          <w:rFonts w:ascii="Times New Roman" w:hAnsi="Times New Roman"/>
          <w:b/>
        </w:rPr>
        <w:t>paragraphe 44</w:t>
      </w:r>
      <w:r>
        <w:rPr>
          <w:rFonts w:ascii="Times New Roman" w:hAnsi="Times New Roman"/>
        </w:rPr>
        <w:t>).</w:t>
      </w:r>
    </w:p>
    <w:p w14:paraId="32A39E76" w14:textId="3AAAFBB8" w:rsidR="002C3F91" w:rsidRPr="00956DDA" w:rsidRDefault="002C3F91" w:rsidP="008B1CB5">
      <w:pPr>
        <w:spacing w:after="120" w:line="240" w:lineRule="auto"/>
        <w:jc w:val="both"/>
        <w:rPr>
          <w:rFonts w:ascii="Times New Roman" w:eastAsia="Times New Roman" w:hAnsi="Times New Roman" w:cs="Times New Roman"/>
        </w:rPr>
      </w:pPr>
      <w:r>
        <w:rPr>
          <w:rFonts w:ascii="Times New Roman" w:hAnsi="Times New Roman"/>
        </w:rPr>
        <w:t>Le secrétariat interinstitutionnel du registre de transparence est composé de 10 équivalents temps plein (chiffres de 2022) issus des trois institutions participantes (Parlement européen, Conseil, Commission). Ce personnel est chargé d’évaluer l’éligibilité et la qualité des données de toutes les nouvelles demandes d’inscription avant que celles-ci puissent être validées et publiées. Les exigences en matière d’information actuellement applicables auxquelles les demandeurs et les déclarants doivent satisfaire sont énoncées à l’annexe II de l’AII. Le secrétariat fournit des orientations et un service d’assistance aux demandeurs et aux déclarants, qui restent responsables en dernier ressort de l’exactitude des informations fournies dans le registre. Les déclarants doivent mettre à jour leurs informations au moins une fois par an et sont invités à le faire tous les 6 mois. Le registre de transparence est un outil public qui fournit des informations au public sur les activités de lobbying. Un accès sécurisé est accordé aux déclarants via EU Login, afin de garantir que seules les personnes concernées peuvent mettre à jour les informations relatives à l’organisation. Par défaut, les exigences en matière d’information ne comprennent pas d’informations susceptibles de mettre en danger la vie ou la sécurité d’une personne physique ou l’existence d’une ONG. Par conséquent, ces informations ne sont normalement pas diffusées au public par l’intermédiaire du registre public. En cas de menaces réelles et graves spécifiques rencontrées lors de la désignation de ses sources financières, y compris le nom de leurs contributeurs budgétaires, toute ONG concernée peut prendre contact avec le secrétariat interinstitutionnel du registre de transparence (</w:t>
      </w:r>
      <w:r>
        <w:rPr>
          <w:rFonts w:ascii="Times New Roman" w:hAnsi="Times New Roman"/>
          <w:b/>
        </w:rPr>
        <w:t>paragraphe 43</w:t>
      </w:r>
      <w:r>
        <w:rPr>
          <w:rFonts w:ascii="Times New Roman" w:hAnsi="Times New Roman"/>
        </w:rPr>
        <w:t>).</w:t>
      </w:r>
    </w:p>
    <w:p w14:paraId="5A2AC6AD" w14:textId="06923B19" w:rsidR="00520C0C" w:rsidRPr="00956DDA" w:rsidRDefault="00520C0C" w:rsidP="008B1CB5">
      <w:pPr>
        <w:spacing w:after="120" w:line="240" w:lineRule="auto"/>
        <w:jc w:val="both"/>
        <w:rPr>
          <w:rFonts w:ascii="Times New Roman" w:eastAsia="Times New Roman" w:hAnsi="Times New Roman" w:cs="Times New Roman"/>
        </w:rPr>
      </w:pPr>
      <w:r>
        <w:rPr>
          <w:rFonts w:ascii="Times New Roman" w:hAnsi="Times New Roman"/>
        </w:rPr>
        <w:t>Le registre de transparence a été considérablement révisé en 2021 avec l’adoption de l’AII. L’AII a renforcé les exigences en matière de publication d’informations relatives au financement. La modification ou l’extension du champ d’application du registre, y compris en introduisant des exigences supplémentaires en matière d’information financière pour les demandeurs et les déclarants, nécessiterait une modification du cadre juridique interinstitutionnel. En cas de menaces réelles et graves spécifiques rencontrées lors de la désignation de ses sources financières, y compris le nom de leurs contributeurs budgétaires, toute ONG concernée peut prendre contact avec le secrétariat interinstitutionnel du registre de transparence (</w:t>
      </w:r>
      <w:r>
        <w:rPr>
          <w:rFonts w:ascii="Times New Roman" w:hAnsi="Times New Roman"/>
          <w:b/>
        </w:rPr>
        <w:t>paragraphe 45</w:t>
      </w:r>
      <w:r>
        <w:rPr>
          <w:rFonts w:ascii="Times New Roman" w:hAnsi="Times New Roman"/>
        </w:rPr>
        <w:t>).</w:t>
      </w:r>
    </w:p>
    <w:p w14:paraId="7AACD780" w14:textId="7AA3CC12" w:rsidR="004E2E2A" w:rsidRPr="000C184A" w:rsidRDefault="004E2E2A" w:rsidP="000C184A">
      <w:pPr>
        <w:spacing w:after="120" w:line="240" w:lineRule="auto"/>
        <w:jc w:val="both"/>
        <w:rPr>
          <w:rFonts w:ascii="Times New Roman" w:eastAsia="Times New Roman" w:hAnsi="Times New Roman" w:cs="Times New Roman"/>
        </w:rPr>
      </w:pPr>
      <w:r>
        <w:rPr>
          <w:rFonts w:ascii="Times New Roman" w:hAnsi="Times New Roman"/>
          <w:i/>
        </w:rPr>
        <w:t>Transparence et convivialité du STF, rationalisation des bases de données</w:t>
      </w:r>
    </w:p>
    <w:p w14:paraId="2DE28478" w14:textId="640DA437" w:rsidR="00731D39" w:rsidRPr="00956DDA" w:rsidRDefault="38719A67" w:rsidP="008B1CB5">
      <w:pPr>
        <w:spacing w:after="120" w:line="240" w:lineRule="auto"/>
        <w:jc w:val="both"/>
        <w:rPr>
          <w:rFonts w:ascii="Times New Roman" w:eastAsia="Times New Roman" w:hAnsi="Times New Roman" w:cs="Times New Roman"/>
        </w:rPr>
      </w:pPr>
      <w:r>
        <w:rPr>
          <w:rFonts w:ascii="Times New Roman" w:hAnsi="Times New Roman"/>
        </w:rPr>
        <w:t>La Commission salue la recommandation concernant un cycle de publications STF plus court</w:t>
      </w:r>
      <w:r>
        <w:rPr>
          <w:rFonts w:ascii="Aptos" w:hAnsi="Aptos"/>
        </w:rPr>
        <w:t xml:space="preserve"> </w:t>
      </w:r>
      <w:r>
        <w:rPr>
          <w:rFonts w:ascii="Times New Roman" w:hAnsi="Times New Roman"/>
        </w:rPr>
        <w:t xml:space="preserve">et reconnaît ses avantages potentiels pour le citoyen de l’Union; </w:t>
      </w:r>
      <w:bookmarkStart w:id="12" w:name="_Hlk160038884"/>
      <w:r>
        <w:rPr>
          <w:rFonts w:ascii="Times New Roman" w:hAnsi="Times New Roman"/>
        </w:rPr>
        <w:t>elle continuera donc d’explorer la rationalisation du processus de publication</w:t>
      </w:r>
      <w:bookmarkEnd w:id="12"/>
      <w:r>
        <w:rPr>
          <w:rFonts w:ascii="Times New Roman" w:hAnsi="Times New Roman"/>
        </w:rPr>
        <w:t xml:space="preserve">. </w:t>
      </w:r>
      <w:bookmarkStart w:id="13" w:name="_Hlk160038870"/>
      <w:r>
        <w:rPr>
          <w:rFonts w:ascii="Times New Roman" w:hAnsi="Times New Roman"/>
        </w:rPr>
        <w:t>La fréquence actuelle des publications a été choisie sur la base d’une analyse coûts-avantages, car elle implique des vérifications approfondies de la qualité des données</w:t>
      </w:r>
      <w:bookmarkEnd w:id="13"/>
      <w:r>
        <w:rPr>
          <w:rFonts w:ascii="Times New Roman" w:hAnsi="Times New Roman"/>
        </w:rPr>
        <w:t xml:space="preserve">. Le STF a déjà mis en œuvre plus de 20 contrôles de la qualité/cohérence des </w:t>
      </w:r>
      <w:r>
        <w:rPr>
          <w:rFonts w:ascii="Times New Roman" w:hAnsi="Times New Roman"/>
        </w:rPr>
        <w:lastRenderedPageBreak/>
        <w:t>données sous la forme d’un tableau de bord permettant la vérification des données. Le tableau de bord détecte automatiquement d’éventuels problèmes de qualité des données et a considérablement amélioré le processus de vérification.</w:t>
      </w:r>
    </w:p>
    <w:p w14:paraId="429DA391" w14:textId="433C51C5" w:rsidR="3B59EA0C" w:rsidRPr="00956DDA" w:rsidRDefault="00731D39" w:rsidP="008B1CB5">
      <w:pPr>
        <w:spacing w:after="120" w:line="240" w:lineRule="auto"/>
        <w:jc w:val="both"/>
      </w:pPr>
      <w:bookmarkStart w:id="14" w:name="_Hlk160038911"/>
      <w:r>
        <w:rPr>
          <w:rFonts w:ascii="Times New Roman" w:hAnsi="Times New Roman"/>
        </w:rPr>
        <w:t xml:space="preserve">En ce qui concerne l’extraction des données, le système de transparence financière prévoit la possibilité d’extraire des données. La Commission travaille à l’élaboration de fonctionnalités supplémentaires pour améliorer l’expérience des utilisateurs à l’avenir. </w:t>
      </w:r>
      <w:bookmarkEnd w:id="14"/>
      <w:r>
        <w:rPr>
          <w:rFonts w:ascii="Times New Roman" w:hAnsi="Times New Roman"/>
        </w:rPr>
        <w:t>La Commission rappelle une nouvelle fois que la divulgation des financements provenant d’autres sources sur le portail FTS entraînerait des complications extrêmes et une charge administrative disproportionnée pour les bénéficiaires (</w:t>
      </w:r>
      <w:r>
        <w:rPr>
          <w:rFonts w:ascii="Times New Roman" w:hAnsi="Times New Roman"/>
          <w:b/>
        </w:rPr>
        <w:t>paragraphes 25, 30, 31 et 32</w:t>
      </w:r>
      <w:r>
        <w:rPr>
          <w:rFonts w:ascii="Times New Roman" w:hAnsi="Times New Roman"/>
        </w:rPr>
        <w:t>).</w:t>
      </w:r>
    </w:p>
    <w:p w14:paraId="62EEEA5C" w14:textId="5EDF959D" w:rsidR="569B0C39" w:rsidRPr="00956DDA" w:rsidRDefault="008D672C" w:rsidP="008B1CB5">
      <w:pPr>
        <w:spacing w:after="120" w:line="240" w:lineRule="auto"/>
        <w:jc w:val="both"/>
        <w:rPr>
          <w:rFonts w:ascii="Times New Roman" w:eastAsia="Times New Roman" w:hAnsi="Times New Roman" w:cs="Times New Roman"/>
        </w:rPr>
      </w:pPr>
      <w:r>
        <w:rPr>
          <w:rFonts w:ascii="Times New Roman" w:hAnsi="Times New Roman"/>
        </w:rPr>
        <w:t>En ce qui concerne la rationalisation des bases de données,</w:t>
      </w:r>
      <w:bookmarkStart w:id="15" w:name="_Hlk160038952"/>
      <w:r>
        <w:rPr>
          <w:rFonts w:ascii="Times New Roman" w:hAnsi="Times New Roman"/>
        </w:rPr>
        <w:t xml:space="preserve"> la Commission rappelle que les différents systèmes de l’UE ont des finalités et des fonctions différentes, qu’ils pourraient fonctionner sur des infrastructures informatiques différentes et qu’ils ne sont donc pas toujours adaptés à une interconnexion, ni ne s’y prêtent facilement. À titre d’exemple, la Commission a déjà entrepris des efforts pour aligner davantage les subventions électroniques et le STF. Toutefois, dans le cas du lien entre le STF et le registre de transparence: l’objectif du registre de transparence est de dresser la liste des organisations qui tentent d’influencer le processus législatif et de mise en œuvre des politiques des institutions de l’Union, tandis que l’objectif du STF est de publier les bénéficiaires de financements de l’Union; l’inscription au registre de transparence n’implique pas de recevoir un financement de l’UE. L’établissement de liens entre le STF et le registre de transparence ne peut donc être que partiellement réalisé </w:t>
      </w:r>
      <w:bookmarkEnd w:id="15"/>
      <w:r>
        <w:rPr>
          <w:rFonts w:ascii="Times New Roman" w:hAnsi="Times New Roman"/>
        </w:rPr>
        <w:t>(</w:t>
      </w:r>
      <w:r>
        <w:rPr>
          <w:rFonts w:ascii="Times New Roman" w:hAnsi="Times New Roman"/>
          <w:b/>
        </w:rPr>
        <w:t>paragraphes 31, 32 et 35</w:t>
      </w:r>
      <w:r>
        <w:rPr>
          <w:rFonts w:ascii="Times New Roman" w:hAnsi="Times New Roman"/>
        </w:rPr>
        <w:t>).</w:t>
      </w:r>
    </w:p>
    <w:p w14:paraId="51BA675D" w14:textId="1862F257" w:rsidR="2AC74810" w:rsidRPr="00956DDA" w:rsidRDefault="004471D3" w:rsidP="008B1CB5">
      <w:pPr>
        <w:spacing w:after="120" w:line="240" w:lineRule="auto"/>
        <w:jc w:val="both"/>
        <w:rPr>
          <w:rFonts w:ascii="Times New Roman" w:eastAsia="Times New Roman" w:hAnsi="Times New Roman" w:cs="Times New Roman"/>
        </w:rPr>
      </w:pPr>
      <w:r>
        <w:rPr>
          <w:rFonts w:ascii="Times New Roman" w:hAnsi="Times New Roman"/>
        </w:rPr>
        <w:t>La Commission rappelle que, conformément à la refonte du règlement financier convenue au niveau politique, les données sur les destinataires et les bénéficiaires effectifs seront incluses dans l’outil d’exploration de données et de calcul du risque et seront applicables à tous les modes de gestion. En outre, l’interconnexion avec d’autres bases de données, dont EDES, est envisagée sur la base de l’interopérabilité (</w:t>
      </w:r>
      <w:r>
        <w:rPr>
          <w:rFonts w:ascii="Times New Roman" w:hAnsi="Times New Roman"/>
          <w:b/>
        </w:rPr>
        <w:t>paragraphe 37</w:t>
      </w:r>
      <w:r>
        <w:rPr>
          <w:rFonts w:ascii="Times New Roman" w:hAnsi="Times New Roman"/>
        </w:rPr>
        <w:t>).</w:t>
      </w:r>
    </w:p>
    <w:sectPr w:rsidR="2AC74810" w:rsidRPr="00956D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A8C73" w14:textId="77777777" w:rsidR="00447297" w:rsidRDefault="00447297" w:rsidP="00446E8F">
      <w:pPr>
        <w:spacing w:after="0" w:line="240" w:lineRule="auto"/>
      </w:pPr>
      <w:r>
        <w:separator/>
      </w:r>
    </w:p>
  </w:endnote>
  <w:endnote w:type="continuationSeparator" w:id="0">
    <w:p w14:paraId="5D3F3048" w14:textId="77777777" w:rsidR="00447297" w:rsidRDefault="00447297" w:rsidP="00446E8F">
      <w:pPr>
        <w:spacing w:after="0" w:line="240" w:lineRule="auto"/>
      </w:pPr>
      <w:r>
        <w:continuationSeparator/>
      </w:r>
    </w:p>
  </w:endnote>
  <w:endnote w:type="continuationNotice" w:id="1">
    <w:p w14:paraId="2269AAEA" w14:textId="77777777" w:rsidR="00447297" w:rsidRDefault="00447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FF9B" w14:textId="77777777" w:rsidR="00CD35CA" w:rsidRDefault="00CD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143798"/>
      <w:docPartObj>
        <w:docPartGallery w:val="Page Numbers (Bottom of Page)"/>
        <w:docPartUnique/>
      </w:docPartObj>
    </w:sdtPr>
    <w:sdtEndPr>
      <w:rPr>
        <w:noProof/>
      </w:rPr>
    </w:sdtEndPr>
    <w:sdtContent>
      <w:p w14:paraId="5713A50F" w14:textId="74A654E9" w:rsidR="00CD35CA" w:rsidRDefault="00CD35CA">
        <w:pPr>
          <w:pStyle w:val="Footer"/>
          <w:jc w:val="center"/>
        </w:pPr>
        <w:r>
          <w:fldChar w:fldCharType="begin"/>
        </w:r>
        <w:r>
          <w:instrText xml:space="preserve"> PAGE   \* MERGEFORMAT </w:instrText>
        </w:r>
        <w:r>
          <w:fldChar w:fldCharType="separate"/>
        </w:r>
        <w:r>
          <w:t>2</w:t>
        </w:r>
        <w:r>
          <w:fldChar w:fldCharType="end"/>
        </w:r>
      </w:p>
    </w:sdtContent>
  </w:sdt>
  <w:p w14:paraId="4C2FC89F" w14:textId="77777777" w:rsidR="00CD35CA" w:rsidRDefault="00CD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9660" w14:textId="77777777" w:rsidR="00CD35CA" w:rsidRDefault="00CD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0AC91" w14:textId="77777777" w:rsidR="00447297" w:rsidRDefault="00447297" w:rsidP="00446E8F">
      <w:pPr>
        <w:spacing w:after="0" w:line="240" w:lineRule="auto"/>
      </w:pPr>
      <w:r>
        <w:separator/>
      </w:r>
    </w:p>
  </w:footnote>
  <w:footnote w:type="continuationSeparator" w:id="0">
    <w:p w14:paraId="0D0A70DF" w14:textId="77777777" w:rsidR="00447297" w:rsidRDefault="00447297" w:rsidP="00446E8F">
      <w:pPr>
        <w:spacing w:after="0" w:line="240" w:lineRule="auto"/>
      </w:pPr>
      <w:r>
        <w:continuationSeparator/>
      </w:r>
    </w:p>
  </w:footnote>
  <w:footnote w:type="continuationNotice" w:id="1">
    <w:p w14:paraId="553C22D3" w14:textId="77777777" w:rsidR="00447297" w:rsidRDefault="00447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8F8B" w14:textId="77777777" w:rsidR="00CD35CA" w:rsidRDefault="00CD3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A808" w14:textId="77777777" w:rsidR="00CD35CA" w:rsidRDefault="00CD3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C719C" w14:textId="77777777" w:rsidR="00CD35CA" w:rsidRDefault="00CD3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CE2B"/>
    <w:multiLevelType w:val="hybridMultilevel"/>
    <w:tmpl w:val="73CE184A"/>
    <w:lvl w:ilvl="0" w:tplc="454CCF52">
      <w:start w:val="44"/>
      <w:numFmt w:val="decimal"/>
      <w:lvlText w:val="%1."/>
      <w:lvlJc w:val="left"/>
      <w:pPr>
        <w:ind w:left="720" w:hanging="360"/>
      </w:pPr>
    </w:lvl>
    <w:lvl w:ilvl="1" w:tplc="0ACA69EC">
      <w:start w:val="1"/>
      <w:numFmt w:val="lowerLetter"/>
      <w:lvlText w:val="%2."/>
      <w:lvlJc w:val="left"/>
      <w:pPr>
        <w:ind w:left="1440" w:hanging="360"/>
      </w:pPr>
    </w:lvl>
    <w:lvl w:ilvl="2" w:tplc="166ED5F8">
      <w:start w:val="1"/>
      <w:numFmt w:val="lowerRoman"/>
      <w:lvlText w:val="%3."/>
      <w:lvlJc w:val="right"/>
      <w:pPr>
        <w:ind w:left="2160" w:hanging="180"/>
      </w:pPr>
    </w:lvl>
    <w:lvl w:ilvl="3" w:tplc="3AE0372A">
      <w:start w:val="1"/>
      <w:numFmt w:val="decimal"/>
      <w:lvlText w:val="%4."/>
      <w:lvlJc w:val="left"/>
      <w:pPr>
        <w:ind w:left="2880" w:hanging="360"/>
      </w:pPr>
    </w:lvl>
    <w:lvl w:ilvl="4" w:tplc="D2EE798A">
      <w:start w:val="1"/>
      <w:numFmt w:val="lowerLetter"/>
      <w:lvlText w:val="%5."/>
      <w:lvlJc w:val="left"/>
      <w:pPr>
        <w:ind w:left="3600" w:hanging="360"/>
      </w:pPr>
    </w:lvl>
    <w:lvl w:ilvl="5" w:tplc="35D6BE02">
      <w:start w:val="1"/>
      <w:numFmt w:val="lowerRoman"/>
      <w:lvlText w:val="%6."/>
      <w:lvlJc w:val="right"/>
      <w:pPr>
        <w:ind w:left="4320" w:hanging="180"/>
      </w:pPr>
    </w:lvl>
    <w:lvl w:ilvl="6" w:tplc="DADCC912">
      <w:start w:val="1"/>
      <w:numFmt w:val="decimal"/>
      <w:lvlText w:val="%7."/>
      <w:lvlJc w:val="left"/>
      <w:pPr>
        <w:ind w:left="5040" w:hanging="360"/>
      </w:pPr>
    </w:lvl>
    <w:lvl w:ilvl="7" w:tplc="34843182">
      <w:start w:val="1"/>
      <w:numFmt w:val="lowerLetter"/>
      <w:lvlText w:val="%8."/>
      <w:lvlJc w:val="left"/>
      <w:pPr>
        <w:ind w:left="5760" w:hanging="360"/>
      </w:pPr>
    </w:lvl>
    <w:lvl w:ilvl="8" w:tplc="BF387C76">
      <w:start w:val="1"/>
      <w:numFmt w:val="lowerRoman"/>
      <w:lvlText w:val="%9."/>
      <w:lvlJc w:val="right"/>
      <w:pPr>
        <w:ind w:left="6480" w:hanging="180"/>
      </w:pPr>
    </w:lvl>
  </w:abstractNum>
  <w:abstractNum w:abstractNumId="1" w15:restartNumberingAfterBreak="0">
    <w:nsid w:val="0E1D1AB3"/>
    <w:multiLevelType w:val="hybridMultilevel"/>
    <w:tmpl w:val="F6302DDE"/>
    <w:lvl w:ilvl="0" w:tplc="7D8497E0">
      <w:start w:val="38"/>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0A4DD84"/>
    <w:multiLevelType w:val="hybridMultilevel"/>
    <w:tmpl w:val="F51CE38C"/>
    <w:lvl w:ilvl="0" w:tplc="07DCFE4C">
      <w:start w:val="14"/>
      <w:numFmt w:val="decimal"/>
      <w:lvlText w:val="%1."/>
      <w:lvlJc w:val="left"/>
      <w:pPr>
        <w:ind w:left="720" w:hanging="360"/>
      </w:pPr>
    </w:lvl>
    <w:lvl w:ilvl="1" w:tplc="763E9DFE">
      <w:start w:val="1"/>
      <w:numFmt w:val="lowerLetter"/>
      <w:lvlText w:val="%2."/>
      <w:lvlJc w:val="left"/>
      <w:pPr>
        <w:ind w:left="1440" w:hanging="360"/>
      </w:pPr>
    </w:lvl>
    <w:lvl w:ilvl="2" w:tplc="B5CCE9EC">
      <w:start w:val="1"/>
      <w:numFmt w:val="lowerRoman"/>
      <w:lvlText w:val="%3."/>
      <w:lvlJc w:val="right"/>
      <w:pPr>
        <w:ind w:left="2160" w:hanging="180"/>
      </w:pPr>
    </w:lvl>
    <w:lvl w:ilvl="3" w:tplc="C02045F0">
      <w:start w:val="1"/>
      <w:numFmt w:val="decimal"/>
      <w:lvlText w:val="%4."/>
      <w:lvlJc w:val="left"/>
      <w:pPr>
        <w:ind w:left="2880" w:hanging="360"/>
      </w:pPr>
    </w:lvl>
    <w:lvl w:ilvl="4" w:tplc="610697A0">
      <w:start w:val="1"/>
      <w:numFmt w:val="lowerLetter"/>
      <w:lvlText w:val="%5."/>
      <w:lvlJc w:val="left"/>
      <w:pPr>
        <w:ind w:left="3600" w:hanging="360"/>
      </w:pPr>
    </w:lvl>
    <w:lvl w:ilvl="5" w:tplc="5C8E3D5C">
      <w:start w:val="1"/>
      <w:numFmt w:val="lowerRoman"/>
      <w:lvlText w:val="%6."/>
      <w:lvlJc w:val="right"/>
      <w:pPr>
        <w:ind w:left="4320" w:hanging="180"/>
      </w:pPr>
    </w:lvl>
    <w:lvl w:ilvl="6" w:tplc="4E72E2B6">
      <w:start w:val="1"/>
      <w:numFmt w:val="decimal"/>
      <w:lvlText w:val="%7."/>
      <w:lvlJc w:val="left"/>
      <w:pPr>
        <w:ind w:left="5040" w:hanging="360"/>
      </w:pPr>
    </w:lvl>
    <w:lvl w:ilvl="7" w:tplc="F92C9F98">
      <w:start w:val="1"/>
      <w:numFmt w:val="lowerLetter"/>
      <w:lvlText w:val="%8."/>
      <w:lvlJc w:val="left"/>
      <w:pPr>
        <w:ind w:left="5760" w:hanging="360"/>
      </w:pPr>
    </w:lvl>
    <w:lvl w:ilvl="8" w:tplc="0936B63A">
      <w:start w:val="1"/>
      <w:numFmt w:val="lowerRoman"/>
      <w:lvlText w:val="%9."/>
      <w:lvlJc w:val="right"/>
      <w:pPr>
        <w:ind w:left="6480" w:hanging="180"/>
      </w:pPr>
    </w:lvl>
  </w:abstractNum>
  <w:abstractNum w:abstractNumId="3" w15:restartNumberingAfterBreak="0">
    <w:nsid w:val="134B5542"/>
    <w:multiLevelType w:val="hybridMultilevel"/>
    <w:tmpl w:val="42982ADC"/>
    <w:lvl w:ilvl="0" w:tplc="8244CB48">
      <w:start w:val="33"/>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25171C79"/>
    <w:multiLevelType w:val="hybridMultilevel"/>
    <w:tmpl w:val="81AABA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8783D4E"/>
    <w:multiLevelType w:val="hybridMultilevel"/>
    <w:tmpl w:val="16E483AA"/>
    <w:lvl w:ilvl="0" w:tplc="9A3A4AE6">
      <w:numFmt w:val="bullet"/>
      <w:lvlText w:val="-"/>
      <w:lvlJc w:val="left"/>
      <w:pPr>
        <w:ind w:left="720" w:hanging="360"/>
      </w:pPr>
      <w:rPr>
        <w:rFonts w:ascii="Times New Roman" w:eastAsia="Times New Roman" w:hAnsi="Times New Roman" w:cs="Times New Roman"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E058523"/>
    <w:multiLevelType w:val="hybridMultilevel"/>
    <w:tmpl w:val="DC428156"/>
    <w:lvl w:ilvl="0" w:tplc="FFFFFFFF">
      <w:start w:val="1"/>
      <w:numFmt w:val="upperLetter"/>
      <w:lvlText w:val="%1."/>
      <w:lvlJc w:val="left"/>
      <w:pPr>
        <w:ind w:left="720" w:hanging="360"/>
      </w:pPr>
    </w:lvl>
    <w:lvl w:ilvl="1" w:tplc="2EC0C1D0">
      <w:start w:val="1"/>
      <w:numFmt w:val="lowerLetter"/>
      <w:lvlText w:val="%2."/>
      <w:lvlJc w:val="left"/>
      <w:pPr>
        <w:ind w:left="1440" w:hanging="360"/>
      </w:pPr>
    </w:lvl>
    <w:lvl w:ilvl="2" w:tplc="E2F425A8">
      <w:start w:val="1"/>
      <w:numFmt w:val="lowerRoman"/>
      <w:lvlText w:val="%3."/>
      <w:lvlJc w:val="right"/>
      <w:pPr>
        <w:ind w:left="2160" w:hanging="180"/>
      </w:pPr>
    </w:lvl>
    <w:lvl w:ilvl="3" w:tplc="143EF7BA">
      <w:start w:val="1"/>
      <w:numFmt w:val="decimal"/>
      <w:lvlText w:val="%4."/>
      <w:lvlJc w:val="left"/>
      <w:pPr>
        <w:ind w:left="2880" w:hanging="360"/>
      </w:pPr>
    </w:lvl>
    <w:lvl w:ilvl="4" w:tplc="65EEE962">
      <w:start w:val="1"/>
      <w:numFmt w:val="lowerLetter"/>
      <w:lvlText w:val="%5."/>
      <w:lvlJc w:val="left"/>
      <w:pPr>
        <w:ind w:left="3600" w:hanging="360"/>
      </w:pPr>
    </w:lvl>
    <w:lvl w:ilvl="5" w:tplc="EA5C8B6C">
      <w:start w:val="1"/>
      <w:numFmt w:val="lowerRoman"/>
      <w:lvlText w:val="%6."/>
      <w:lvlJc w:val="right"/>
      <w:pPr>
        <w:ind w:left="4320" w:hanging="180"/>
      </w:pPr>
    </w:lvl>
    <w:lvl w:ilvl="6" w:tplc="47FE50E4">
      <w:start w:val="1"/>
      <w:numFmt w:val="decimal"/>
      <w:lvlText w:val="%7."/>
      <w:lvlJc w:val="left"/>
      <w:pPr>
        <w:ind w:left="5040" w:hanging="360"/>
      </w:pPr>
    </w:lvl>
    <w:lvl w:ilvl="7" w:tplc="B5086C48">
      <w:start w:val="1"/>
      <w:numFmt w:val="lowerLetter"/>
      <w:lvlText w:val="%8."/>
      <w:lvlJc w:val="left"/>
      <w:pPr>
        <w:ind w:left="5760" w:hanging="360"/>
      </w:pPr>
    </w:lvl>
    <w:lvl w:ilvl="8" w:tplc="7F0EDB0C">
      <w:start w:val="1"/>
      <w:numFmt w:val="lowerRoman"/>
      <w:lvlText w:val="%9."/>
      <w:lvlJc w:val="right"/>
      <w:pPr>
        <w:ind w:left="6480" w:hanging="180"/>
      </w:pPr>
    </w:lvl>
  </w:abstractNum>
  <w:abstractNum w:abstractNumId="7" w15:restartNumberingAfterBreak="0">
    <w:nsid w:val="2EF0632D"/>
    <w:multiLevelType w:val="hybridMultilevel"/>
    <w:tmpl w:val="53429B12"/>
    <w:lvl w:ilvl="0" w:tplc="AC527866">
      <w:start w:val="1"/>
      <w:numFmt w:val="decimal"/>
      <w:lvlText w:val="%1."/>
      <w:lvlJc w:val="left"/>
      <w:pPr>
        <w:ind w:left="720" w:hanging="360"/>
      </w:pPr>
    </w:lvl>
    <w:lvl w:ilvl="1" w:tplc="4308EB3A">
      <w:start w:val="1"/>
      <w:numFmt w:val="lowerLetter"/>
      <w:lvlText w:val="%2."/>
      <w:lvlJc w:val="left"/>
      <w:pPr>
        <w:ind w:left="1440" w:hanging="360"/>
      </w:pPr>
    </w:lvl>
    <w:lvl w:ilvl="2" w:tplc="C8A625B6">
      <w:start w:val="1"/>
      <w:numFmt w:val="lowerRoman"/>
      <w:lvlText w:val="%3."/>
      <w:lvlJc w:val="right"/>
      <w:pPr>
        <w:ind w:left="2160" w:hanging="180"/>
      </w:pPr>
    </w:lvl>
    <w:lvl w:ilvl="3" w:tplc="0F161C98">
      <w:start w:val="1"/>
      <w:numFmt w:val="decimal"/>
      <w:lvlText w:val="%4."/>
      <w:lvlJc w:val="left"/>
      <w:pPr>
        <w:ind w:left="2880" w:hanging="360"/>
      </w:pPr>
    </w:lvl>
    <w:lvl w:ilvl="4" w:tplc="5BEAA9E8">
      <w:start w:val="1"/>
      <w:numFmt w:val="lowerLetter"/>
      <w:lvlText w:val="%5."/>
      <w:lvlJc w:val="left"/>
      <w:pPr>
        <w:ind w:left="3600" w:hanging="360"/>
      </w:pPr>
    </w:lvl>
    <w:lvl w:ilvl="5" w:tplc="B07AA8F0">
      <w:start w:val="1"/>
      <w:numFmt w:val="lowerRoman"/>
      <w:lvlText w:val="%6."/>
      <w:lvlJc w:val="right"/>
      <w:pPr>
        <w:ind w:left="4320" w:hanging="180"/>
      </w:pPr>
    </w:lvl>
    <w:lvl w:ilvl="6" w:tplc="88EAEAB0">
      <w:start w:val="1"/>
      <w:numFmt w:val="decimal"/>
      <w:lvlText w:val="%7."/>
      <w:lvlJc w:val="left"/>
      <w:pPr>
        <w:ind w:left="5040" w:hanging="360"/>
      </w:pPr>
    </w:lvl>
    <w:lvl w:ilvl="7" w:tplc="124C6A76">
      <w:start w:val="1"/>
      <w:numFmt w:val="lowerLetter"/>
      <w:lvlText w:val="%8."/>
      <w:lvlJc w:val="left"/>
      <w:pPr>
        <w:ind w:left="5760" w:hanging="360"/>
      </w:pPr>
    </w:lvl>
    <w:lvl w:ilvl="8" w:tplc="B738710A">
      <w:start w:val="1"/>
      <w:numFmt w:val="lowerRoman"/>
      <w:lvlText w:val="%9."/>
      <w:lvlJc w:val="right"/>
      <w:pPr>
        <w:ind w:left="6480" w:hanging="180"/>
      </w:pPr>
    </w:lvl>
  </w:abstractNum>
  <w:abstractNum w:abstractNumId="8" w15:restartNumberingAfterBreak="0">
    <w:nsid w:val="3C3C1C1A"/>
    <w:multiLevelType w:val="hybridMultilevel"/>
    <w:tmpl w:val="9F60BDF6"/>
    <w:lvl w:ilvl="0" w:tplc="914C9D86">
      <w:start w:val="32"/>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54A91236"/>
    <w:multiLevelType w:val="hybridMultilevel"/>
    <w:tmpl w:val="D1B83B56"/>
    <w:lvl w:ilvl="0" w:tplc="A7BC8170">
      <w:start w:val="1"/>
      <w:numFmt w:val="bullet"/>
      <w:lvlText w:val="-"/>
      <w:lvlJc w:val="left"/>
      <w:pPr>
        <w:ind w:left="720" w:hanging="360"/>
      </w:pPr>
      <w:rPr>
        <w:rFonts w:ascii="&quot;Times New Roman&quot;,serif" w:hAnsi="&quot;Times New Roman&quot;,serif" w:hint="default"/>
      </w:rPr>
    </w:lvl>
    <w:lvl w:ilvl="1" w:tplc="1B54E66A">
      <w:start w:val="1"/>
      <w:numFmt w:val="bullet"/>
      <w:lvlText w:val="o"/>
      <w:lvlJc w:val="left"/>
      <w:pPr>
        <w:ind w:left="1440" w:hanging="360"/>
      </w:pPr>
      <w:rPr>
        <w:rFonts w:ascii="Courier New" w:hAnsi="Courier New" w:hint="default"/>
      </w:rPr>
    </w:lvl>
    <w:lvl w:ilvl="2" w:tplc="F6060BD2">
      <w:start w:val="1"/>
      <w:numFmt w:val="bullet"/>
      <w:lvlText w:val=""/>
      <w:lvlJc w:val="left"/>
      <w:pPr>
        <w:ind w:left="2160" w:hanging="360"/>
      </w:pPr>
      <w:rPr>
        <w:rFonts w:ascii="Wingdings" w:hAnsi="Wingdings" w:hint="default"/>
      </w:rPr>
    </w:lvl>
    <w:lvl w:ilvl="3" w:tplc="F7E844D8">
      <w:start w:val="1"/>
      <w:numFmt w:val="bullet"/>
      <w:lvlText w:val=""/>
      <w:lvlJc w:val="left"/>
      <w:pPr>
        <w:ind w:left="2880" w:hanging="360"/>
      </w:pPr>
      <w:rPr>
        <w:rFonts w:ascii="Symbol" w:hAnsi="Symbol" w:hint="default"/>
      </w:rPr>
    </w:lvl>
    <w:lvl w:ilvl="4" w:tplc="892E4612">
      <w:start w:val="1"/>
      <w:numFmt w:val="bullet"/>
      <w:lvlText w:val="o"/>
      <w:lvlJc w:val="left"/>
      <w:pPr>
        <w:ind w:left="3600" w:hanging="360"/>
      </w:pPr>
      <w:rPr>
        <w:rFonts w:ascii="Courier New" w:hAnsi="Courier New" w:hint="default"/>
      </w:rPr>
    </w:lvl>
    <w:lvl w:ilvl="5" w:tplc="96688378">
      <w:start w:val="1"/>
      <w:numFmt w:val="bullet"/>
      <w:lvlText w:val=""/>
      <w:lvlJc w:val="left"/>
      <w:pPr>
        <w:ind w:left="4320" w:hanging="360"/>
      </w:pPr>
      <w:rPr>
        <w:rFonts w:ascii="Wingdings" w:hAnsi="Wingdings" w:hint="default"/>
      </w:rPr>
    </w:lvl>
    <w:lvl w:ilvl="6" w:tplc="14ECFB3E">
      <w:start w:val="1"/>
      <w:numFmt w:val="bullet"/>
      <w:lvlText w:val=""/>
      <w:lvlJc w:val="left"/>
      <w:pPr>
        <w:ind w:left="5040" w:hanging="360"/>
      </w:pPr>
      <w:rPr>
        <w:rFonts w:ascii="Symbol" w:hAnsi="Symbol" w:hint="default"/>
      </w:rPr>
    </w:lvl>
    <w:lvl w:ilvl="7" w:tplc="11D21A26">
      <w:start w:val="1"/>
      <w:numFmt w:val="bullet"/>
      <w:lvlText w:val="o"/>
      <w:lvlJc w:val="left"/>
      <w:pPr>
        <w:ind w:left="5760" w:hanging="360"/>
      </w:pPr>
      <w:rPr>
        <w:rFonts w:ascii="Courier New" w:hAnsi="Courier New" w:hint="default"/>
      </w:rPr>
    </w:lvl>
    <w:lvl w:ilvl="8" w:tplc="A030EFFA">
      <w:start w:val="1"/>
      <w:numFmt w:val="bullet"/>
      <w:lvlText w:val=""/>
      <w:lvlJc w:val="left"/>
      <w:pPr>
        <w:ind w:left="6480" w:hanging="360"/>
      </w:pPr>
      <w:rPr>
        <w:rFonts w:ascii="Wingdings" w:hAnsi="Wingdings" w:hint="default"/>
      </w:rPr>
    </w:lvl>
  </w:abstractNum>
  <w:abstractNum w:abstractNumId="10" w15:restartNumberingAfterBreak="0">
    <w:nsid w:val="62DE2C06"/>
    <w:multiLevelType w:val="hybridMultilevel"/>
    <w:tmpl w:val="AD3A2D3A"/>
    <w:lvl w:ilvl="0" w:tplc="B9B49F1E">
      <w:start w:val="3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68B47EE6"/>
    <w:multiLevelType w:val="hybridMultilevel"/>
    <w:tmpl w:val="6AE65B34"/>
    <w:lvl w:ilvl="0" w:tplc="0C3007C4">
      <w:start w:val="40"/>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6BCD6A3B"/>
    <w:multiLevelType w:val="hybridMultilevel"/>
    <w:tmpl w:val="D5083016"/>
    <w:lvl w:ilvl="0" w:tplc="56186854">
      <w:start w:val="2"/>
      <w:numFmt w:val="bullet"/>
      <w:lvlText w:val="-"/>
      <w:lvlJc w:val="left"/>
      <w:pPr>
        <w:ind w:left="720" w:hanging="360"/>
      </w:pPr>
      <w:rPr>
        <w:rFonts w:ascii="Calibri" w:eastAsia="PMingLiU" w:hAnsi="Calibri" w:cs="Calibri"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6232617"/>
    <w:multiLevelType w:val="hybridMultilevel"/>
    <w:tmpl w:val="A9BAE47C"/>
    <w:lvl w:ilvl="0" w:tplc="15D84D84">
      <w:start w:val="1"/>
      <w:numFmt w:val="decimal"/>
      <w:lvlText w:val="%1."/>
      <w:lvlJc w:val="left"/>
      <w:pPr>
        <w:ind w:left="720" w:hanging="360"/>
      </w:pPr>
      <w:rPr>
        <w:b/>
        <w:bCs/>
        <w:i w:val="0"/>
        <w:iCs w:val="0"/>
      </w:rPr>
    </w:lvl>
    <w:lvl w:ilvl="1" w:tplc="F9E457CE">
      <w:start w:val="1"/>
      <w:numFmt w:val="lowerLetter"/>
      <w:lvlText w:val="%2."/>
      <w:lvlJc w:val="left"/>
      <w:pPr>
        <w:ind w:left="1440" w:hanging="360"/>
      </w:pPr>
    </w:lvl>
    <w:lvl w:ilvl="2" w:tplc="02D032E2">
      <w:start w:val="1"/>
      <w:numFmt w:val="lowerRoman"/>
      <w:lvlText w:val="%3."/>
      <w:lvlJc w:val="right"/>
      <w:pPr>
        <w:ind w:left="2160" w:hanging="180"/>
      </w:pPr>
    </w:lvl>
    <w:lvl w:ilvl="3" w:tplc="765E8F3A">
      <w:start w:val="1"/>
      <w:numFmt w:val="decimal"/>
      <w:lvlText w:val="%4."/>
      <w:lvlJc w:val="left"/>
      <w:pPr>
        <w:ind w:left="2880" w:hanging="360"/>
      </w:pPr>
    </w:lvl>
    <w:lvl w:ilvl="4" w:tplc="238274AE">
      <w:start w:val="1"/>
      <w:numFmt w:val="lowerLetter"/>
      <w:lvlText w:val="%5."/>
      <w:lvlJc w:val="left"/>
      <w:pPr>
        <w:ind w:left="3600" w:hanging="360"/>
      </w:pPr>
    </w:lvl>
    <w:lvl w:ilvl="5" w:tplc="96E2E8D0">
      <w:start w:val="1"/>
      <w:numFmt w:val="lowerRoman"/>
      <w:lvlText w:val="%6."/>
      <w:lvlJc w:val="right"/>
      <w:pPr>
        <w:ind w:left="4320" w:hanging="180"/>
      </w:pPr>
    </w:lvl>
    <w:lvl w:ilvl="6" w:tplc="1E26FC92">
      <w:start w:val="1"/>
      <w:numFmt w:val="decimal"/>
      <w:lvlText w:val="%7."/>
      <w:lvlJc w:val="left"/>
      <w:pPr>
        <w:ind w:left="5040" w:hanging="360"/>
      </w:pPr>
    </w:lvl>
    <w:lvl w:ilvl="7" w:tplc="1DC469D0">
      <w:start w:val="1"/>
      <w:numFmt w:val="lowerLetter"/>
      <w:lvlText w:val="%8."/>
      <w:lvlJc w:val="left"/>
      <w:pPr>
        <w:ind w:left="5760" w:hanging="360"/>
      </w:pPr>
    </w:lvl>
    <w:lvl w:ilvl="8" w:tplc="C55C005A">
      <w:start w:val="1"/>
      <w:numFmt w:val="lowerRoman"/>
      <w:lvlText w:val="%9."/>
      <w:lvlJc w:val="right"/>
      <w:pPr>
        <w:ind w:left="6480" w:hanging="180"/>
      </w:pPr>
    </w:lvl>
  </w:abstractNum>
  <w:abstractNum w:abstractNumId="14" w15:restartNumberingAfterBreak="0">
    <w:nsid w:val="7DFB51A6"/>
    <w:multiLevelType w:val="hybridMultilevel"/>
    <w:tmpl w:val="9BF2091A"/>
    <w:lvl w:ilvl="0" w:tplc="2F98472A">
      <w:start w:val="39"/>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16cid:durableId="83769559">
    <w:abstractNumId w:val="0"/>
  </w:num>
  <w:num w:numId="2" w16cid:durableId="1606880960">
    <w:abstractNumId w:val="2"/>
  </w:num>
  <w:num w:numId="3" w16cid:durableId="702168382">
    <w:abstractNumId w:val="7"/>
  </w:num>
  <w:num w:numId="4" w16cid:durableId="1897398967">
    <w:abstractNumId w:val="6"/>
  </w:num>
  <w:num w:numId="5" w16cid:durableId="1084691947">
    <w:abstractNumId w:val="13"/>
  </w:num>
  <w:num w:numId="6" w16cid:durableId="553156511">
    <w:abstractNumId w:val="9"/>
  </w:num>
  <w:num w:numId="7" w16cid:durableId="2006979580">
    <w:abstractNumId w:val="10"/>
  </w:num>
  <w:num w:numId="8" w16cid:durableId="275253069">
    <w:abstractNumId w:val="8"/>
  </w:num>
  <w:num w:numId="9" w16cid:durableId="1369144876">
    <w:abstractNumId w:val="3"/>
  </w:num>
  <w:num w:numId="10" w16cid:durableId="1078669950">
    <w:abstractNumId w:val="1"/>
  </w:num>
  <w:num w:numId="11" w16cid:durableId="715159960">
    <w:abstractNumId w:val="14"/>
  </w:num>
  <w:num w:numId="12" w16cid:durableId="1265385102">
    <w:abstractNumId w:val="11"/>
  </w:num>
  <w:num w:numId="13" w16cid:durableId="555170233">
    <w:abstractNumId w:val="5"/>
  </w:num>
  <w:num w:numId="14" w16cid:durableId="26877528">
    <w:abstractNumId w:val="4"/>
  </w:num>
  <w:num w:numId="15" w16cid:durableId="158414145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26583010"/>
    <w:rsid w:val="00000DBB"/>
    <w:rsid w:val="000032DC"/>
    <w:rsid w:val="00005185"/>
    <w:rsid w:val="000122CC"/>
    <w:rsid w:val="000152CF"/>
    <w:rsid w:val="000201BD"/>
    <w:rsid w:val="000214A8"/>
    <w:rsid w:val="0002282C"/>
    <w:rsid w:val="0003150C"/>
    <w:rsid w:val="00031C4F"/>
    <w:rsid w:val="000416D3"/>
    <w:rsid w:val="00051173"/>
    <w:rsid w:val="0005515C"/>
    <w:rsid w:val="00060BF4"/>
    <w:rsid w:val="000632DE"/>
    <w:rsid w:val="00063AE0"/>
    <w:rsid w:val="00071D91"/>
    <w:rsid w:val="0007354C"/>
    <w:rsid w:val="00074860"/>
    <w:rsid w:val="0008032B"/>
    <w:rsid w:val="00087397"/>
    <w:rsid w:val="000908D4"/>
    <w:rsid w:val="00092B48"/>
    <w:rsid w:val="00092CAA"/>
    <w:rsid w:val="00093671"/>
    <w:rsid w:val="000958BB"/>
    <w:rsid w:val="00095B95"/>
    <w:rsid w:val="000A3DF2"/>
    <w:rsid w:val="000B186B"/>
    <w:rsid w:val="000B37E6"/>
    <w:rsid w:val="000B58D0"/>
    <w:rsid w:val="000C0226"/>
    <w:rsid w:val="000C184A"/>
    <w:rsid w:val="000C1EE7"/>
    <w:rsid w:val="000D112B"/>
    <w:rsid w:val="000D2C53"/>
    <w:rsid w:val="000D2D75"/>
    <w:rsid w:val="000E4089"/>
    <w:rsid w:val="000E4ABC"/>
    <w:rsid w:val="000E7E34"/>
    <w:rsid w:val="000F35D3"/>
    <w:rsid w:val="000F3F7D"/>
    <w:rsid w:val="00100034"/>
    <w:rsid w:val="00101198"/>
    <w:rsid w:val="00125F82"/>
    <w:rsid w:val="0012606A"/>
    <w:rsid w:val="00131DD0"/>
    <w:rsid w:val="001408D7"/>
    <w:rsid w:val="001417DD"/>
    <w:rsid w:val="001445C0"/>
    <w:rsid w:val="00144ABF"/>
    <w:rsid w:val="001538F5"/>
    <w:rsid w:val="00153D94"/>
    <w:rsid w:val="00153ED3"/>
    <w:rsid w:val="0015439F"/>
    <w:rsid w:val="001625EC"/>
    <w:rsid w:val="001643B2"/>
    <w:rsid w:val="001670C0"/>
    <w:rsid w:val="001707FD"/>
    <w:rsid w:val="00170BBD"/>
    <w:rsid w:val="00171349"/>
    <w:rsid w:val="001749B1"/>
    <w:rsid w:val="001772FC"/>
    <w:rsid w:val="0017775B"/>
    <w:rsid w:val="001840F7"/>
    <w:rsid w:val="001A09C0"/>
    <w:rsid w:val="001A6BA9"/>
    <w:rsid w:val="001A7695"/>
    <w:rsid w:val="001B67A8"/>
    <w:rsid w:val="001C0428"/>
    <w:rsid w:val="001C0729"/>
    <w:rsid w:val="001C155A"/>
    <w:rsid w:val="001C4225"/>
    <w:rsid w:val="001C4758"/>
    <w:rsid w:val="001D0B77"/>
    <w:rsid w:val="001D2E0A"/>
    <w:rsid w:val="001D7CC6"/>
    <w:rsid w:val="001E0A3C"/>
    <w:rsid w:val="001E2428"/>
    <w:rsid w:val="001E36F9"/>
    <w:rsid w:val="001E4ADA"/>
    <w:rsid w:val="001F5D8C"/>
    <w:rsid w:val="00201CF3"/>
    <w:rsid w:val="00207330"/>
    <w:rsid w:val="002145E5"/>
    <w:rsid w:val="002161CA"/>
    <w:rsid w:val="0022202A"/>
    <w:rsid w:val="0022686E"/>
    <w:rsid w:val="0022796C"/>
    <w:rsid w:val="0023017C"/>
    <w:rsid w:val="002360EC"/>
    <w:rsid w:val="00237E07"/>
    <w:rsid w:val="0024292F"/>
    <w:rsid w:val="00244143"/>
    <w:rsid w:val="00263392"/>
    <w:rsid w:val="002738CA"/>
    <w:rsid w:val="0027523C"/>
    <w:rsid w:val="00281213"/>
    <w:rsid w:val="00290F82"/>
    <w:rsid w:val="00291E2C"/>
    <w:rsid w:val="0029393B"/>
    <w:rsid w:val="00293DC9"/>
    <w:rsid w:val="002A1D94"/>
    <w:rsid w:val="002A64A8"/>
    <w:rsid w:val="002C3F91"/>
    <w:rsid w:val="002C6DEB"/>
    <w:rsid w:val="002E3920"/>
    <w:rsid w:val="002E52AC"/>
    <w:rsid w:val="002E7FAC"/>
    <w:rsid w:val="002F36F1"/>
    <w:rsid w:val="002F53AF"/>
    <w:rsid w:val="002F618F"/>
    <w:rsid w:val="002F7592"/>
    <w:rsid w:val="00301E07"/>
    <w:rsid w:val="003029CA"/>
    <w:rsid w:val="0030524A"/>
    <w:rsid w:val="00305AFD"/>
    <w:rsid w:val="00307F6D"/>
    <w:rsid w:val="003148FA"/>
    <w:rsid w:val="00315A83"/>
    <w:rsid w:val="00316F25"/>
    <w:rsid w:val="0031719E"/>
    <w:rsid w:val="0032253A"/>
    <w:rsid w:val="00323986"/>
    <w:rsid w:val="00325373"/>
    <w:rsid w:val="00331A73"/>
    <w:rsid w:val="00333BE9"/>
    <w:rsid w:val="00334FE2"/>
    <w:rsid w:val="00337B7D"/>
    <w:rsid w:val="00352116"/>
    <w:rsid w:val="003543EA"/>
    <w:rsid w:val="00355294"/>
    <w:rsid w:val="00363B02"/>
    <w:rsid w:val="00367D34"/>
    <w:rsid w:val="00376828"/>
    <w:rsid w:val="00391FD8"/>
    <w:rsid w:val="003940A4"/>
    <w:rsid w:val="00395B3B"/>
    <w:rsid w:val="00396E17"/>
    <w:rsid w:val="003A01D8"/>
    <w:rsid w:val="003A6D87"/>
    <w:rsid w:val="003B01B9"/>
    <w:rsid w:val="003B1628"/>
    <w:rsid w:val="003B62F9"/>
    <w:rsid w:val="003C1B63"/>
    <w:rsid w:val="003D233D"/>
    <w:rsid w:val="003D40A3"/>
    <w:rsid w:val="003D5231"/>
    <w:rsid w:val="003D60D8"/>
    <w:rsid w:val="003D6626"/>
    <w:rsid w:val="003D6EBC"/>
    <w:rsid w:val="003E0F1D"/>
    <w:rsid w:val="003E3A78"/>
    <w:rsid w:val="003E6F9B"/>
    <w:rsid w:val="003F232D"/>
    <w:rsid w:val="003F3B30"/>
    <w:rsid w:val="003F404E"/>
    <w:rsid w:val="00402E5B"/>
    <w:rsid w:val="004137FB"/>
    <w:rsid w:val="00415584"/>
    <w:rsid w:val="004156A9"/>
    <w:rsid w:val="00417594"/>
    <w:rsid w:val="004201C8"/>
    <w:rsid w:val="00423149"/>
    <w:rsid w:val="004236BB"/>
    <w:rsid w:val="00431D95"/>
    <w:rsid w:val="004329E1"/>
    <w:rsid w:val="004361DE"/>
    <w:rsid w:val="00443972"/>
    <w:rsid w:val="00444F0A"/>
    <w:rsid w:val="00445EB8"/>
    <w:rsid w:val="00446E8F"/>
    <w:rsid w:val="004471D3"/>
    <w:rsid w:val="00447297"/>
    <w:rsid w:val="00447B3C"/>
    <w:rsid w:val="00447D43"/>
    <w:rsid w:val="00451BC8"/>
    <w:rsid w:val="00454B0E"/>
    <w:rsid w:val="00456E04"/>
    <w:rsid w:val="00460914"/>
    <w:rsid w:val="0046208E"/>
    <w:rsid w:val="004661EA"/>
    <w:rsid w:val="004675C1"/>
    <w:rsid w:val="00467897"/>
    <w:rsid w:val="004746F7"/>
    <w:rsid w:val="00476375"/>
    <w:rsid w:val="00484F9A"/>
    <w:rsid w:val="00490CD4"/>
    <w:rsid w:val="00494B87"/>
    <w:rsid w:val="004A2CD5"/>
    <w:rsid w:val="004A340F"/>
    <w:rsid w:val="004A458B"/>
    <w:rsid w:val="004B7A85"/>
    <w:rsid w:val="004C2F6B"/>
    <w:rsid w:val="004C5D5D"/>
    <w:rsid w:val="004D09F6"/>
    <w:rsid w:val="004D4C1F"/>
    <w:rsid w:val="004D76E4"/>
    <w:rsid w:val="004E2E2A"/>
    <w:rsid w:val="004E3B0F"/>
    <w:rsid w:val="004F0927"/>
    <w:rsid w:val="004F1728"/>
    <w:rsid w:val="004F2637"/>
    <w:rsid w:val="004F27BD"/>
    <w:rsid w:val="004F46AA"/>
    <w:rsid w:val="004F46D5"/>
    <w:rsid w:val="004F579C"/>
    <w:rsid w:val="004F6660"/>
    <w:rsid w:val="004F6695"/>
    <w:rsid w:val="004F7FD2"/>
    <w:rsid w:val="005002F6"/>
    <w:rsid w:val="00503756"/>
    <w:rsid w:val="005038FD"/>
    <w:rsid w:val="005049D0"/>
    <w:rsid w:val="005120C8"/>
    <w:rsid w:val="00516420"/>
    <w:rsid w:val="00520C0C"/>
    <w:rsid w:val="00524B79"/>
    <w:rsid w:val="00551170"/>
    <w:rsid w:val="00554D1B"/>
    <w:rsid w:val="00562624"/>
    <w:rsid w:val="00563863"/>
    <w:rsid w:val="005652CF"/>
    <w:rsid w:val="00565E7D"/>
    <w:rsid w:val="00566856"/>
    <w:rsid w:val="0056712E"/>
    <w:rsid w:val="005676FB"/>
    <w:rsid w:val="0057075B"/>
    <w:rsid w:val="00575C42"/>
    <w:rsid w:val="005777E8"/>
    <w:rsid w:val="0058515F"/>
    <w:rsid w:val="0059612E"/>
    <w:rsid w:val="005A3C11"/>
    <w:rsid w:val="005B088A"/>
    <w:rsid w:val="005B31A6"/>
    <w:rsid w:val="005B401A"/>
    <w:rsid w:val="005B4753"/>
    <w:rsid w:val="005B5DC9"/>
    <w:rsid w:val="005D128D"/>
    <w:rsid w:val="005D5FC3"/>
    <w:rsid w:val="005E1A39"/>
    <w:rsid w:val="005E2245"/>
    <w:rsid w:val="005E4095"/>
    <w:rsid w:val="005E4447"/>
    <w:rsid w:val="005F31E2"/>
    <w:rsid w:val="006027ED"/>
    <w:rsid w:val="00606095"/>
    <w:rsid w:val="00606145"/>
    <w:rsid w:val="006061BD"/>
    <w:rsid w:val="006109BF"/>
    <w:rsid w:val="00614A3A"/>
    <w:rsid w:val="006159AC"/>
    <w:rsid w:val="0061720A"/>
    <w:rsid w:val="00622615"/>
    <w:rsid w:val="006244A0"/>
    <w:rsid w:val="00625AFB"/>
    <w:rsid w:val="006325A1"/>
    <w:rsid w:val="00640904"/>
    <w:rsid w:val="006447E7"/>
    <w:rsid w:val="006456C4"/>
    <w:rsid w:val="00646BCF"/>
    <w:rsid w:val="0065605A"/>
    <w:rsid w:val="00662FDC"/>
    <w:rsid w:val="00664884"/>
    <w:rsid w:val="006738F2"/>
    <w:rsid w:val="00677E99"/>
    <w:rsid w:val="00686765"/>
    <w:rsid w:val="00691EEF"/>
    <w:rsid w:val="006A20F7"/>
    <w:rsid w:val="006A2652"/>
    <w:rsid w:val="006A778D"/>
    <w:rsid w:val="006B196B"/>
    <w:rsid w:val="006B29EA"/>
    <w:rsid w:val="006C6D67"/>
    <w:rsid w:val="006D32AE"/>
    <w:rsid w:val="006D70BC"/>
    <w:rsid w:val="006E2DA9"/>
    <w:rsid w:val="006E6A7D"/>
    <w:rsid w:val="006F46FC"/>
    <w:rsid w:val="00700E39"/>
    <w:rsid w:val="0071360A"/>
    <w:rsid w:val="007149B0"/>
    <w:rsid w:val="007177AD"/>
    <w:rsid w:val="00721BC1"/>
    <w:rsid w:val="0073021E"/>
    <w:rsid w:val="00731D39"/>
    <w:rsid w:val="00732A55"/>
    <w:rsid w:val="007417DC"/>
    <w:rsid w:val="00745FE1"/>
    <w:rsid w:val="00746418"/>
    <w:rsid w:val="00750AC7"/>
    <w:rsid w:val="00770ABE"/>
    <w:rsid w:val="00772C04"/>
    <w:rsid w:val="00780F5E"/>
    <w:rsid w:val="0078115E"/>
    <w:rsid w:val="007846FE"/>
    <w:rsid w:val="00786E89"/>
    <w:rsid w:val="00790497"/>
    <w:rsid w:val="0079196F"/>
    <w:rsid w:val="0079720D"/>
    <w:rsid w:val="007A1A4C"/>
    <w:rsid w:val="007A1ABD"/>
    <w:rsid w:val="007B4592"/>
    <w:rsid w:val="007C0722"/>
    <w:rsid w:val="007C1CDF"/>
    <w:rsid w:val="007C54B5"/>
    <w:rsid w:val="007C64A1"/>
    <w:rsid w:val="007E2648"/>
    <w:rsid w:val="007E5C96"/>
    <w:rsid w:val="007F3A41"/>
    <w:rsid w:val="007F407C"/>
    <w:rsid w:val="00801CED"/>
    <w:rsid w:val="00803CD8"/>
    <w:rsid w:val="0080513B"/>
    <w:rsid w:val="00817D61"/>
    <w:rsid w:val="008200AF"/>
    <w:rsid w:val="00826A10"/>
    <w:rsid w:val="00827CD6"/>
    <w:rsid w:val="00830053"/>
    <w:rsid w:val="00832C7E"/>
    <w:rsid w:val="0083309F"/>
    <w:rsid w:val="0083512C"/>
    <w:rsid w:val="008359A6"/>
    <w:rsid w:val="008403A8"/>
    <w:rsid w:val="008458BC"/>
    <w:rsid w:val="00851DAD"/>
    <w:rsid w:val="00871E47"/>
    <w:rsid w:val="008720AF"/>
    <w:rsid w:val="00874A81"/>
    <w:rsid w:val="008812EA"/>
    <w:rsid w:val="00883B73"/>
    <w:rsid w:val="00887582"/>
    <w:rsid w:val="0088EDAE"/>
    <w:rsid w:val="008902A8"/>
    <w:rsid w:val="0089051D"/>
    <w:rsid w:val="00894DD8"/>
    <w:rsid w:val="00896219"/>
    <w:rsid w:val="008A2B58"/>
    <w:rsid w:val="008A5C1E"/>
    <w:rsid w:val="008B1CB5"/>
    <w:rsid w:val="008B4D09"/>
    <w:rsid w:val="008B7E25"/>
    <w:rsid w:val="008C162E"/>
    <w:rsid w:val="008C4676"/>
    <w:rsid w:val="008C729D"/>
    <w:rsid w:val="008D4CC9"/>
    <w:rsid w:val="008D672C"/>
    <w:rsid w:val="008E1693"/>
    <w:rsid w:val="008E1A1C"/>
    <w:rsid w:val="008E4F7B"/>
    <w:rsid w:val="008F18EA"/>
    <w:rsid w:val="008F1BD1"/>
    <w:rsid w:val="008F1E61"/>
    <w:rsid w:val="008F4438"/>
    <w:rsid w:val="0090352F"/>
    <w:rsid w:val="00907A76"/>
    <w:rsid w:val="00913131"/>
    <w:rsid w:val="00924FCF"/>
    <w:rsid w:val="00936161"/>
    <w:rsid w:val="0093797B"/>
    <w:rsid w:val="00941097"/>
    <w:rsid w:val="009451EA"/>
    <w:rsid w:val="009501A2"/>
    <w:rsid w:val="0095572D"/>
    <w:rsid w:val="00956DDA"/>
    <w:rsid w:val="009577C8"/>
    <w:rsid w:val="00957A83"/>
    <w:rsid w:val="00957D34"/>
    <w:rsid w:val="009711F3"/>
    <w:rsid w:val="009779F1"/>
    <w:rsid w:val="00983257"/>
    <w:rsid w:val="00984886"/>
    <w:rsid w:val="0099349B"/>
    <w:rsid w:val="00996442"/>
    <w:rsid w:val="009A1176"/>
    <w:rsid w:val="009B0055"/>
    <w:rsid w:val="009B4241"/>
    <w:rsid w:val="009C31EB"/>
    <w:rsid w:val="009C3AB1"/>
    <w:rsid w:val="009C6B0A"/>
    <w:rsid w:val="009D457D"/>
    <w:rsid w:val="009E2C42"/>
    <w:rsid w:val="009E48A0"/>
    <w:rsid w:val="009E5287"/>
    <w:rsid w:val="009F13B7"/>
    <w:rsid w:val="00A04ECA"/>
    <w:rsid w:val="00A15312"/>
    <w:rsid w:val="00A15581"/>
    <w:rsid w:val="00A15611"/>
    <w:rsid w:val="00A15A2A"/>
    <w:rsid w:val="00A15FC8"/>
    <w:rsid w:val="00A2461B"/>
    <w:rsid w:val="00A24ABF"/>
    <w:rsid w:val="00A3223C"/>
    <w:rsid w:val="00A32616"/>
    <w:rsid w:val="00A33C56"/>
    <w:rsid w:val="00A42FC8"/>
    <w:rsid w:val="00A464CF"/>
    <w:rsid w:val="00A509AD"/>
    <w:rsid w:val="00A61820"/>
    <w:rsid w:val="00A65C0E"/>
    <w:rsid w:val="00A6717F"/>
    <w:rsid w:val="00A70C8D"/>
    <w:rsid w:val="00A70D43"/>
    <w:rsid w:val="00A77715"/>
    <w:rsid w:val="00A77DDF"/>
    <w:rsid w:val="00A8282C"/>
    <w:rsid w:val="00A90304"/>
    <w:rsid w:val="00A91DCD"/>
    <w:rsid w:val="00A93195"/>
    <w:rsid w:val="00AA004B"/>
    <w:rsid w:val="00AA03E1"/>
    <w:rsid w:val="00AA4C3D"/>
    <w:rsid w:val="00AA529B"/>
    <w:rsid w:val="00AA552C"/>
    <w:rsid w:val="00AA759D"/>
    <w:rsid w:val="00AB101B"/>
    <w:rsid w:val="00AB7054"/>
    <w:rsid w:val="00AB71D1"/>
    <w:rsid w:val="00ABF071"/>
    <w:rsid w:val="00AC1426"/>
    <w:rsid w:val="00AC329B"/>
    <w:rsid w:val="00AD00F3"/>
    <w:rsid w:val="00AD063C"/>
    <w:rsid w:val="00AD7077"/>
    <w:rsid w:val="00AE146B"/>
    <w:rsid w:val="00AE2DFF"/>
    <w:rsid w:val="00AF49BF"/>
    <w:rsid w:val="00B108DF"/>
    <w:rsid w:val="00B217FF"/>
    <w:rsid w:val="00B235BF"/>
    <w:rsid w:val="00B24E35"/>
    <w:rsid w:val="00B278B8"/>
    <w:rsid w:val="00B32A61"/>
    <w:rsid w:val="00B36E29"/>
    <w:rsid w:val="00B42FB2"/>
    <w:rsid w:val="00B478F4"/>
    <w:rsid w:val="00B5545A"/>
    <w:rsid w:val="00B568A0"/>
    <w:rsid w:val="00B6416E"/>
    <w:rsid w:val="00B6422E"/>
    <w:rsid w:val="00B64F75"/>
    <w:rsid w:val="00B71904"/>
    <w:rsid w:val="00B75BC0"/>
    <w:rsid w:val="00B82A88"/>
    <w:rsid w:val="00B87E4C"/>
    <w:rsid w:val="00B91E9C"/>
    <w:rsid w:val="00BA09F2"/>
    <w:rsid w:val="00BB3DB2"/>
    <w:rsid w:val="00BC4C1E"/>
    <w:rsid w:val="00BC636B"/>
    <w:rsid w:val="00BD196E"/>
    <w:rsid w:val="00BD6D7C"/>
    <w:rsid w:val="00BE0526"/>
    <w:rsid w:val="00BF0404"/>
    <w:rsid w:val="00BF63C5"/>
    <w:rsid w:val="00BF77BD"/>
    <w:rsid w:val="00C044E1"/>
    <w:rsid w:val="00C20854"/>
    <w:rsid w:val="00C25E8C"/>
    <w:rsid w:val="00C2638D"/>
    <w:rsid w:val="00C30B2E"/>
    <w:rsid w:val="00C3267F"/>
    <w:rsid w:val="00C34557"/>
    <w:rsid w:val="00C352BC"/>
    <w:rsid w:val="00C35F7E"/>
    <w:rsid w:val="00C361C0"/>
    <w:rsid w:val="00C36F8D"/>
    <w:rsid w:val="00C449F3"/>
    <w:rsid w:val="00C451C4"/>
    <w:rsid w:val="00C55CD5"/>
    <w:rsid w:val="00C57CD5"/>
    <w:rsid w:val="00C62657"/>
    <w:rsid w:val="00C66398"/>
    <w:rsid w:val="00C7252B"/>
    <w:rsid w:val="00C729CF"/>
    <w:rsid w:val="00C77DF0"/>
    <w:rsid w:val="00C83018"/>
    <w:rsid w:val="00C84F1E"/>
    <w:rsid w:val="00C86C6A"/>
    <w:rsid w:val="00C9229E"/>
    <w:rsid w:val="00C9484F"/>
    <w:rsid w:val="00CA3A45"/>
    <w:rsid w:val="00CA4563"/>
    <w:rsid w:val="00CA6F21"/>
    <w:rsid w:val="00CB0A1F"/>
    <w:rsid w:val="00CB515B"/>
    <w:rsid w:val="00CC6D84"/>
    <w:rsid w:val="00CD35CA"/>
    <w:rsid w:val="00CE037B"/>
    <w:rsid w:val="00CE37D2"/>
    <w:rsid w:val="00CF0485"/>
    <w:rsid w:val="00CF3437"/>
    <w:rsid w:val="00CF6A9B"/>
    <w:rsid w:val="00D02F0A"/>
    <w:rsid w:val="00D112A3"/>
    <w:rsid w:val="00D20044"/>
    <w:rsid w:val="00D229DC"/>
    <w:rsid w:val="00D2723B"/>
    <w:rsid w:val="00D31770"/>
    <w:rsid w:val="00D37CDF"/>
    <w:rsid w:val="00D4583D"/>
    <w:rsid w:val="00D46C1B"/>
    <w:rsid w:val="00D53989"/>
    <w:rsid w:val="00D55439"/>
    <w:rsid w:val="00D663FE"/>
    <w:rsid w:val="00D713CC"/>
    <w:rsid w:val="00D7146F"/>
    <w:rsid w:val="00D71624"/>
    <w:rsid w:val="00D71E16"/>
    <w:rsid w:val="00D71F7A"/>
    <w:rsid w:val="00D71FD1"/>
    <w:rsid w:val="00D77884"/>
    <w:rsid w:val="00D84066"/>
    <w:rsid w:val="00D85382"/>
    <w:rsid w:val="00D87E48"/>
    <w:rsid w:val="00D92CC6"/>
    <w:rsid w:val="00D96EF4"/>
    <w:rsid w:val="00DA74CB"/>
    <w:rsid w:val="00DB21E8"/>
    <w:rsid w:val="00DB7CA7"/>
    <w:rsid w:val="00DC3EE4"/>
    <w:rsid w:val="00DC653B"/>
    <w:rsid w:val="00DD669F"/>
    <w:rsid w:val="00DD67B7"/>
    <w:rsid w:val="00DD7426"/>
    <w:rsid w:val="00DE492D"/>
    <w:rsid w:val="00DE5047"/>
    <w:rsid w:val="00DE66BE"/>
    <w:rsid w:val="00DEE315"/>
    <w:rsid w:val="00DF20DC"/>
    <w:rsid w:val="00DF4E6B"/>
    <w:rsid w:val="00E0066D"/>
    <w:rsid w:val="00E03BDA"/>
    <w:rsid w:val="00E055ED"/>
    <w:rsid w:val="00E07755"/>
    <w:rsid w:val="00E15915"/>
    <w:rsid w:val="00E15CFE"/>
    <w:rsid w:val="00E173BC"/>
    <w:rsid w:val="00E21CBE"/>
    <w:rsid w:val="00E22065"/>
    <w:rsid w:val="00E23EB7"/>
    <w:rsid w:val="00E268C1"/>
    <w:rsid w:val="00E26DAF"/>
    <w:rsid w:val="00E34585"/>
    <w:rsid w:val="00E3E38F"/>
    <w:rsid w:val="00E43105"/>
    <w:rsid w:val="00E43C46"/>
    <w:rsid w:val="00E50DF3"/>
    <w:rsid w:val="00E536A2"/>
    <w:rsid w:val="00E61EA2"/>
    <w:rsid w:val="00E72EA6"/>
    <w:rsid w:val="00E74E24"/>
    <w:rsid w:val="00E9028D"/>
    <w:rsid w:val="00EA019E"/>
    <w:rsid w:val="00EA39A4"/>
    <w:rsid w:val="00EA6A17"/>
    <w:rsid w:val="00EB7ADF"/>
    <w:rsid w:val="00EB7DCE"/>
    <w:rsid w:val="00EC4080"/>
    <w:rsid w:val="00EC4F84"/>
    <w:rsid w:val="00ED13C8"/>
    <w:rsid w:val="00ED2AFF"/>
    <w:rsid w:val="00ED383E"/>
    <w:rsid w:val="00EE6962"/>
    <w:rsid w:val="00F0232F"/>
    <w:rsid w:val="00F04F4D"/>
    <w:rsid w:val="00F07018"/>
    <w:rsid w:val="00F30FBA"/>
    <w:rsid w:val="00F33234"/>
    <w:rsid w:val="00F34225"/>
    <w:rsid w:val="00F45C44"/>
    <w:rsid w:val="00F50230"/>
    <w:rsid w:val="00F555B8"/>
    <w:rsid w:val="00F557B3"/>
    <w:rsid w:val="00F62B56"/>
    <w:rsid w:val="00F65C1D"/>
    <w:rsid w:val="00F73426"/>
    <w:rsid w:val="00F80656"/>
    <w:rsid w:val="00F934FB"/>
    <w:rsid w:val="00F936A3"/>
    <w:rsid w:val="00F94070"/>
    <w:rsid w:val="00FB2269"/>
    <w:rsid w:val="00FB705E"/>
    <w:rsid w:val="00FD1C49"/>
    <w:rsid w:val="00FD3956"/>
    <w:rsid w:val="00FD441F"/>
    <w:rsid w:val="00FD6E1A"/>
    <w:rsid w:val="00FDB143"/>
    <w:rsid w:val="00FE0189"/>
    <w:rsid w:val="00FE64FE"/>
    <w:rsid w:val="00FE6990"/>
    <w:rsid w:val="00FF0519"/>
    <w:rsid w:val="00FF20C2"/>
    <w:rsid w:val="00FF26C4"/>
    <w:rsid w:val="00FF4A9F"/>
    <w:rsid w:val="010A868A"/>
    <w:rsid w:val="011A1CB1"/>
    <w:rsid w:val="0135D6A4"/>
    <w:rsid w:val="01577C63"/>
    <w:rsid w:val="0182A4EE"/>
    <w:rsid w:val="0190BDDC"/>
    <w:rsid w:val="01925F7E"/>
    <w:rsid w:val="019A6B8A"/>
    <w:rsid w:val="01A318C1"/>
    <w:rsid w:val="01ADAC37"/>
    <w:rsid w:val="01BFFFD3"/>
    <w:rsid w:val="01C81F2F"/>
    <w:rsid w:val="01C9AD78"/>
    <w:rsid w:val="01D24057"/>
    <w:rsid w:val="01D413A7"/>
    <w:rsid w:val="01FA3A18"/>
    <w:rsid w:val="020A5388"/>
    <w:rsid w:val="0229539B"/>
    <w:rsid w:val="026D7569"/>
    <w:rsid w:val="02965124"/>
    <w:rsid w:val="029D5B99"/>
    <w:rsid w:val="02AA4707"/>
    <w:rsid w:val="02CD687E"/>
    <w:rsid w:val="02E12ADB"/>
    <w:rsid w:val="03076306"/>
    <w:rsid w:val="0322EE26"/>
    <w:rsid w:val="0354F5F3"/>
    <w:rsid w:val="035CF48C"/>
    <w:rsid w:val="0364D249"/>
    <w:rsid w:val="036EAE7A"/>
    <w:rsid w:val="0389A9F9"/>
    <w:rsid w:val="039D12E9"/>
    <w:rsid w:val="03D84AA9"/>
    <w:rsid w:val="03E8181C"/>
    <w:rsid w:val="03F0BAD0"/>
    <w:rsid w:val="04100E88"/>
    <w:rsid w:val="0422B2D7"/>
    <w:rsid w:val="042FA19C"/>
    <w:rsid w:val="04358939"/>
    <w:rsid w:val="044A06CB"/>
    <w:rsid w:val="04515599"/>
    <w:rsid w:val="04689BDE"/>
    <w:rsid w:val="04724C2D"/>
    <w:rsid w:val="0480CC20"/>
    <w:rsid w:val="048E09E8"/>
    <w:rsid w:val="04A46D4D"/>
    <w:rsid w:val="04B7BC45"/>
    <w:rsid w:val="04BFB6E0"/>
    <w:rsid w:val="04C185C8"/>
    <w:rsid w:val="04D1E484"/>
    <w:rsid w:val="051D725A"/>
    <w:rsid w:val="05325D13"/>
    <w:rsid w:val="05344674"/>
    <w:rsid w:val="05353C41"/>
    <w:rsid w:val="05563248"/>
    <w:rsid w:val="056D5F83"/>
    <w:rsid w:val="05738013"/>
    <w:rsid w:val="057A3790"/>
    <w:rsid w:val="05802015"/>
    <w:rsid w:val="05984828"/>
    <w:rsid w:val="06046C3F"/>
    <w:rsid w:val="061539FE"/>
    <w:rsid w:val="0635B57C"/>
    <w:rsid w:val="0665DB27"/>
    <w:rsid w:val="069420DE"/>
    <w:rsid w:val="069C05D1"/>
    <w:rsid w:val="06B942BB"/>
    <w:rsid w:val="06E9E755"/>
    <w:rsid w:val="0701E142"/>
    <w:rsid w:val="071BF076"/>
    <w:rsid w:val="07234D9D"/>
    <w:rsid w:val="0738C040"/>
    <w:rsid w:val="0749BC5E"/>
    <w:rsid w:val="075423AC"/>
    <w:rsid w:val="07733758"/>
    <w:rsid w:val="07757C28"/>
    <w:rsid w:val="07AA713C"/>
    <w:rsid w:val="07D142F4"/>
    <w:rsid w:val="07D2EC95"/>
    <w:rsid w:val="07D8C78A"/>
    <w:rsid w:val="083169AE"/>
    <w:rsid w:val="083D51C1"/>
    <w:rsid w:val="086E89B5"/>
    <w:rsid w:val="08895180"/>
    <w:rsid w:val="0891B296"/>
    <w:rsid w:val="08B7C0D7"/>
    <w:rsid w:val="08BDD0A4"/>
    <w:rsid w:val="08E26C3A"/>
    <w:rsid w:val="08E41135"/>
    <w:rsid w:val="090C81FD"/>
    <w:rsid w:val="092C994E"/>
    <w:rsid w:val="093C0D01"/>
    <w:rsid w:val="0943FA87"/>
    <w:rsid w:val="09614666"/>
    <w:rsid w:val="096535EB"/>
    <w:rsid w:val="098115F5"/>
    <w:rsid w:val="098815A0"/>
    <w:rsid w:val="0996D498"/>
    <w:rsid w:val="09A1935B"/>
    <w:rsid w:val="09A43984"/>
    <w:rsid w:val="0A0098E8"/>
    <w:rsid w:val="0A1103F1"/>
    <w:rsid w:val="0A214F92"/>
    <w:rsid w:val="0A2F6F97"/>
    <w:rsid w:val="0A3A68DB"/>
    <w:rsid w:val="0A56309E"/>
    <w:rsid w:val="0A7529CB"/>
    <w:rsid w:val="0A7B0CAC"/>
    <w:rsid w:val="0AD7DD62"/>
    <w:rsid w:val="0AE3F516"/>
    <w:rsid w:val="0AEC32CD"/>
    <w:rsid w:val="0B445F69"/>
    <w:rsid w:val="0B4527FA"/>
    <w:rsid w:val="0B92A613"/>
    <w:rsid w:val="0B93ABF5"/>
    <w:rsid w:val="0B9DD927"/>
    <w:rsid w:val="0BB4999F"/>
    <w:rsid w:val="0BD4040B"/>
    <w:rsid w:val="0BE3CB98"/>
    <w:rsid w:val="0C080200"/>
    <w:rsid w:val="0C25A3B4"/>
    <w:rsid w:val="0C3800F0"/>
    <w:rsid w:val="0C3AA668"/>
    <w:rsid w:val="0C3E8238"/>
    <w:rsid w:val="0C67CF08"/>
    <w:rsid w:val="0C73ADC3"/>
    <w:rsid w:val="0C828288"/>
    <w:rsid w:val="0C855AD9"/>
    <w:rsid w:val="0C86A49F"/>
    <w:rsid w:val="0C87DE27"/>
    <w:rsid w:val="0C8A63C6"/>
    <w:rsid w:val="0CCFDE48"/>
    <w:rsid w:val="0CD80229"/>
    <w:rsid w:val="0CE92E5C"/>
    <w:rsid w:val="0CF7063F"/>
    <w:rsid w:val="0D06FBE8"/>
    <w:rsid w:val="0D1F46D0"/>
    <w:rsid w:val="0D3E9368"/>
    <w:rsid w:val="0D3F5667"/>
    <w:rsid w:val="0D9B0E32"/>
    <w:rsid w:val="0DB01E77"/>
    <w:rsid w:val="0DC8CA11"/>
    <w:rsid w:val="0DD581A4"/>
    <w:rsid w:val="0DEFF8A3"/>
    <w:rsid w:val="0E00DD92"/>
    <w:rsid w:val="0E0CF3B3"/>
    <w:rsid w:val="0E0F144E"/>
    <w:rsid w:val="0E0F7E24"/>
    <w:rsid w:val="0E176BAA"/>
    <w:rsid w:val="0E23A091"/>
    <w:rsid w:val="0E40EFFA"/>
    <w:rsid w:val="0E520333"/>
    <w:rsid w:val="0E5D9211"/>
    <w:rsid w:val="0E869F99"/>
    <w:rsid w:val="0EB0A275"/>
    <w:rsid w:val="0EBE6AEB"/>
    <w:rsid w:val="0EC2779D"/>
    <w:rsid w:val="0EC88B3D"/>
    <w:rsid w:val="0EE93A71"/>
    <w:rsid w:val="0F01FF1E"/>
    <w:rsid w:val="0F5A17ED"/>
    <w:rsid w:val="0F65E0EC"/>
    <w:rsid w:val="0F73FDF6"/>
    <w:rsid w:val="0FB33C0B"/>
    <w:rsid w:val="0FBFB6BD"/>
    <w:rsid w:val="0FED8E80"/>
    <w:rsid w:val="10524674"/>
    <w:rsid w:val="108FC47C"/>
    <w:rsid w:val="10970B9E"/>
    <w:rsid w:val="109710E9"/>
    <w:rsid w:val="10D770F4"/>
    <w:rsid w:val="1102547A"/>
    <w:rsid w:val="111BC293"/>
    <w:rsid w:val="1128ED48"/>
    <w:rsid w:val="1131D2EF"/>
    <w:rsid w:val="114F0C6C"/>
    <w:rsid w:val="1152897E"/>
    <w:rsid w:val="116AF2E1"/>
    <w:rsid w:val="117D8A73"/>
    <w:rsid w:val="1189A4EC"/>
    <w:rsid w:val="11A2A4DF"/>
    <w:rsid w:val="11BF8B38"/>
    <w:rsid w:val="11BFFA5B"/>
    <w:rsid w:val="11C5FD55"/>
    <w:rsid w:val="11D01E70"/>
    <w:rsid w:val="11D4E78B"/>
    <w:rsid w:val="11DE1123"/>
    <w:rsid w:val="11F1215D"/>
    <w:rsid w:val="12000123"/>
    <w:rsid w:val="12107952"/>
    <w:rsid w:val="12163BCA"/>
    <w:rsid w:val="124B4B3F"/>
    <w:rsid w:val="125CB69A"/>
    <w:rsid w:val="12A9E3F2"/>
    <w:rsid w:val="12B14CE3"/>
    <w:rsid w:val="12BF0595"/>
    <w:rsid w:val="1335F8D6"/>
    <w:rsid w:val="13569FBD"/>
    <w:rsid w:val="13717C70"/>
    <w:rsid w:val="13857D68"/>
    <w:rsid w:val="13A454AB"/>
    <w:rsid w:val="13B2117D"/>
    <w:rsid w:val="13B91160"/>
    <w:rsid w:val="13BBD48C"/>
    <w:rsid w:val="13D07A2A"/>
    <w:rsid w:val="13D3F83C"/>
    <w:rsid w:val="1403480A"/>
    <w:rsid w:val="140F11B6"/>
    <w:rsid w:val="14183A2F"/>
    <w:rsid w:val="1426FA4B"/>
    <w:rsid w:val="14476F19"/>
    <w:rsid w:val="1474D11C"/>
    <w:rsid w:val="14804DD6"/>
    <w:rsid w:val="14864CD1"/>
    <w:rsid w:val="149BB021"/>
    <w:rsid w:val="149CE699"/>
    <w:rsid w:val="149EDD70"/>
    <w:rsid w:val="14BE9B39"/>
    <w:rsid w:val="14F93DDB"/>
    <w:rsid w:val="154CECA3"/>
    <w:rsid w:val="155A19EF"/>
    <w:rsid w:val="15C2CAAC"/>
    <w:rsid w:val="15C85F97"/>
    <w:rsid w:val="15CD6B71"/>
    <w:rsid w:val="15D05AF0"/>
    <w:rsid w:val="15DB61EC"/>
    <w:rsid w:val="15E33F7A"/>
    <w:rsid w:val="15E96021"/>
    <w:rsid w:val="15E9834D"/>
    <w:rsid w:val="15F83289"/>
    <w:rsid w:val="16028393"/>
    <w:rsid w:val="16053258"/>
    <w:rsid w:val="162F6117"/>
    <w:rsid w:val="163B458F"/>
    <w:rsid w:val="163BF2FB"/>
    <w:rsid w:val="163FEDC1"/>
    <w:rsid w:val="1645BE15"/>
    <w:rsid w:val="16561B0B"/>
    <w:rsid w:val="16611C63"/>
    <w:rsid w:val="1674A272"/>
    <w:rsid w:val="16A3F4E3"/>
    <w:rsid w:val="16C83EFD"/>
    <w:rsid w:val="16EC91A1"/>
    <w:rsid w:val="16FFDC6A"/>
    <w:rsid w:val="170A943A"/>
    <w:rsid w:val="170B341B"/>
    <w:rsid w:val="1718EBE3"/>
    <w:rsid w:val="171BBCA7"/>
    <w:rsid w:val="173221D8"/>
    <w:rsid w:val="173F6107"/>
    <w:rsid w:val="174886B3"/>
    <w:rsid w:val="1759C397"/>
    <w:rsid w:val="17654400"/>
    <w:rsid w:val="17873EBE"/>
    <w:rsid w:val="17DFC13C"/>
    <w:rsid w:val="17F8A065"/>
    <w:rsid w:val="17FC8219"/>
    <w:rsid w:val="17FEF1F1"/>
    <w:rsid w:val="1826C23D"/>
    <w:rsid w:val="18306B95"/>
    <w:rsid w:val="183A647B"/>
    <w:rsid w:val="184E172D"/>
    <w:rsid w:val="1891DB74"/>
    <w:rsid w:val="18CA4924"/>
    <w:rsid w:val="18CF7249"/>
    <w:rsid w:val="18D71518"/>
    <w:rsid w:val="18E589C6"/>
    <w:rsid w:val="18F8514B"/>
    <w:rsid w:val="1916C09B"/>
    <w:rsid w:val="19187A85"/>
    <w:rsid w:val="191FFFB7"/>
    <w:rsid w:val="193DD629"/>
    <w:rsid w:val="19448563"/>
    <w:rsid w:val="194C4A84"/>
    <w:rsid w:val="195A01A3"/>
    <w:rsid w:val="195B473A"/>
    <w:rsid w:val="1967883A"/>
    <w:rsid w:val="196A536C"/>
    <w:rsid w:val="19B39815"/>
    <w:rsid w:val="19D42697"/>
    <w:rsid w:val="19D812D4"/>
    <w:rsid w:val="19E841B3"/>
    <w:rsid w:val="19EB9135"/>
    <w:rsid w:val="19F6D03A"/>
    <w:rsid w:val="1A4BCA6A"/>
    <w:rsid w:val="1A5E156B"/>
    <w:rsid w:val="1A6C6001"/>
    <w:rsid w:val="1A977515"/>
    <w:rsid w:val="1AAC5CA5"/>
    <w:rsid w:val="1B00BC6F"/>
    <w:rsid w:val="1B063802"/>
    <w:rsid w:val="1B283889"/>
    <w:rsid w:val="1B2FB5D0"/>
    <w:rsid w:val="1B9EECBC"/>
    <w:rsid w:val="1BA4B169"/>
    <w:rsid w:val="1BD4881A"/>
    <w:rsid w:val="1BD79E4A"/>
    <w:rsid w:val="1C953C25"/>
    <w:rsid w:val="1CA20863"/>
    <w:rsid w:val="1CB80C1B"/>
    <w:rsid w:val="1CCC25A8"/>
    <w:rsid w:val="1CCC569C"/>
    <w:rsid w:val="1CD5E789"/>
    <w:rsid w:val="1CD8AE40"/>
    <w:rsid w:val="1D005B8A"/>
    <w:rsid w:val="1D10B8A3"/>
    <w:rsid w:val="1D21D72A"/>
    <w:rsid w:val="1D2AE317"/>
    <w:rsid w:val="1D2F1BB9"/>
    <w:rsid w:val="1D306EE0"/>
    <w:rsid w:val="1D437312"/>
    <w:rsid w:val="1D812D74"/>
    <w:rsid w:val="1D8521A9"/>
    <w:rsid w:val="1DA7013F"/>
    <w:rsid w:val="1DADFCA7"/>
    <w:rsid w:val="1DB91F82"/>
    <w:rsid w:val="1DE11D3E"/>
    <w:rsid w:val="1E1EEB89"/>
    <w:rsid w:val="1E524929"/>
    <w:rsid w:val="1E61A3F1"/>
    <w:rsid w:val="1E7F8BDF"/>
    <w:rsid w:val="1E80CBE2"/>
    <w:rsid w:val="1E8B0BEA"/>
    <w:rsid w:val="1EA8662A"/>
    <w:rsid w:val="1EC664E1"/>
    <w:rsid w:val="1EEA3772"/>
    <w:rsid w:val="1EEE242A"/>
    <w:rsid w:val="1F153339"/>
    <w:rsid w:val="1F4B8AA8"/>
    <w:rsid w:val="1F557288"/>
    <w:rsid w:val="1F5D34E0"/>
    <w:rsid w:val="1F613B97"/>
    <w:rsid w:val="1F6A06F7"/>
    <w:rsid w:val="1F7CED9F"/>
    <w:rsid w:val="1FAD41F2"/>
    <w:rsid w:val="1FC9C1FA"/>
    <w:rsid w:val="1FD4A694"/>
    <w:rsid w:val="1FF1403E"/>
    <w:rsid w:val="1FF73CD0"/>
    <w:rsid w:val="1FFC56E9"/>
    <w:rsid w:val="2032D998"/>
    <w:rsid w:val="20380DF8"/>
    <w:rsid w:val="204A8C45"/>
    <w:rsid w:val="2057A406"/>
    <w:rsid w:val="205A766C"/>
    <w:rsid w:val="206D15F4"/>
    <w:rsid w:val="20A39A0E"/>
    <w:rsid w:val="20AD3ED9"/>
    <w:rsid w:val="20CB5734"/>
    <w:rsid w:val="21021D59"/>
    <w:rsid w:val="21057D53"/>
    <w:rsid w:val="21375BD8"/>
    <w:rsid w:val="21663747"/>
    <w:rsid w:val="21996453"/>
    <w:rsid w:val="21C12378"/>
    <w:rsid w:val="21ECCB58"/>
    <w:rsid w:val="220A75CF"/>
    <w:rsid w:val="221F749A"/>
    <w:rsid w:val="223F6A6F"/>
    <w:rsid w:val="225E0615"/>
    <w:rsid w:val="2268E8E5"/>
    <w:rsid w:val="2289A3BE"/>
    <w:rsid w:val="229B648B"/>
    <w:rsid w:val="22A582BB"/>
    <w:rsid w:val="22B48E61"/>
    <w:rsid w:val="22CD1A59"/>
    <w:rsid w:val="23162A0A"/>
    <w:rsid w:val="231783E0"/>
    <w:rsid w:val="231B05F0"/>
    <w:rsid w:val="23242379"/>
    <w:rsid w:val="233DCE8D"/>
    <w:rsid w:val="2345FBD0"/>
    <w:rsid w:val="234AE900"/>
    <w:rsid w:val="235998D1"/>
    <w:rsid w:val="2383820A"/>
    <w:rsid w:val="2384413D"/>
    <w:rsid w:val="239A74DF"/>
    <w:rsid w:val="23A0BBD8"/>
    <w:rsid w:val="23A855B7"/>
    <w:rsid w:val="23AA0A24"/>
    <w:rsid w:val="23BB44FB"/>
    <w:rsid w:val="23C1595C"/>
    <w:rsid w:val="23FBC926"/>
    <w:rsid w:val="2402F7F6"/>
    <w:rsid w:val="24100736"/>
    <w:rsid w:val="24458B7E"/>
    <w:rsid w:val="24658D7A"/>
    <w:rsid w:val="24702B77"/>
    <w:rsid w:val="24732409"/>
    <w:rsid w:val="24C1DCC4"/>
    <w:rsid w:val="24F7022D"/>
    <w:rsid w:val="24FA00FB"/>
    <w:rsid w:val="251738FB"/>
    <w:rsid w:val="25776B8E"/>
    <w:rsid w:val="257F557E"/>
    <w:rsid w:val="25937AB3"/>
    <w:rsid w:val="25A089A7"/>
    <w:rsid w:val="25A4608E"/>
    <w:rsid w:val="25AC7621"/>
    <w:rsid w:val="25DFEA7A"/>
    <w:rsid w:val="25E999FA"/>
    <w:rsid w:val="25F8057C"/>
    <w:rsid w:val="26583010"/>
    <w:rsid w:val="266A1AD0"/>
    <w:rsid w:val="2675345B"/>
    <w:rsid w:val="26883797"/>
    <w:rsid w:val="2694078F"/>
    <w:rsid w:val="26A67E5D"/>
    <w:rsid w:val="26BB63C7"/>
    <w:rsid w:val="26BBBCFF"/>
    <w:rsid w:val="26DBDF07"/>
    <w:rsid w:val="26E57E66"/>
    <w:rsid w:val="26F67585"/>
    <w:rsid w:val="27014EBE"/>
    <w:rsid w:val="2747A092"/>
    <w:rsid w:val="2751E8CC"/>
    <w:rsid w:val="27571A19"/>
    <w:rsid w:val="276001C8"/>
    <w:rsid w:val="2770868F"/>
    <w:rsid w:val="279E35CD"/>
    <w:rsid w:val="279E69BD"/>
    <w:rsid w:val="27A7EADA"/>
    <w:rsid w:val="27BDC140"/>
    <w:rsid w:val="27C270AB"/>
    <w:rsid w:val="27D4115D"/>
    <w:rsid w:val="27E4EAF9"/>
    <w:rsid w:val="28196CF3"/>
    <w:rsid w:val="2845D3C4"/>
    <w:rsid w:val="288EB61E"/>
    <w:rsid w:val="2893A3E9"/>
    <w:rsid w:val="28DE74D2"/>
    <w:rsid w:val="28F26B35"/>
    <w:rsid w:val="28F8E542"/>
    <w:rsid w:val="291F329B"/>
    <w:rsid w:val="29262A9C"/>
    <w:rsid w:val="292B77AF"/>
    <w:rsid w:val="292D642D"/>
    <w:rsid w:val="29585512"/>
    <w:rsid w:val="29836B8F"/>
    <w:rsid w:val="29907CBC"/>
    <w:rsid w:val="299EF7EA"/>
    <w:rsid w:val="29ACF269"/>
    <w:rsid w:val="29E62FE1"/>
    <w:rsid w:val="2A019964"/>
    <w:rsid w:val="2A194BA8"/>
    <w:rsid w:val="2A452C35"/>
    <w:rsid w:val="2A4C9D6A"/>
    <w:rsid w:val="2A5CC54A"/>
    <w:rsid w:val="2A8F4EE1"/>
    <w:rsid w:val="2AC74810"/>
    <w:rsid w:val="2AC80501"/>
    <w:rsid w:val="2AF1716F"/>
    <w:rsid w:val="2AF84DE5"/>
    <w:rsid w:val="2B095216"/>
    <w:rsid w:val="2B11A8B0"/>
    <w:rsid w:val="2B22BC23"/>
    <w:rsid w:val="2B2ECF7B"/>
    <w:rsid w:val="2B42B4BD"/>
    <w:rsid w:val="2B6FE44B"/>
    <w:rsid w:val="2B6FF344"/>
    <w:rsid w:val="2B71FA72"/>
    <w:rsid w:val="2B76429B"/>
    <w:rsid w:val="2B7AFC39"/>
    <w:rsid w:val="2B91827D"/>
    <w:rsid w:val="2B9872FB"/>
    <w:rsid w:val="2BA0228C"/>
    <w:rsid w:val="2C0B1C2E"/>
    <w:rsid w:val="2C22B1BA"/>
    <w:rsid w:val="2C2A0F23"/>
    <w:rsid w:val="2C2D1AF2"/>
    <w:rsid w:val="2C2DB26A"/>
    <w:rsid w:val="2C6D49B7"/>
    <w:rsid w:val="2C880809"/>
    <w:rsid w:val="2CB9AAC9"/>
    <w:rsid w:val="2D017AAC"/>
    <w:rsid w:val="2D073023"/>
    <w:rsid w:val="2D147890"/>
    <w:rsid w:val="2D150885"/>
    <w:rsid w:val="2D21FA2B"/>
    <w:rsid w:val="2D38A051"/>
    <w:rsid w:val="2D47A381"/>
    <w:rsid w:val="2D582CDF"/>
    <w:rsid w:val="2D622741"/>
    <w:rsid w:val="2D71B267"/>
    <w:rsid w:val="2D7E16BF"/>
    <w:rsid w:val="2D8F60FB"/>
    <w:rsid w:val="2D9122EE"/>
    <w:rsid w:val="2DA2DA0D"/>
    <w:rsid w:val="2DA63EB7"/>
    <w:rsid w:val="2DBA1B86"/>
    <w:rsid w:val="2DEBEDE1"/>
    <w:rsid w:val="2DF3BC9B"/>
    <w:rsid w:val="2E0031AC"/>
    <w:rsid w:val="2E2E6AE9"/>
    <w:rsid w:val="2E725824"/>
    <w:rsid w:val="2E7BD72E"/>
    <w:rsid w:val="2E7E412C"/>
    <w:rsid w:val="2EB756CA"/>
    <w:rsid w:val="2ED3B0B8"/>
    <w:rsid w:val="2EDA7B72"/>
    <w:rsid w:val="2F18B0F7"/>
    <w:rsid w:val="2F1B1273"/>
    <w:rsid w:val="2F1DED77"/>
    <w:rsid w:val="2F21CAE6"/>
    <w:rsid w:val="2F2AFC82"/>
    <w:rsid w:val="2F3444A0"/>
    <w:rsid w:val="2F88C0E8"/>
    <w:rsid w:val="2F9FD5A0"/>
    <w:rsid w:val="2FDB2C50"/>
    <w:rsid w:val="305B0A8A"/>
    <w:rsid w:val="3077DECA"/>
    <w:rsid w:val="30811398"/>
    <w:rsid w:val="30841A86"/>
    <w:rsid w:val="30A274F5"/>
    <w:rsid w:val="30A4C94C"/>
    <w:rsid w:val="30B66749"/>
    <w:rsid w:val="30B991E1"/>
    <w:rsid w:val="30C2EA68"/>
    <w:rsid w:val="30D0281D"/>
    <w:rsid w:val="30DF14D1"/>
    <w:rsid w:val="30ED8E21"/>
    <w:rsid w:val="30F17E8C"/>
    <w:rsid w:val="30F7CD50"/>
    <w:rsid w:val="310C0740"/>
    <w:rsid w:val="3165E41C"/>
    <w:rsid w:val="31685DE5"/>
    <w:rsid w:val="316A6430"/>
    <w:rsid w:val="318FAD79"/>
    <w:rsid w:val="31B276B4"/>
    <w:rsid w:val="31CF78C6"/>
    <w:rsid w:val="31D32DC9"/>
    <w:rsid w:val="32114A8E"/>
    <w:rsid w:val="321E20D1"/>
    <w:rsid w:val="3256D8F5"/>
    <w:rsid w:val="32596BA8"/>
    <w:rsid w:val="3272AA3F"/>
    <w:rsid w:val="3280A784"/>
    <w:rsid w:val="3286B6F6"/>
    <w:rsid w:val="32895E82"/>
    <w:rsid w:val="32A4D055"/>
    <w:rsid w:val="32C9A3F0"/>
    <w:rsid w:val="33034382"/>
    <w:rsid w:val="33079ABE"/>
    <w:rsid w:val="33254F5A"/>
    <w:rsid w:val="332E1467"/>
    <w:rsid w:val="334286AC"/>
    <w:rsid w:val="334C6A82"/>
    <w:rsid w:val="33845958"/>
    <w:rsid w:val="33865DBA"/>
    <w:rsid w:val="3394889F"/>
    <w:rsid w:val="339CF105"/>
    <w:rsid w:val="33A45F4B"/>
    <w:rsid w:val="33C34213"/>
    <w:rsid w:val="33D81614"/>
    <w:rsid w:val="33F0CF08"/>
    <w:rsid w:val="33F15E9A"/>
    <w:rsid w:val="3415B04B"/>
    <w:rsid w:val="34451292"/>
    <w:rsid w:val="345B2F65"/>
    <w:rsid w:val="345FEC18"/>
    <w:rsid w:val="34E26D92"/>
    <w:rsid w:val="350AA6AB"/>
    <w:rsid w:val="350B8EFB"/>
    <w:rsid w:val="35263199"/>
    <w:rsid w:val="35305900"/>
    <w:rsid w:val="35394B4E"/>
    <w:rsid w:val="3551363C"/>
    <w:rsid w:val="356239AB"/>
    <w:rsid w:val="357FD98D"/>
    <w:rsid w:val="358D8F58"/>
    <w:rsid w:val="35ADEF21"/>
    <w:rsid w:val="35B188B7"/>
    <w:rsid w:val="35BD818C"/>
    <w:rsid w:val="35C16E96"/>
    <w:rsid w:val="35D53D3B"/>
    <w:rsid w:val="3606F786"/>
    <w:rsid w:val="3611731B"/>
    <w:rsid w:val="36137E07"/>
    <w:rsid w:val="36553CC2"/>
    <w:rsid w:val="365FFC83"/>
    <w:rsid w:val="367AF8D8"/>
    <w:rsid w:val="368B29A8"/>
    <w:rsid w:val="368EAE19"/>
    <w:rsid w:val="369FD9CA"/>
    <w:rsid w:val="36D9493D"/>
    <w:rsid w:val="36E7A9FC"/>
    <w:rsid w:val="36E85F00"/>
    <w:rsid w:val="36FAD19B"/>
    <w:rsid w:val="37090BAA"/>
    <w:rsid w:val="371B747E"/>
    <w:rsid w:val="371B7741"/>
    <w:rsid w:val="371C0C71"/>
    <w:rsid w:val="3728FF5C"/>
    <w:rsid w:val="3733F1CE"/>
    <w:rsid w:val="3754063B"/>
    <w:rsid w:val="375B76F2"/>
    <w:rsid w:val="376A5036"/>
    <w:rsid w:val="376FFA1C"/>
    <w:rsid w:val="3790F694"/>
    <w:rsid w:val="37A58C87"/>
    <w:rsid w:val="37B19628"/>
    <w:rsid w:val="37BD8503"/>
    <w:rsid w:val="37C8D61B"/>
    <w:rsid w:val="37DB52EB"/>
    <w:rsid w:val="37E3C27A"/>
    <w:rsid w:val="3803B628"/>
    <w:rsid w:val="380B5D09"/>
    <w:rsid w:val="3829D607"/>
    <w:rsid w:val="3850C028"/>
    <w:rsid w:val="3853955B"/>
    <w:rsid w:val="385B2106"/>
    <w:rsid w:val="385ED3D1"/>
    <w:rsid w:val="38719A67"/>
    <w:rsid w:val="38A1FC94"/>
    <w:rsid w:val="38BF2A5E"/>
    <w:rsid w:val="38DCBEC1"/>
    <w:rsid w:val="39018915"/>
    <w:rsid w:val="3917F4B6"/>
    <w:rsid w:val="393782B7"/>
    <w:rsid w:val="3977234C"/>
    <w:rsid w:val="39BF56F8"/>
    <w:rsid w:val="39C5D695"/>
    <w:rsid w:val="39C8E8C9"/>
    <w:rsid w:val="39D34EA4"/>
    <w:rsid w:val="39D6354B"/>
    <w:rsid w:val="39ECF41E"/>
    <w:rsid w:val="39F2A372"/>
    <w:rsid w:val="3A0FA733"/>
    <w:rsid w:val="3A2726FF"/>
    <w:rsid w:val="3A33B448"/>
    <w:rsid w:val="3A5CFA09"/>
    <w:rsid w:val="3A688DA4"/>
    <w:rsid w:val="3A9ED845"/>
    <w:rsid w:val="3AA4696B"/>
    <w:rsid w:val="3AA502DC"/>
    <w:rsid w:val="3AA5C4D3"/>
    <w:rsid w:val="3AB25439"/>
    <w:rsid w:val="3AC6827C"/>
    <w:rsid w:val="3ADF966A"/>
    <w:rsid w:val="3AF82466"/>
    <w:rsid w:val="3AFAAC02"/>
    <w:rsid w:val="3AFF67B2"/>
    <w:rsid w:val="3B2C908E"/>
    <w:rsid w:val="3B438440"/>
    <w:rsid w:val="3B5268DC"/>
    <w:rsid w:val="3B5369D6"/>
    <w:rsid w:val="3B59EA0C"/>
    <w:rsid w:val="3B620F5A"/>
    <w:rsid w:val="3B632E15"/>
    <w:rsid w:val="3B6976EF"/>
    <w:rsid w:val="3B6A42CF"/>
    <w:rsid w:val="3B6F1F05"/>
    <w:rsid w:val="3B715D4A"/>
    <w:rsid w:val="3BAA614F"/>
    <w:rsid w:val="3BB64745"/>
    <w:rsid w:val="3BC056C8"/>
    <w:rsid w:val="3BF06013"/>
    <w:rsid w:val="3C045E05"/>
    <w:rsid w:val="3C1556A1"/>
    <w:rsid w:val="3C41B263"/>
    <w:rsid w:val="3C6F9361"/>
    <w:rsid w:val="3C8DB9BE"/>
    <w:rsid w:val="3C935D77"/>
    <w:rsid w:val="3C98ED1D"/>
    <w:rsid w:val="3C9C473E"/>
    <w:rsid w:val="3CD76B72"/>
    <w:rsid w:val="3CFB2CB6"/>
    <w:rsid w:val="3D00083E"/>
    <w:rsid w:val="3D1B45F5"/>
    <w:rsid w:val="3D4DC0ED"/>
    <w:rsid w:val="3D87C058"/>
    <w:rsid w:val="3DD122B2"/>
    <w:rsid w:val="3DD4FA38"/>
    <w:rsid w:val="3E0F2D7F"/>
    <w:rsid w:val="3E11B29D"/>
    <w:rsid w:val="3E16ABB3"/>
    <w:rsid w:val="3E177FAC"/>
    <w:rsid w:val="3E22B89C"/>
    <w:rsid w:val="3E37D177"/>
    <w:rsid w:val="3E38179F"/>
    <w:rsid w:val="3E3A4191"/>
    <w:rsid w:val="3E3FBC69"/>
    <w:rsid w:val="3E41AACA"/>
    <w:rsid w:val="3E52E5A1"/>
    <w:rsid w:val="3E72E250"/>
    <w:rsid w:val="3E794DF6"/>
    <w:rsid w:val="3E7A847C"/>
    <w:rsid w:val="3E9A88D0"/>
    <w:rsid w:val="3EA6BFC7"/>
    <w:rsid w:val="3ECBF4AD"/>
    <w:rsid w:val="3EDCAC41"/>
    <w:rsid w:val="3F0A4AD3"/>
    <w:rsid w:val="3F7FC6C6"/>
    <w:rsid w:val="3F8043DB"/>
    <w:rsid w:val="3F84E2B2"/>
    <w:rsid w:val="3F87363A"/>
    <w:rsid w:val="3FBABFA3"/>
    <w:rsid w:val="3FE1A72B"/>
    <w:rsid w:val="3FF9B7AD"/>
    <w:rsid w:val="40433817"/>
    <w:rsid w:val="4058E526"/>
    <w:rsid w:val="4079E1CB"/>
    <w:rsid w:val="40A45924"/>
    <w:rsid w:val="40B7D953"/>
    <w:rsid w:val="40D33CB8"/>
    <w:rsid w:val="40D7CF28"/>
    <w:rsid w:val="41022039"/>
    <w:rsid w:val="412FF13C"/>
    <w:rsid w:val="41794B8C"/>
    <w:rsid w:val="417A2822"/>
    <w:rsid w:val="41B269DF"/>
    <w:rsid w:val="41D2395E"/>
    <w:rsid w:val="41DAB7EC"/>
    <w:rsid w:val="41EE1062"/>
    <w:rsid w:val="42235ED0"/>
    <w:rsid w:val="42706BF9"/>
    <w:rsid w:val="428AACA9"/>
    <w:rsid w:val="4295F95A"/>
    <w:rsid w:val="42A8964C"/>
    <w:rsid w:val="42C8DD60"/>
    <w:rsid w:val="42CD6733"/>
    <w:rsid w:val="42E4CC71"/>
    <w:rsid w:val="4309AFD8"/>
    <w:rsid w:val="432515C1"/>
    <w:rsid w:val="436A6E3A"/>
    <w:rsid w:val="437DD5EA"/>
    <w:rsid w:val="4381E572"/>
    <w:rsid w:val="43849D93"/>
    <w:rsid w:val="43D44DE7"/>
    <w:rsid w:val="43EF7A15"/>
    <w:rsid w:val="43FB584C"/>
    <w:rsid w:val="441FBC2A"/>
    <w:rsid w:val="44200562"/>
    <w:rsid w:val="444D3135"/>
    <w:rsid w:val="44560F88"/>
    <w:rsid w:val="445A54A4"/>
    <w:rsid w:val="4465DBD9"/>
    <w:rsid w:val="446AE1DF"/>
    <w:rsid w:val="446E8860"/>
    <w:rsid w:val="4494ED6A"/>
    <w:rsid w:val="449DD627"/>
    <w:rsid w:val="44E3AD8C"/>
    <w:rsid w:val="44F318E5"/>
    <w:rsid w:val="4506EC3E"/>
    <w:rsid w:val="4509DA20"/>
    <w:rsid w:val="4523C133"/>
    <w:rsid w:val="454FE3DA"/>
    <w:rsid w:val="4565E187"/>
    <w:rsid w:val="458187C0"/>
    <w:rsid w:val="459F9B22"/>
    <w:rsid w:val="45AB404B"/>
    <w:rsid w:val="45DA5228"/>
    <w:rsid w:val="45E3B218"/>
    <w:rsid w:val="464B6BFB"/>
    <w:rsid w:val="4681CACA"/>
    <w:rsid w:val="468D77E1"/>
    <w:rsid w:val="46A90F08"/>
    <w:rsid w:val="46A9725D"/>
    <w:rsid w:val="4708B5CB"/>
    <w:rsid w:val="47478CB4"/>
    <w:rsid w:val="4765F755"/>
    <w:rsid w:val="47689B21"/>
    <w:rsid w:val="478D9FFC"/>
    <w:rsid w:val="479AAD77"/>
    <w:rsid w:val="479E6E9A"/>
    <w:rsid w:val="47D380D4"/>
    <w:rsid w:val="4801BC67"/>
    <w:rsid w:val="481F802F"/>
    <w:rsid w:val="4823ECFB"/>
    <w:rsid w:val="48386DCF"/>
    <w:rsid w:val="483F14B5"/>
    <w:rsid w:val="48681A61"/>
    <w:rsid w:val="486FFB15"/>
    <w:rsid w:val="4875CC7C"/>
    <w:rsid w:val="487D611B"/>
    <w:rsid w:val="487E6DAC"/>
    <w:rsid w:val="489BFCBC"/>
    <w:rsid w:val="489D0FDC"/>
    <w:rsid w:val="48AA67EB"/>
    <w:rsid w:val="48BE6990"/>
    <w:rsid w:val="49020AB3"/>
    <w:rsid w:val="490E1F01"/>
    <w:rsid w:val="49516704"/>
    <w:rsid w:val="4974F59F"/>
    <w:rsid w:val="497EFCB4"/>
    <w:rsid w:val="49956788"/>
    <w:rsid w:val="49AE4FEE"/>
    <w:rsid w:val="49B5EE7A"/>
    <w:rsid w:val="49B63EA7"/>
    <w:rsid w:val="49CF5F88"/>
    <w:rsid w:val="49E98BF6"/>
    <w:rsid w:val="4A01243E"/>
    <w:rsid w:val="4A0E710E"/>
    <w:rsid w:val="4A1519FC"/>
    <w:rsid w:val="4A3959D4"/>
    <w:rsid w:val="4A39FB1F"/>
    <w:rsid w:val="4A7E19B0"/>
    <w:rsid w:val="4ADA990E"/>
    <w:rsid w:val="4AF19283"/>
    <w:rsid w:val="4AF705AD"/>
    <w:rsid w:val="4AFD1B5E"/>
    <w:rsid w:val="4B0525FE"/>
    <w:rsid w:val="4B419DF9"/>
    <w:rsid w:val="4B4BF04E"/>
    <w:rsid w:val="4B549E2F"/>
    <w:rsid w:val="4B808061"/>
    <w:rsid w:val="4B8FC988"/>
    <w:rsid w:val="4BA79BD7"/>
    <w:rsid w:val="4BB501DD"/>
    <w:rsid w:val="4BF65D1A"/>
    <w:rsid w:val="4C0536E1"/>
    <w:rsid w:val="4C19EA11"/>
    <w:rsid w:val="4C277538"/>
    <w:rsid w:val="4C364F4D"/>
    <w:rsid w:val="4C3B061B"/>
    <w:rsid w:val="4C40C63D"/>
    <w:rsid w:val="4C5CB45B"/>
    <w:rsid w:val="4C5CF87E"/>
    <w:rsid w:val="4C76D56E"/>
    <w:rsid w:val="4C833B3A"/>
    <w:rsid w:val="4CA43089"/>
    <w:rsid w:val="4CB4FB56"/>
    <w:rsid w:val="4CE2EFA0"/>
    <w:rsid w:val="4D05BF7E"/>
    <w:rsid w:val="4D176CF3"/>
    <w:rsid w:val="4D1EA5E6"/>
    <w:rsid w:val="4D66E4DF"/>
    <w:rsid w:val="4DD73A95"/>
    <w:rsid w:val="4DD7DCA5"/>
    <w:rsid w:val="4DDA6CE7"/>
    <w:rsid w:val="4DF0C69E"/>
    <w:rsid w:val="4E505C61"/>
    <w:rsid w:val="4E64BEE0"/>
    <w:rsid w:val="4E8359E1"/>
    <w:rsid w:val="4E97D6E4"/>
    <w:rsid w:val="4E9B44CE"/>
    <w:rsid w:val="4E9E361E"/>
    <w:rsid w:val="4EAD2E79"/>
    <w:rsid w:val="4EADBF13"/>
    <w:rsid w:val="4ED869F6"/>
    <w:rsid w:val="4EDA3E2B"/>
    <w:rsid w:val="4EFDCF0D"/>
    <w:rsid w:val="4F036B06"/>
    <w:rsid w:val="4F1F4B86"/>
    <w:rsid w:val="4F44284E"/>
    <w:rsid w:val="4F49F453"/>
    <w:rsid w:val="4F4B78EF"/>
    <w:rsid w:val="4F5807AA"/>
    <w:rsid w:val="4F67C940"/>
    <w:rsid w:val="4F730AF6"/>
    <w:rsid w:val="4F755F39"/>
    <w:rsid w:val="4F8C96FF"/>
    <w:rsid w:val="4F979D19"/>
    <w:rsid w:val="4FE62E9B"/>
    <w:rsid w:val="4FF0D550"/>
    <w:rsid w:val="500185C7"/>
    <w:rsid w:val="500620EA"/>
    <w:rsid w:val="503DA717"/>
    <w:rsid w:val="506852E9"/>
    <w:rsid w:val="5075780F"/>
    <w:rsid w:val="509B3A51"/>
    <w:rsid w:val="50A2CDEB"/>
    <w:rsid w:val="50A77EDB"/>
    <w:rsid w:val="50BFB0B3"/>
    <w:rsid w:val="50C0FBBA"/>
    <w:rsid w:val="50C901F2"/>
    <w:rsid w:val="50DA067A"/>
    <w:rsid w:val="50EDF2F2"/>
    <w:rsid w:val="50FD634D"/>
    <w:rsid w:val="51286760"/>
    <w:rsid w:val="5138F38E"/>
    <w:rsid w:val="5164DF91"/>
    <w:rsid w:val="517DB584"/>
    <w:rsid w:val="517F53AB"/>
    <w:rsid w:val="5185538C"/>
    <w:rsid w:val="5190B4D9"/>
    <w:rsid w:val="519B93CB"/>
    <w:rsid w:val="519C5FA2"/>
    <w:rsid w:val="51B317E7"/>
    <w:rsid w:val="51C761AD"/>
    <w:rsid w:val="51CBCB03"/>
    <w:rsid w:val="51CD504C"/>
    <w:rsid w:val="51CE9347"/>
    <w:rsid w:val="51D9050A"/>
    <w:rsid w:val="51E3DCAA"/>
    <w:rsid w:val="51EDB710"/>
    <w:rsid w:val="52300278"/>
    <w:rsid w:val="524AF08D"/>
    <w:rsid w:val="52692C24"/>
    <w:rsid w:val="5289C353"/>
    <w:rsid w:val="528CEDBD"/>
    <w:rsid w:val="52936365"/>
    <w:rsid w:val="529C6438"/>
    <w:rsid w:val="529CFD3D"/>
    <w:rsid w:val="529D4D53"/>
    <w:rsid w:val="529ED84E"/>
    <w:rsid w:val="52A1AC48"/>
    <w:rsid w:val="52B11417"/>
    <w:rsid w:val="52F97B80"/>
    <w:rsid w:val="5300000A"/>
    <w:rsid w:val="530EDE60"/>
    <w:rsid w:val="5341CBCA"/>
    <w:rsid w:val="534E1B52"/>
    <w:rsid w:val="534F23B4"/>
    <w:rsid w:val="535E3AAA"/>
    <w:rsid w:val="5368174A"/>
    <w:rsid w:val="536DB867"/>
    <w:rsid w:val="53773157"/>
    <w:rsid w:val="537DD844"/>
    <w:rsid w:val="5395D19A"/>
    <w:rsid w:val="53AB912B"/>
    <w:rsid w:val="53AE9738"/>
    <w:rsid w:val="53B1EBD4"/>
    <w:rsid w:val="53CBD2D9"/>
    <w:rsid w:val="542593B4"/>
    <w:rsid w:val="5448A4E6"/>
    <w:rsid w:val="544FB6B3"/>
    <w:rsid w:val="54547997"/>
    <w:rsid w:val="5456EEC2"/>
    <w:rsid w:val="545B2C9A"/>
    <w:rsid w:val="5468BEF6"/>
    <w:rsid w:val="546DCE8B"/>
    <w:rsid w:val="54828172"/>
    <w:rsid w:val="54AD7371"/>
    <w:rsid w:val="54CEFD9E"/>
    <w:rsid w:val="54D0B9A3"/>
    <w:rsid w:val="54E03875"/>
    <w:rsid w:val="5506D58D"/>
    <w:rsid w:val="550CC6ED"/>
    <w:rsid w:val="5514E2D8"/>
    <w:rsid w:val="552149DC"/>
    <w:rsid w:val="5548E932"/>
    <w:rsid w:val="5566399B"/>
    <w:rsid w:val="556FF91C"/>
    <w:rsid w:val="5574F1F8"/>
    <w:rsid w:val="5582914F"/>
    <w:rsid w:val="55961D53"/>
    <w:rsid w:val="55C5FC5A"/>
    <w:rsid w:val="55DB600C"/>
    <w:rsid w:val="56096FA0"/>
    <w:rsid w:val="5624CA8D"/>
    <w:rsid w:val="562D66F4"/>
    <w:rsid w:val="5656771E"/>
    <w:rsid w:val="565A203D"/>
    <w:rsid w:val="5668C79E"/>
    <w:rsid w:val="5691E711"/>
    <w:rsid w:val="569B0C39"/>
    <w:rsid w:val="569FB80C"/>
    <w:rsid w:val="56A2A5EE"/>
    <w:rsid w:val="56B6DD31"/>
    <w:rsid w:val="56C7CD3D"/>
    <w:rsid w:val="56DB0BE5"/>
    <w:rsid w:val="56F345DD"/>
    <w:rsid w:val="56F92913"/>
    <w:rsid w:val="572A7DF5"/>
    <w:rsid w:val="57348E35"/>
    <w:rsid w:val="573E66BA"/>
    <w:rsid w:val="57D42115"/>
    <w:rsid w:val="5812BF00"/>
    <w:rsid w:val="58329C7F"/>
    <w:rsid w:val="583F492B"/>
    <w:rsid w:val="5844FC34"/>
    <w:rsid w:val="58716FC9"/>
    <w:rsid w:val="5923A479"/>
    <w:rsid w:val="5935BE2F"/>
    <w:rsid w:val="59523427"/>
    <w:rsid w:val="596F52FA"/>
    <w:rsid w:val="59749831"/>
    <w:rsid w:val="5983A267"/>
    <w:rsid w:val="5994C1B5"/>
    <w:rsid w:val="59BD0BCE"/>
    <w:rsid w:val="59E8543A"/>
    <w:rsid w:val="5A050496"/>
    <w:rsid w:val="5A27983D"/>
    <w:rsid w:val="5A461D6F"/>
    <w:rsid w:val="5A5D18FC"/>
    <w:rsid w:val="5A749ECC"/>
    <w:rsid w:val="5A862096"/>
    <w:rsid w:val="5AE33F51"/>
    <w:rsid w:val="5AF21F99"/>
    <w:rsid w:val="5B173E07"/>
    <w:rsid w:val="5B211341"/>
    <w:rsid w:val="5B2E006A"/>
    <w:rsid w:val="5B3A44E3"/>
    <w:rsid w:val="5B4567EF"/>
    <w:rsid w:val="5B51DE7D"/>
    <w:rsid w:val="5B630655"/>
    <w:rsid w:val="5B9C5844"/>
    <w:rsid w:val="5BA6B4AF"/>
    <w:rsid w:val="5BB82AB6"/>
    <w:rsid w:val="5BD3132D"/>
    <w:rsid w:val="5BD71447"/>
    <w:rsid w:val="5C16E745"/>
    <w:rsid w:val="5C274660"/>
    <w:rsid w:val="5C304DA8"/>
    <w:rsid w:val="5C3E942A"/>
    <w:rsid w:val="5C419551"/>
    <w:rsid w:val="5C63714D"/>
    <w:rsid w:val="5C7650E8"/>
    <w:rsid w:val="5C79561E"/>
    <w:rsid w:val="5C85DEB8"/>
    <w:rsid w:val="5C95203E"/>
    <w:rsid w:val="5CA61838"/>
    <w:rsid w:val="5CAFED67"/>
    <w:rsid w:val="5CD06469"/>
    <w:rsid w:val="5CE4D6F3"/>
    <w:rsid w:val="5CFB3A27"/>
    <w:rsid w:val="5D0EF990"/>
    <w:rsid w:val="5D1DC613"/>
    <w:rsid w:val="5D4297E0"/>
    <w:rsid w:val="5D522184"/>
    <w:rsid w:val="5D5B169D"/>
    <w:rsid w:val="5D6C90D2"/>
    <w:rsid w:val="5D939A97"/>
    <w:rsid w:val="5D9B12B2"/>
    <w:rsid w:val="5D9FC3F8"/>
    <w:rsid w:val="5DA00AE0"/>
    <w:rsid w:val="5DB61ABC"/>
    <w:rsid w:val="5DC2CFB4"/>
    <w:rsid w:val="5DE9633F"/>
    <w:rsid w:val="5E41A6AE"/>
    <w:rsid w:val="5E594025"/>
    <w:rsid w:val="5E689628"/>
    <w:rsid w:val="5E7A6908"/>
    <w:rsid w:val="5E7AC625"/>
    <w:rsid w:val="5EC600D3"/>
    <w:rsid w:val="5EC89B05"/>
    <w:rsid w:val="5EF6D8F6"/>
    <w:rsid w:val="5F1D2E02"/>
    <w:rsid w:val="5F2EC130"/>
    <w:rsid w:val="5F5CD140"/>
    <w:rsid w:val="5F61F03E"/>
    <w:rsid w:val="5FA17AC6"/>
    <w:rsid w:val="5FCA4832"/>
    <w:rsid w:val="5FCB6BB1"/>
    <w:rsid w:val="5FD9E0BD"/>
    <w:rsid w:val="5FF11EAF"/>
    <w:rsid w:val="5FFA27C7"/>
    <w:rsid w:val="602CC7C6"/>
    <w:rsid w:val="6036D6F8"/>
    <w:rsid w:val="603CA949"/>
    <w:rsid w:val="60D52067"/>
    <w:rsid w:val="615BB6D9"/>
    <w:rsid w:val="616071EA"/>
    <w:rsid w:val="61B1AC55"/>
    <w:rsid w:val="61C0FCDB"/>
    <w:rsid w:val="6202A68A"/>
    <w:rsid w:val="620EDD1F"/>
    <w:rsid w:val="62231FED"/>
    <w:rsid w:val="62324E1D"/>
    <w:rsid w:val="623917E9"/>
    <w:rsid w:val="62875638"/>
    <w:rsid w:val="629B3436"/>
    <w:rsid w:val="62D1A40C"/>
    <w:rsid w:val="62D58003"/>
    <w:rsid w:val="62E49812"/>
    <w:rsid w:val="631485C7"/>
    <w:rsid w:val="63227B9E"/>
    <w:rsid w:val="633621F6"/>
    <w:rsid w:val="6336BC01"/>
    <w:rsid w:val="63417C5C"/>
    <w:rsid w:val="635BBEEB"/>
    <w:rsid w:val="6367FDC7"/>
    <w:rsid w:val="63752565"/>
    <w:rsid w:val="637A81B3"/>
    <w:rsid w:val="63899E31"/>
    <w:rsid w:val="63EACDC2"/>
    <w:rsid w:val="63F8C770"/>
    <w:rsid w:val="64037192"/>
    <w:rsid w:val="64052FB6"/>
    <w:rsid w:val="6422BC79"/>
    <w:rsid w:val="6425782E"/>
    <w:rsid w:val="642B6351"/>
    <w:rsid w:val="64835C20"/>
    <w:rsid w:val="6483E18B"/>
    <w:rsid w:val="64B05628"/>
    <w:rsid w:val="64C6956F"/>
    <w:rsid w:val="64F78F4C"/>
    <w:rsid w:val="6508ADAA"/>
    <w:rsid w:val="651FD992"/>
    <w:rsid w:val="6537DC89"/>
    <w:rsid w:val="654B638E"/>
    <w:rsid w:val="655D3369"/>
    <w:rsid w:val="658E847B"/>
    <w:rsid w:val="6599288A"/>
    <w:rsid w:val="65B869F2"/>
    <w:rsid w:val="65BDDB8C"/>
    <w:rsid w:val="65EA1F32"/>
    <w:rsid w:val="65F4A9BA"/>
    <w:rsid w:val="6620ADC6"/>
    <w:rsid w:val="6622A0A7"/>
    <w:rsid w:val="66385DD7"/>
    <w:rsid w:val="663E3D8B"/>
    <w:rsid w:val="664B74DE"/>
    <w:rsid w:val="6658619A"/>
    <w:rsid w:val="66A544A4"/>
    <w:rsid w:val="66B22275"/>
    <w:rsid w:val="66DC70C0"/>
    <w:rsid w:val="66E198EE"/>
    <w:rsid w:val="671031DA"/>
    <w:rsid w:val="674B583F"/>
    <w:rsid w:val="676AE0F3"/>
    <w:rsid w:val="67832D41"/>
    <w:rsid w:val="67906936"/>
    <w:rsid w:val="67953FEF"/>
    <w:rsid w:val="67B0DEAC"/>
    <w:rsid w:val="67B0FE50"/>
    <w:rsid w:val="67BD7DE7"/>
    <w:rsid w:val="67C2C0F1"/>
    <w:rsid w:val="67EE6CA5"/>
    <w:rsid w:val="67FA48A6"/>
    <w:rsid w:val="67FA5D7C"/>
    <w:rsid w:val="6824D59F"/>
    <w:rsid w:val="68352AD6"/>
    <w:rsid w:val="6836D53C"/>
    <w:rsid w:val="68617234"/>
    <w:rsid w:val="688B2129"/>
    <w:rsid w:val="68AFD725"/>
    <w:rsid w:val="68DC1BE5"/>
    <w:rsid w:val="68E8A2DC"/>
    <w:rsid w:val="68F47328"/>
    <w:rsid w:val="68FC5F86"/>
    <w:rsid w:val="693D61C9"/>
    <w:rsid w:val="699800F5"/>
    <w:rsid w:val="69B6F59F"/>
    <w:rsid w:val="69EE6E59"/>
    <w:rsid w:val="69F56A1E"/>
    <w:rsid w:val="6A0E096D"/>
    <w:rsid w:val="6A1B0524"/>
    <w:rsid w:val="6A22A509"/>
    <w:rsid w:val="6A230296"/>
    <w:rsid w:val="6A2AD77D"/>
    <w:rsid w:val="6A2D259E"/>
    <w:rsid w:val="6A55BD3F"/>
    <w:rsid w:val="6A681F4A"/>
    <w:rsid w:val="6A96A7FD"/>
    <w:rsid w:val="6AAF8388"/>
    <w:rsid w:val="6AE09F80"/>
    <w:rsid w:val="6AFD2063"/>
    <w:rsid w:val="6B00CD67"/>
    <w:rsid w:val="6B4B0A3D"/>
    <w:rsid w:val="6B704E05"/>
    <w:rsid w:val="6B8D4714"/>
    <w:rsid w:val="6BA71E0D"/>
    <w:rsid w:val="6BA967B8"/>
    <w:rsid w:val="6BBBF30D"/>
    <w:rsid w:val="6C16DCD7"/>
    <w:rsid w:val="6C20A1CD"/>
    <w:rsid w:val="6C2EFD57"/>
    <w:rsid w:val="6C4AB88D"/>
    <w:rsid w:val="6C80BC84"/>
    <w:rsid w:val="6C8AEA97"/>
    <w:rsid w:val="6CA4519F"/>
    <w:rsid w:val="6CAE4D4E"/>
    <w:rsid w:val="6CCFA1B7"/>
    <w:rsid w:val="6CDC4301"/>
    <w:rsid w:val="6D27C9A3"/>
    <w:rsid w:val="6D2D0AE0"/>
    <w:rsid w:val="6D30C8A1"/>
    <w:rsid w:val="6D46D022"/>
    <w:rsid w:val="6D5A9864"/>
    <w:rsid w:val="6D97D5B7"/>
    <w:rsid w:val="6DE4A39A"/>
    <w:rsid w:val="6DE6C45A"/>
    <w:rsid w:val="6E184042"/>
    <w:rsid w:val="6E2878DF"/>
    <w:rsid w:val="6E2DB28C"/>
    <w:rsid w:val="6E2FFC68"/>
    <w:rsid w:val="6E3D28A7"/>
    <w:rsid w:val="6E54755C"/>
    <w:rsid w:val="6EC0927B"/>
    <w:rsid w:val="6EC8DB41"/>
    <w:rsid w:val="6ED9318D"/>
    <w:rsid w:val="6EE58FA8"/>
    <w:rsid w:val="6F1F4640"/>
    <w:rsid w:val="6F3D79C7"/>
    <w:rsid w:val="6F5354A2"/>
    <w:rsid w:val="6F706B28"/>
    <w:rsid w:val="6FE30663"/>
    <w:rsid w:val="7045AB9E"/>
    <w:rsid w:val="704D5E98"/>
    <w:rsid w:val="7064ABA2"/>
    <w:rsid w:val="709E62B7"/>
    <w:rsid w:val="70A16281"/>
    <w:rsid w:val="70A46154"/>
    <w:rsid w:val="70B28F58"/>
    <w:rsid w:val="70B61915"/>
    <w:rsid w:val="70C3C6C5"/>
    <w:rsid w:val="71140F53"/>
    <w:rsid w:val="711AD751"/>
    <w:rsid w:val="71217E53"/>
    <w:rsid w:val="714ADFBC"/>
    <w:rsid w:val="716E8921"/>
    <w:rsid w:val="717D48CB"/>
    <w:rsid w:val="71806AFD"/>
    <w:rsid w:val="718D0D07"/>
    <w:rsid w:val="71CC2EDB"/>
    <w:rsid w:val="71D30928"/>
    <w:rsid w:val="71DC2E66"/>
    <w:rsid w:val="71F3AF64"/>
    <w:rsid w:val="7279D93C"/>
    <w:rsid w:val="727B0A33"/>
    <w:rsid w:val="727D7D56"/>
    <w:rsid w:val="7290E398"/>
    <w:rsid w:val="729F6E2B"/>
    <w:rsid w:val="72C587FB"/>
    <w:rsid w:val="72F26867"/>
    <w:rsid w:val="731E3EAF"/>
    <w:rsid w:val="7327AA43"/>
    <w:rsid w:val="732BB23E"/>
    <w:rsid w:val="73637137"/>
    <w:rsid w:val="736EFB71"/>
    <w:rsid w:val="737962D4"/>
    <w:rsid w:val="738095E9"/>
    <w:rsid w:val="7381AF25"/>
    <w:rsid w:val="73826E00"/>
    <w:rsid w:val="739ED25C"/>
    <w:rsid w:val="73B9129F"/>
    <w:rsid w:val="73C56394"/>
    <w:rsid w:val="73CB8E7F"/>
    <w:rsid w:val="73CED264"/>
    <w:rsid w:val="73E4B35D"/>
    <w:rsid w:val="74057C63"/>
    <w:rsid w:val="740D7327"/>
    <w:rsid w:val="74197DD1"/>
    <w:rsid w:val="7420E70A"/>
    <w:rsid w:val="744A93D1"/>
    <w:rsid w:val="7464298C"/>
    <w:rsid w:val="748B0261"/>
    <w:rsid w:val="749E3172"/>
    <w:rsid w:val="74BB95CF"/>
    <w:rsid w:val="74C28859"/>
    <w:rsid w:val="74F04C8C"/>
    <w:rsid w:val="74F175CC"/>
    <w:rsid w:val="751FDE09"/>
    <w:rsid w:val="753CA1CD"/>
    <w:rsid w:val="7580D530"/>
    <w:rsid w:val="759C0E80"/>
    <w:rsid w:val="75A0C5F8"/>
    <w:rsid w:val="75A2C401"/>
    <w:rsid w:val="75A4102B"/>
    <w:rsid w:val="75A9A22C"/>
    <w:rsid w:val="75C524D6"/>
    <w:rsid w:val="75F892C0"/>
    <w:rsid w:val="7617668D"/>
    <w:rsid w:val="76274042"/>
    <w:rsid w:val="762B23A2"/>
    <w:rsid w:val="762B3215"/>
    <w:rsid w:val="76320D2A"/>
    <w:rsid w:val="7661ED22"/>
    <w:rsid w:val="768F477D"/>
    <w:rsid w:val="77348BA2"/>
    <w:rsid w:val="77408816"/>
    <w:rsid w:val="7769698F"/>
    <w:rsid w:val="77753A56"/>
    <w:rsid w:val="77763D35"/>
    <w:rsid w:val="77994959"/>
    <w:rsid w:val="77B3CC39"/>
    <w:rsid w:val="77BE92A8"/>
    <w:rsid w:val="77E56A51"/>
    <w:rsid w:val="77F91E2E"/>
    <w:rsid w:val="77F9D3BC"/>
    <w:rsid w:val="780BF6AA"/>
    <w:rsid w:val="781A41E4"/>
    <w:rsid w:val="781E4183"/>
    <w:rsid w:val="78398FFC"/>
    <w:rsid w:val="7865962F"/>
    <w:rsid w:val="788D8E9B"/>
    <w:rsid w:val="78904D8B"/>
    <w:rsid w:val="78910575"/>
    <w:rsid w:val="78A156BD"/>
    <w:rsid w:val="78B5F8BB"/>
    <w:rsid w:val="78C04C67"/>
    <w:rsid w:val="78CB4019"/>
    <w:rsid w:val="78E6AB21"/>
    <w:rsid w:val="790539F0"/>
    <w:rsid w:val="794D45FF"/>
    <w:rsid w:val="79509212"/>
    <w:rsid w:val="798F59A4"/>
    <w:rsid w:val="79935C1B"/>
    <w:rsid w:val="79955592"/>
    <w:rsid w:val="7A05390D"/>
    <w:rsid w:val="7A073A46"/>
    <w:rsid w:val="7A2C8C92"/>
    <w:rsid w:val="7A2CF813"/>
    <w:rsid w:val="7A4248F5"/>
    <w:rsid w:val="7A4B9937"/>
    <w:rsid w:val="7A4C9CDC"/>
    <w:rsid w:val="7A58358D"/>
    <w:rsid w:val="7A5DAB43"/>
    <w:rsid w:val="7A9A36C0"/>
    <w:rsid w:val="7AB12A35"/>
    <w:rsid w:val="7ABC1712"/>
    <w:rsid w:val="7ADCC6EC"/>
    <w:rsid w:val="7ADE5F06"/>
    <w:rsid w:val="7AF0DCD1"/>
    <w:rsid w:val="7AF44B91"/>
    <w:rsid w:val="7B107B65"/>
    <w:rsid w:val="7B2B16DA"/>
    <w:rsid w:val="7B30BEF0"/>
    <w:rsid w:val="7B38F5E2"/>
    <w:rsid w:val="7B40357D"/>
    <w:rsid w:val="7B73FAE0"/>
    <w:rsid w:val="7B8B63C4"/>
    <w:rsid w:val="7B9B28B9"/>
    <w:rsid w:val="7BB13B85"/>
    <w:rsid w:val="7BBD51D5"/>
    <w:rsid w:val="7C277C1F"/>
    <w:rsid w:val="7C287085"/>
    <w:rsid w:val="7C3466A0"/>
    <w:rsid w:val="7C3F4860"/>
    <w:rsid w:val="7C3F8703"/>
    <w:rsid w:val="7C4CC33B"/>
    <w:rsid w:val="7C4F83B3"/>
    <w:rsid w:val="7C626C06"/>
    <w:rsid w:val="7C807743"/>
    <w:rsid w:val="7C86CD0A"/>
    <w:rsid w:val="7CBD4CB8"/>
    <w:rsid w:val="7CC1BDA7"/>
    <w:rsid w:val="7CCAD18E"/>
    <w:rsid w:val="7CDCB6A8"/>
    <w:rsid w:val="7CE5B46E"/>
    <w:rsid w:val="7CEC8AA8"/>
    <w:rsid w:val="7CFE29CE"/>
    <w:rsid w:val="7D065A0F"/>
    <w:rsid w:val="7D53A59F"/>
    <w:rsid w:val="7D60FFBE"/>
    <w:rsid w:val="7D65F9A8"/>
    <w:rsid w:val="7D7CD963"/>
    <w:rsid w:val="7D821E3A"/>
    <w:rsid w:val="7D862FDE"/>
    <w:rsid w:val="7DD35137"/>
    <w:rsid w:val="7DF425F2"/>
    <w:rsid w:val="7DF95A59"/>
    <w:rsid w:val="7E16C84D"/>
    <w:rsid w:val="7E257A62"/>
    <w:rsid w:val="7E2C31C8"/>
    <w:rsid w:val="7E654752"/>
    <w:rsid w:val="7E684225"/>
    <w:rsid w:val="7EC5FABC"/>
    <w:rsid w:val="7ED2B2C5"/>
    <w:rsid w:val="7EDF59D0"/>
    <w:rsid w:val="7F2387E7"/>
    <w:rsid w:val="7F65970F"/>
    <w:rsid w:val="7F6F7397"/>
    <w:rsid w:val="7F952ABA"/>
    <w:rsid w:val="7FB58638"/>
    <w:rsid w:val="7FB999A1"/>
    <w:rsid w:val="7FDEC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83010"/>
  <w15:docId w15:val="{EB0EBB01-37E1-40E5-82DF-F82B91B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1BD1"/>
    <w:rPr>
      <w:b/>
      <w:bCs/>
    </w:rPr>
  </w:style>
  <w:style w:type="character" w:customStyle="1" w:styleId="CommentSubjectChar">
    <w:name w:val="Comment Subject Char"/>
    <w:basedOn w:val="CommentTextChar"/>
    <w:link w:val="CommentSubject"/>
    <w:uiPriority w:val="99"/>
    <w:semiHidden/>
    <w:rsid w:val="008F1BD1"/>
    <w:rPr>
      <w:b/>
      <w:bCs/>
      <w:sz w:val="20"/>
      <w:szCs w:val="20"/>
    </w:rPr>
  </w:style>
  <w:style w:type="paragraph" w:styleId="Revision">
    <w:name w:val="Revision"/>
    <w:hidden/>
    <w:uiPriority w:val="99"/>
    <w:semiHidden/>
    <w:rsid w:val="000152CF"/>
    <w:pPr>
      <w:spacing w:after="0" w:line="240" w:lineRule="auto"/>
    </w:pPr>
  </w:style>
  <w:style w:type="paragraph" w:customStyle="1" w:styleId="pf0">
    <w:name w:val="pf0"/>
    <w:basedOn w:val="Normal"/>
    <w:rsid w:val="00D7146F"/>
    <w:pPr>
      <w:spacing w:before="100" w:beforeAutospacing="1" w:after="100" w:afterAutospacing="1" w:line="240" w:lineRule="auto"/>
    </w:pPr>
    <w:rPr>
      <w:rFonts w:ascii="Times New Roman" w:eastAsia="Times New Roman" w:hAnsi="Times New Roman" w:cs="Times New Roman"/>
      <w:lang w:eastAsia="en-IE"/>
    </w:rPr>
  </w:style>
  <w:style w:type="character" w:customStyle="1" w:styleId="cf01">
    <w:name w:val="cf01"/>
    <w:basedOn w:val="DefaultParagraphFont"/>
    <w:rsid w:val="00D7146F"/>
    <w:rPr>
      <w:rFonts w:ascii="Segoe UI" w:hAnsi="Segoe UI" w:cs="Segoe UI" w:hint="default"/>
      <w:sz w:val="18"/>
      <w:szCs w:val="18"/>
    </w:rPr>
  </w:style>
  <w:style w:type="character" w:customStyle="1" w:styleId="normaltextrun">
    <w:name w:val="normaltextrun"/>
    <w:basedOn w:val="DefaultParagraphFont"/>
    <w:rsid w:val="00C352BC"/>
  </w:style>
  <w:style w:type="paragraph" w:styleId="FootnoteText">
    <w:name w:val="footnote text"/>
    <w:aliases w:val="Char,Fußnote,Carattere,fn,Footnotes,Footnote ak,Footnote Text Char Char,fn Char Char,footnote text Char Char,Footnotes Char Char,Footnote ak Char Char,fn Char1,footnote text Char1,Footnotes Char1,ft"/>
    <w:basedOn w:val="Normal"/>
    <w:link w:val="FootnoteTextChar"/>
    <w:semiHidden/>
    <w:unhideWhenUsed/>
    <w:qFormat/>
    <w:rsid w:val="006325A1"/>
    <w:pPr>
      <w:spacing w:after="0" w:line="240" w:lineRule="auto"/>
    </w:pPr>
    <w:rPr>
      <w:rFonts w:eastAsiaTheme="minorHAnsi"/>
      <w:sz w:val="20"/>
      <w:szCs w:val="20"/>
      <w:lang w:eastAsia="en-US"/>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semiHidden/>
    <w:rsid w:val="006325A1"/>
    <w:rPr>
      <w:rFonts w:eastAsiaTheme="minorHAnsi"/>
      <w:sz w:val="20"/>
      <w:szCs w:val="20"/>
      <w:lang w:val="fr-FR" w:eastAsia="en-US"/>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
    <w:basedOn w:val="DefaultParagraphFont"/>
    <w:unhideWhenUsed/>
    <w:qFormat/>
    <w:rsid w:val="006325A1"/>
    <w:rPr>
      <w:vertAlign w:val="superscript"/>
    </w:rPr>
  </w:style>
  <w:style w:type="paragraph" w:styleId="Header">
    <w:name w:val="header"/>
    <w:basedOn w:val="Normal"/>
    <w:link w:val="HeaderChar"/>
    <w:uiPriority w:val="99"/>
    <w:unhideWhenUsed/>
    <w:rsid w:val="00CD3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CA"/>
  </w:style>
  <w:style w:type="paragraph" w:styleId="Footer">
    <w:name w:val="footer"/>
    <w:basedOn w:val="Normal"/>
    <w:link w:val="FooterChar"/>
    <w:uiPriority w:val="99"/>
    <w:unhideWhenUsed/>
    <w:rsid w:val="00CD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CA"/>
  </w:style>
  <w:style w:type="character" w:styleId="UnresolvedMention">
    <w:name w:val="Unresolved Mention"/>
    <w:basedOn w:val="DefaultParagraphFont"/>
    <w:uiPriority w:val="99"/>
    <w:semiHidden/>
    <w:unhideWhenUsed/>
    <w:rsid w:val="0049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030">
      <w:bodyDiv w:val="1"/>
      <w:marLeft w:val="0"/>
      <w:marRight w:val="0"/>
      <w:marTop w:val="0"/>
      <w:marBottom w:val="0"/>
      <w:divBdr>
        <w:top w:val="none" w:sz="0" w:space="0" w:color="auto"/>
        <w:left w:val="none" w:sz="0" w:space="0" w:color="auto"/>
        <w:bottom w:val="none" w:sz="0" w:space="0" w:color="auto"/>
        <w:right w:val="none" w:sz="0" w:space="0" w:color="auto"/>
      </w:divBdr>
    </w:div>
    <w:div w:id="165366251">
      <w:bodyDiv w:val="1"/>
      <w:marLeft w:val="0"/>
      <w:marRight w:val="0"/>
      <w:marTop w:val="0"/>
      <w:marBottom w:val="0"/>
      <w:divBdr>
        <w:top w:val="none" w:sz="0" w:space="0" w:color="auto"/>
        <w:left w:val="none" w:sz="0" w:space="0" w:color="auto"/>
        <w:bottom w:val="none" w:sz="0" w:space="0" w:color="auto"/>
        <w:right w:val="none" w:sz="0" w:space="0" w:color="auto"/>
      </w:divBdr>
    </w:div>
    <w:div w:id="1629780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998F76B226B408389BD24B25049DA" ma:contentTypeVersion="6" ma:contentTypeDescription="Create a new document." ma:contentTypeScope="" ma:versionID="398574ba5d51fb78833149ce3d9df3a7">
  <xsd:schema xmlns:xsd="http://www.w3.org/2001/XMLSchema" xmlns:xs="http://www.w3.org/2001/XMLSchema" xmlns:p="http://schemas.microsoft.com/office/2006/metadata/properties" xmlns:ns2="0404e7c2-8d3a-4ada-a8b4-f0c307b12f88" xmlns:ns3="3d773fd8-5df6-4e26-b464-76be9c5c7a6f" targetNamespace="http://schemas.microsoft.com/office/2006/metadata/properties" ma:root="true" ma:fieldsID="ab7461111ce9ea2e660c0a6839e4beb3" ns2:_="" ns3:_="">
    <xsd:import namespace="0404e7c2-8d3a-4ada-a8b4-f0c307b12f88"/>
    <xsd:import namespace="3d773fd8-5df6-4e26-b464-76be9c5c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7c2-8d3a-4ada-a8b4-f0c307b1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73fd8-5df6-4e26-b464-76be9c5c7a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BC137F-C1D7-4965-BD50-F45CCDB7C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7c2-8d3a-4ada-a8b4-f0c307b12f88"/>
    <ds:schemaRef ds:uri="3d773fd8-5df6-4e26-b464-76be9c5c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2B631-3BE9-45D5-9506-6226892FAB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DC348C-A725-41CE-AA99-317FD7A83450}">
  <ds:schemaRefs>
    <ds:schemaRef ds:uri="http://schemas.openxmlformats.org/officeDocument/2006/bibliography"/>
  </ds:schemaRefs>
</ds:datastoreItem>
</file>

<file path=customXml/itemProps4.xml><?xml version="1.0" encoding="utf-8"?>
<ds:datastoreItem xmlns:ds="http://schemas.openxmlformats.org/officeDocument/2006/customXml" ds:itemID="{1D0B3BE6-D39A-4F4E-BD19-5CD2EA4F6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4352</Words>
  <Characters>25029</Characters>
  <Application>Microsoft Office Word</Application>
  <DocSecurity>0</DocSecurity>
  <Lines>329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Una (BUDG)</dc:creator>
  <cp:keywords/>
  <dc:description/>
  <cp:lastModifiedBy>DELBAER Gerda (SG)</cp:lastModifiedBy>
  <cp:revision>2</cp:revision>
  <dcterms:created xsi:type="dcterms:W3CDTF">2024-06-27T07:01:00Z</dcterms:created>
  <dcterms:modified xsi:type="dcterms:W3CDTF">2024-06-27T07:01:00Z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2024-01-25T13:25:01Z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2ede90d1-7925-4445-a912-8bb767281e48</vt:lpwstr>
  </property>
  <property fmtid="{D5CDD505-2E9C-101B-9397-08002B2CF9AE}" pid="8" name="MSIP_Label_6bd9ddd1-4d20-43f6-abfa-fc3c07406f94_ContentBits">
    <vt:lpwstr>0</vt:lpwstr>
  </property>
  <property fmtid="{D5CDD505-2E9C-101B-9397-08002B2CF9AE}" pid="9" name="ContentTypeId">
    <vt:lpwstr>0x0101009B9998F76B226B408389BD24B25049DA</vt:lpwstr>
  </property>
</Properties>
</file>