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93BB" w14:textId="322D3D3B" w:rsidR="00302387" w:rsidRPr="00302387" w:rsidRDefault="00302387" w:rsidP="00302387">
      <w:pPr>
        <w:spacing w:after="600" w:line="240" w:lineRule="auto"/>
        <w:jc w:val="center"/>
        <w:rPr>
          <w:rFonts w:eastAsia="Times New Roman" w:cs="Times New Roman"/>
          <w:b/>
          <w:bCs/>
          <w:szCs w:val="24"/>
          <w:lang w:eastAsia="en-GB"/>
        </w:rPr>
      </w:pPr>
      <w:bookmarkStart w:id="0" w:name="humanitarian"/>
      <w:bookmarkStart w:id="1" w:name="Cancer"/>
      <w:r w:rsidRPr="00302387">
        <w:rPr>
          <w:rFonts w:eastAsia="Times New Roman" w:cs="Times New Roman"/>
          <w:b/>
          <w:szCs w:val="24"/>
          <w:lang w:eastAsia="en-GB"/>
        </w:rPr>
        <w:t xml:space="preserve">Follow-up to the European Parliament non-legislative resolution </w:t>
      </w:r>
      <w:bookmarkEnd w:id="0"/>
      <w:bookmarkEnd w:id="1"/>
      <w:r w:rsidR="00E7784B" w:rsidRPr="00E7784B">
        <w:rPr>
          <w:rFonts w:eastAsia="Times New Roman" w:cs="Times New Roman"/>
          <w:b/>
          <w:bCs/>
          <w:szCs w:val="24"/>
          <w:lang w:eastAsia="en-GB"/>
        </w:rPr>
        <w:t xml:space="preserve">on the implementation of Regulation (EC) No 1924/2006 on nutrition and health claims made on </w:t>
      </w:r>
      <w:proofErr w:type="gramStart"/>
      <w:r w:rsidR="00E7784B" w:rsidRPr="00E7784B">
        <w:rPr>
          <w:rFonts w:eastAsia="Times New Roman" w:cs="Times New Roman"/>
          <w:b/>
          <w:bCs/>
          <w:szCs w:val="24"/>
          <w:lang w:eastAsia="en-GB"/>
        </w:rPr>
        <w:t>foods</w:t>
      </w:r>
      <w:proofErr w:type="gramEnd"/>
    </w:p>
    <w:p w14:paraId="31143CE2" w14:textId="2A8E45F9" w:rsidR="00302387" w:rsidRPr="00E7784B" w:rsidRDefault="00302387" w:rsidP="00302387">
      <w:pPr>
        <w:spacing w:after="240" w:line="240" w:lineRule="auto"/>
        <w:jc w:val="both"/>
        <w:rPr>
          <w:rFonts w:eastAsia="Times New Roman" w:cs="Times New Roman"/>
          <w:i/>
          <w:szCs w:val="24"/>
          <w:lang w:val="fr-BE" w:eastAsia="en-GB"/>
        </w:rPr>
      </w:pPr>
      <w:r w:rsidRPr="00E7784B">
        <w:rPr>
          <w:rFonts w:eastAsia="Times New Roman" w:cs="Times New Roman"/>
          <w:b/>
          <w:szCs w:val="24"/>
          <w:lang w:val="fr-BE" w:eastAsia="en-GB"/>
        </w:rPr>
        <w:t>1.</w:t>
      </w:r>
      <w:r w:rsidRPr="00E7784B">
        <w:rPr>
          <w:rFonts w:eastAsia="Times New Roman" w:cs="Times New Roman"/>
          <w:b/>
          <w:szCs w:val="24"/>
          <w:lang w:val="fr-BE" w:eastAsia="en-GB"/>
        </w:rPr>
        <w:tab/>
      </w:r>
      <w:proofErr w:type="gramStart"/>
      <w:r w:rsidRPr="00E7784B">
        <w:rPr>
          <w:rFonts w:eastAsia="Times New Roman" w:cs="Times New Roman"/>
          <w:b/>
          <w:szCs w:val="24"/>
          <w:lang w:val="fr-BE" w:eastAsia="en-GB"/>
        </w:rPr>
        <w:t>Rapporteur:</w:t>
      </w:r>
      <w:proofErr w:type="gramEnd"/>
      <w:r w:rsidRPr="00161841">
        <w:rPr>
          <w:rFonts w:eastAsia="Times New Roman" w:cs="Times New Roman"/>
          <w:szCs w:val="20"/>
          <w:lang w:val="fr-BE" w:eastAsia="en-GB"/>
        </w:rPr>
        <w:t xml:space="preserve"> </w:t>
      </w:r>
      <w:r w:rsidR="003832E0" w:rsidRPr="00E7784B">
        <w:rPr>
          <w:rFonts w:eastAsia="Times New Roman" w:cs="Times New Roman"/>
          <w:color w:val="1E1E1F"/>
          <w:szCs w:val="24"/>
          <w:shd w:val="clear" w:color="auto" w:fill="FFFFFF"/>
          <w:lang w:val="fr-BE" w:eastAsia="en-GB"/>
        </w:rPr>
        <w:t>Tilly METZ</w:t>
      </w:r>
      <w:r w:rsidRPr="00E7784B">
        <w:rPr>
          <w:rFonts w:eastAsia="Times New Roman" w:cs="Times New Roman"/>
          <w:color w:val="1E1E1F"/>
          <w:szCs w:val="24"/>
          <w:shd w:val="clear" w:color="auto" w:fill="FFFFFF"/>
          <w:lang w:val="fr-BE" w:eastAsia="en-GB"/>
        </w:rPr>
        <w:t xml:space="preserve"> </w:t>
      </w:r>
      <w:r w:rsidR="003832E0" w:rsidRPr="00E7784B">
        <w:rPr>
          <w:rFonts w:eastAsia="Times New Roman" w:cs="Times New Roman"/>
          <w:color w:val="1E1E1F"/>
          <w:szCs w:val="24"/>
          <w:shd w:val="clear" w:color="auto" w:fill="FFFFFF"/>
          <w:lang w:val="fr-BE" w:eastAsia="en-GB"/>
        </w:rPr>
        <w:t>(Greens</w:t>
      </w:r>
      <w:r w:rsidR="00E7784B" w:rsidRPr="00E7784B">
        <w:rPr>
          <w:rFonts w:eastAsia="Times New Roman" w:cs="Times New Roman"/>
          <w:color w:val="1E1E1F"/>
          <w:szCs w:val="24"/>
          <w:shd w:val="clear" w:color="auto" w:fill="FFFFFF"/>
          <w:lang w:val="fr-BE" w:eastAsia="en-GB"/>
        </w:rPr>
        <w:t>/EFA</w:t>
      </w:r>
      <w:r w:rsidRPr="00E7784B">
        <w:rPr>
          <w:rFonts w:eastAsia="Times New Roman" w:cs="Times New Roman"/>
          <w:color w:val="1E1E1F"/>
          <w:szCs w:val="24"/>
          <w:shd w:val="clear" w:color="auto" w:fill="FFFFFF"/>
          <w:lang w:val="fr-BE" w:eastAsia="en-GB"/>
        </w:rPr>
        <w:t xml:space="preserve"> / </w:t>
      </w:r>
      <w:r w:rsidR="003832E0" w:rsidRPr="00E7784B">
        <w:rPr>
          <w:rFonts w:eastAsia="Times New Roman" w:cs="Times New Roman"/>
          <w:color w:val="1E1E1F"/>
          <w:szCs w:val="24"/>
          <w:shd w:val="clear" w:color="auto" w:fill="FFFFFF"/>
          <w:lang w:val="fr-BE" w:eastAsia="en-GB"/>
        </w:rPr>
        <w:t>LU</w:t>
      </w:r>
      <w:r w:rsidRPr="00E7784B">
        <w:rPr>
          <w:rFonts w:eastAsia="Times New Roman" w:cs="Times New Roman"/>
          <w:color w:val="1E1E1F"/>
          <w:szCs w:val="24"/>
          <w:shd w:val="clear" w:color="auto" w:fill="FFFFFF"/>
          <w:lang w:val="fr-BE" w:eastAsia="en-GB"/>
        </w:rPr>
        <w:t>)</w:t>
      </w:r>
    </w:p>
    <w:p w14:paraId="70707CAB" w14:textId="7087F44C" w:rsidR="00302387" w:rsidRPr="00462732" w:rsidRDefault="00302387" w:rsidP="00302387">
      <w:pPr>
        <w:spacing w:after="240" w:line="240" w:lineRule="auto"/>
        <w:jc w:val="both"/>
        <w:rPr>
          <w:rFonts w:eastAsia="Times New Roman" w:cs="Times New Roman"/>
          <w:b/>
          <w:bCs/>
          <w:i/>
          <w:szCs w:val="24"/>
          <w:lang w:eastAsia="en-GB"/>
        </w:rPr>
      </w:pPr>
      <w:r w:rsidRPr="00302387">
        <w:rPr>
          <w:rFonts w:eastAsia="Times New Roman" w:cs="Times New Roman"/>
          <w:b/>
          <w:szCs w:val="24"/>
          <w:lang w:eastAsia="en-GB"/>
        </w:rPr>
        <w:t>2.</w:t>
      </w:r>
      <w:r w:rsidRPr="00302387">
        <w:rPr>
          <w:rFonts w:eastAsia="Times New Roman" w:cs="Times New Roman"/>
          <w:b/>
          <w:szCs w:val="24"/>
          <w:lang w:eastAsia="en-GB"/>
        </w:rPr>
        <w:tab/>
        <w:t>Reference number</w:t>
      </w:r>
      <w:r w:rsidR="00A47510">
        <w:rPr>
          <w:rFonts w:eastAsia="Times New Roman" w:cs="Times New Roman"/>
          <w:b/>
          <w:szCs w:val="24"/>
          <w:lang w:eastAsia="en-GB"/>
        </w:rPr>
        <w:t>s</w:t>
      </w:r>
      <w:r w:rsidRPr="00302387">
        <w:rPr>
          <w:rFonts w:eastAsia="Times New Roman" w:cs="Times New Roman"/>
          <w:b/>
          <w:szCs w:val="24"/>
          <w:lang w:eastAsia="en-GB"/>
        </w:rPr>
        <w:t xml:space="preserve">: </w:t>
      </w:r>
      <w:r w:rsidR="003832E0">
        <w:rPr>
          <w:noProof/>
        </w:rPr>
        <w:t xml:space="preserve">2023/2081 (INI) </w:t>
      </w:r>
      <w:r w:rsidRPr="003832E0">
        <w:rPr>
          <w:rFonts w:eastAsia="Times New Roman" w:cs="Times New Roman"/>
          <w:b/>
          <w:bCs/>
          <w:szCs w:val="20"/>
          <w:lang w:eastAsia="en-GB"/>
        </w:rPr>
        <w:t>/</w:t>
      </w:r>
      <w:r w:rsidRPr="00E7784B">
        <w:rPr>
          <w:rFonts w:eastAsia="Times New Roman" w:cs="Times New Roman"/>
          <w:szCs w:val="20"/>
          <w:lang w:eastAsia="en-GB"/>
        </w:rPr>
        <w:t xml:space="preserve"> </w:t>
      </w:r>
      <w:r w:rsidR="003832E0" w:rsidRPr="003E09BB">
        <w:rPr>
          <w:noProof/>
          <w:lang w:val="en-IE"/>
        </w:rPr>
        <w:t>A9-0416/2023</w:t>
      </w:r>
      <w:r w:rsidR="003832E0" w:rsidRPr="003E09BB">
        <w:rPr>
          <w:lang w:val="en-IE"/>
        </w:rPr>
        <w:t xml:space="preserve"> </w:t>
      </w:r>
      <w:r w:rsidRPr="003832E0">
        <w:rPr>
          <w:rFonts w:eastAsia="Times New Roman" w:cs="Times New Roman"/>
          <w:b/>
          <w:bCs/>
          <w:szCs w:val="20"/>
          <w:lang w:eastAsia="en-GB"/>
        </w:rPr>
        <w:t>/</w:t>
      </w:r>
      <w:r w:rsidRPr="00860EBF">
        <w:rPr>
          <w:rFonts w:eastAsia="Times New Roman" w:cs="Times New Roman"/>
          <w:szCs w:val="20"/>
          <w:lang w:eastAsia="en-GB"/>
        </w:rPr>
        <w:t xml:space="preserve"> </w:t>
      </w:r>
      <w:r w:rsidR="003832E0" w:rsidRPr="003832E0">
        <w:t>P9_</w:t>
      </w:r>
      <w:proofErr w:type="gramStart"/>
      <w:r w:rsidR="003832E0" w:rsidRPr="003832E0">
        <w:t>TA(</w:t>
      </w:r>
      <w:proofErr w:type="gramEnd"/>
      <w:r w:rsidR="003832E0" w:rsidRPr="003832E0">
        <w:t>2024)0040</w:t>
      </w:r>
    </w:p>
    <w:p w14:paraId="266BB2C5" w14:textId="1289FBAE" w:rsidR="00302387" w:rsidRPr="00302387" w:rsidRDefault="00302387" w:rsidP="00302387">
      <w:pPr>
        <w:spacing w:after="240" w:line="240" w:lineRule="auto"/>
        <w:jc w:val="both"/>
        <w:rPr>
          <w:rFonts w:eastAsia="Times New Roman" w:cs="Times New Roman"/>
          <w:szCs w:val="24"/>
          <w:lang w:eastAsia="en-GB"/>
        </w:rPr>
      </w:pPr>
      <w:r w:rsidRPr="00302387">
        <w:rPr>
          <w:rFonts w:eastAsia="Times New Roman" w:cs="Times New Roman"/>
          <w:b/>
          <w:szCs w:val="24"/>
          <w:lang w:eastAsia="en-GB"/>
        </w:rPr>
        <w:t>3.</w:t>
      </w:r>
      <w:r w:rsidRPr="00302387">
        <w:rPr>
          <w:rFonts w:eastAsia="Times New Roman" w:cs="Times New Roman"/>
          <w:b/>
          <w:szCs w:val="24"/>
          <w:lang w:eastAsia="en-GB"/>
        </w:rPr>
        <w:tab/>
        <w:t>Date of adoption of the resolution:</w:t>
      </w:r>
      <w:r w:rsidRPr="00302387">
        <w:rPr>
          <w:rFonts w:eastAsia="Times New Roman" w:cs="Times New Roman"/>
          <w:szCs w:val="24"/>
          <w:lang w:eastAsia="en-GB"/>
        </w:rPr>
        <w:t xml:space="preserve"> </w:t>
      </w:r>
      <w:r w:rsidR="003832E0" w:rsidRPr="003832E0">
        <w:rPr>
          <w:rFonts w:eastAsia="Times New Roman" w:cs="Times New Roman"/>
          <w:szCs w:val="24"/>
          <w:lang w:eastAsia="en-GB"/>
        </w:rPr>
        <w:t>18 January 2024</w:t>
      </w:r>
    </w:p>
    <w:p w14:paraId="0CB5F2C8" w14:textId="77777777" w:rsidR="00302387" w:rsidRPr="00302387" w:rsidRDefault="00302387" w:rsidP="00302387">
      <w:pPr>
        <w:spacing w:after="240" w:line="240" w:lineRule="auto"/>
        <w:ind w:left="720" w:hanging="720"/>
        <w:jc w:val="both"/>
        <w:rPr>
          <w:rFonts w:eastAsia="Times New Roman" w:cs="Times New Roman"/>
          <w:i/>
          <w:szCs w:val="24"/>
          <w:lang w:eastAsia="en-GB"/>
        </w:rPr>
      </w:pPr>
      <w:r w:rsidRPr="00302387">
        <w:rPr>
          <w:rFonts w:eastAsia="Times New Roman" w:cs="Times New Roman"/>
          <w:b/>
          <w:szCs w:val="24"/>
          <w:lang w:eastAsia="en-GB"/>
        </w:rPr>
        <w:t>4.</w:t>
      </w:r>
      <w:r w:rsidRPr="00302387">
        <w:rPr>
          <w:rFonts w:eastAsia="Times New Roman" w:cs="Times New Roman"/>
          <w:b/>
          <w:szCs w:val="24"/>
          <w:lang w:eastAsia="en-GB"/>
        </w:rPr>
        <w:tab/>
        <w:t xml:space="preserve">Competent Parliamentary Committee: </w:t>
      </w:r>
      <w:r w:rsidR="00462732" w:rsidRPr="00462732">
        <w:rPr>
          <w:rFonts w:eastAsia="Times New Roman" w:cs="Times New Roman"/>
          <w:bCs/>
          <w:szCs w:val="24"/>
          <w:lang w:eastAsia="en-GB"/>
        </w:rPr>
        <w:t>Subcommittee on Public Health</w:t>
      </w:r>
      <w:r w:rsidR="00462732">
        <w:rPr>
          <w:rFonts w:eastAsia="Times New Roman" w:cs="Times New Roman"/>
          <w:bCs/>
          <w:szCs w:val="24"/>
          <w:lang w:eastAsia="en-GB"/>
        </w:rPr>
        <w:t xml:space="preserve"> (</w:t>
      </w:r>
      <w:r w:rsidR="00462732" w:rsidRPr="00462732">
        <w:rPr>
          <w:rFonts w:eastAsia="Times New Roman" w:cs="Times New Roman"/>
          <w:bCs/>
          <w:szCs w:val="24"/>
          <w:lang w:eastAsia="en-GB"/>
        </w:rPr>
        <w:t>SANT</w:t>
      </w:r>
      <w:r w:rsidR="00462732">
        <w:rPr>
          <w:rFonts w:eastAsia="Times New Roman" w:cs="Times New Roman"/>
          <w:bCs/>
          <w:szCs w:val="24"/>
          <w:lang w:eastAsia="en-GB"/>
        </w:rPr>
        <w:t>)</w:t>
      </w:r>
    </w:p>
    <w:p w14:paraId="2B3ACC8D" w14:textId="3B4FB958" w:rsidR="00462732" w:rsidRDefault="00302387" w:rsidP="00302387">
      <w:pPr>
        <w:widowControl w:val="0"/>
        <w:spacing w:after="240" w:line="240" w:lineRule="auto"/>
        <w:jc w:val="both"/>
        <w:rPr>
          <w:rFonts w:eastAsia="Times New Roman" w:cs="Times New Roman"/>
          <w:b/>
          <w:szCs w:val="24"/>
          <w:lang w:eastAsia="en-GB"/>
        </w:rPr>
      </w:pPr>
      <w:r w:rsidRPr="00302387">
        <w:rPr>
          <w:rFonts w:eastAsia="Times New Roman" w:cs="Times New Roman"/>
          <w:b/>
          <w:szCs w:val="24"/>
          <w:lang w:eastAsia="en-GB"/>
        </w:rPr>
        <w:t>5.</w:t>
      </w:r>
      <w:r w:rsidRPr="00302387">
        <w:rPr>
          <w:rFonts w:eastAsia="Times New Roman" w:cs="Times New Roman"/>
          <w:b/>
          <w:szCs w:val="24"/>
          <w:lang w:eastAsia="en-GB"/>
        </w:rPr>
        <w:tab/>
        <w:t>Brief analysis/assessment of the resolution and requests made in it:</w:t>
      </w:r>
    </w:p>
    <w:p w14:paraId="2B399AB6" w14:textId="03F7C114" w:rsidR="0072667A" w:rsidRDefault="00BD1FE5" w:rsidP="007C5880">
      <w:pPr>
        <w:widowControl w:val="0"/>
        <w:spacing w:after="120" w:line="240" w:lineRule="auto"/>
        <w:jc w:val="both"/>
        <w:rPr>
          <w:rFonts w:eastAsia="Times New Roman" w:cs="Times New Roman"/>
          <w:lang w:eastAsia="en-GB"/>
        </w:rPr>
      </w:pPr>
      <w:r w:rsidRPr="24570D3B">
        <w:rPr>
          <w:rFonts w:eastAsia="Times New Roman" w:cs="Times New Roman"/>
          <w:lang w:eastAsia="en-GB"/>
        </w:rPr>
        <w:t>The resolution notes that the main objective of Regulation (EC) No 1924/2006</w:t>
      </w:r>
      <w:r w:rsidR="0072667A" w:rsidRPr="24570D3B">
        <w:rPr>
          <w:rFonts w:eastAsia="Times New Roman" w:cs="Times New Roman"/>
          <w:lang w:eastAsia="en-GB"/>
        </w:rPr>
        <w:t xml:space="preserve"> </w:t>
      </w:r>
      <w:r w:rsidR="00B612C9" w:rsidRPr="00B612C9">
        <w:rPr>
          <w:rFonts w:eastAsia="Times New Roman" w:cs="Times New Roman"/>
          <w:lang w:eastAsia="en-GB"/>
        </w:rPr>
        <w:t xml:space="preserve">on nutrition and health claims made on foods (NHCR) </w:t>
      </w:r>
      <w:r w:rsidRPr="24570D3B">
        <w:rPr>
          <w:rFonts w:eastAsia="Times New Roman" w:cs="Times New Roman"/>
          <w:lang w:eastAsia="en-GB"/>
        </w:rPr>
        <w:t>is to ensure that claims made on foods are based on generally accepted scientific evidence</w:t>
      </w:r>
      <w:r w:rsidR="00463995">
        <w:rPr>
          <w:rFonts w:eastAsia="Times New Roman" w:cs="Times New Roman"/>
          <w:lang w:eastAsia="en-GB"/>
        </w:rPr>
        <w:t xml:space="preserve"> and</w:t>
      </w:r>
      <w:r w:rsidR="0072667A" w:rsidRPr="24570D3B">
        <w:rPr>
          <w:rFonts w:eastAsia="Times New Roman" w:cs="Times New Roman"/>
          <w:lang w:eastAsia="en-GB"/>
        </w:rPr>
        <w:t xml:space="preserve"> are</w:t>
      </w:r>
      <w:r w:rsidRPr="24570D3B">
        <w:rPr>
          <w:rFonts w:eastAsia="Times New Roman" w:cs="Times New Roman"/>
          <w:lang w:eastAsia="en-GB"/>
        </w:rPr>
        <w:t xml:space="preserve"> understood by the average consumer</w:t>
      </w:r>
      <w:r w:rsidR="00901550">
        <w:rPr>
          <w:rFonts w:eastAsia="Times New Roman" w:cs="Times New Roman"/>
          <w:lang w:eastAsia="en-GB"/>
        </w:rPr>
        <w:t xml:space="preserve"> but</w:t>
      </w:r>
      <w:r w:rsidRPr="24570D3B">
        <w:rPr>
          <w:rFonts w:eastAsia="Times New Roman" w:cs="Times New Roman"/>
          <w:lang w:eastAsia="en-GB"/>
        </w:rPr>
        <w:t xml:space="preserve"> </w:t>
      </w:r>
      <w:r w:rsidR="00901550">
        <w:rPr>
          <w:rFonts w:eastAsia="Times New Roman" w:cs="Times New Roman"/>
          <w:lang w:eastAsia="en-GB"/>
        </w:rPr>
        <w:t xml:space="preserve">underlines </w:t>
      </w:r>
      <w:r w:rsidRPr="24570D3B">
        <w:rPr>
          <w:rFonts w:eastAsia="Times New Roman" w:cs="Times New Roman"/>
          <w:lang w:eastAsia="en-GB"/>
        </w:rPr>
        <w:t xml:space="preserve">that, in practice, misleading claims </w:t>
      </w:r>
      <w:r w:rsidR="00901550">
        <w:rPr>
          <w:rFonts w:eastAsia="Times New Roman" w:cs="Times New Roman"/>
          <w:lang w:eastAsia="en-GB"/>
        </w:rPr>
        <w:t xml:space="preserve">on foods </w:t>
      </w:r>
      <w:r w:rsidRPr="24570D3B">
        <w:rPr>
          <w:rFonts w:eastAsia="Times New Roman" w:cs="Times New Roman"/>
          <w:lang w:eastAsia="en-GB"/>
        </w:rPr>
        <w:t>are still reported (</w:t>
      </w:r>
      <w:r w:rsidRPr="24570D3B">
        <w:rPr>
          <w:rFonts w:eastAsia="Times New Roman" w:cs="Times New Roman"/>
          <w:b/>
          <w:bCs/>
          <w:lang w:eastAsia="en-GB"/>
        </w:rPr>
        <w:t>paragraph 1</w:t>
      </w:r>
      <w:r w:rsidRPr="24570D3B">
        <w:rPr>
          <w:rFonts w:eastAsia="Times New Roman" w:cs="Times New Roman"/>
          <w:lang w:eastAsia="en-GB"/>
        </w:rPr>
        <w:t xml:space="preserve">). It </w:t>
      </w:r>
      <w:r w:rsidR="00440313">
        <w:rPr>
          <w:rFonts w:eastAsia="Times New Roman" w:cs="Times New Roman"/>
          <w:lang w:eastAsia="en-GB"/>
        </w:rPr>
        <w:t xml:space="preserve">also </w:t>
      </w:r>
      <w:r w:rsidRPr="24570D3B">
        <w:rPr>
          <w:rFonts w:eastAsia="Times New Roman" w:cs="Times New Roman"/>
          <w:lang w:eastAsia="en-GB"/>
        </w:rPr>
        <w:t xml:space="preserve">points out </w:t>
      </w:r>
      <w:r w:rsidR="00491FE9" w:rsidRPr="24570D3B">
        <w:rPr>
          <w:rFonts w:eastAsia="Times New Roman" w:cs="Times New Roman"/>
          <w:lang w:eastAsia="en-GB"/>
        </w:rPr>
        <w:t>the</w:t>
      </w:r>
      <w:r w:rsidRPr="24570D3B">
        <w:rPr>
          <w:rFonts w:eastAsia="Times New Roman" w:cs="Times New Roman"/>
          <w:lang w:eastAsia="en-GB"/>
        </w:rPr>
        <w:t xml:space="preserve"> increasing consumer interest in</w:t>
      </w:r>
      <w:r w:rsidR="00463BCA">
        <w:rPr>
          <w:rFonts w:eastAsia="Times New Roman" w:cs="Times New Roman"/>
          <w:lang w:eastAsia="en-GB"/>
        </w:rPr>
        <w:t xml:space="preserve"> </w:t>
      </w:r>
      <w:r w:rsidR="00463BCA" w:rsidRPr="24570D3B">
        <w:rPr>
          <w:rFonts w:eastAsia="Times New Roman" w:cs="Times New Roman"/>
          <w:lang w:eastAsia="en-GB"/>
        </w:rPr>
        <w:t>food information</w:t>
      </w:r>
      <w:r w:rsidR="00EA3A9A">
        <w:rPr>
          <w:rFonts w:eastAsia="Times New Roman" w:cs="Times New Roman"/>
          <w:lang w:eastAsia="en-GB"/>
        </w:rPr>
        <w:t xml:space="preserve"> that must be</w:t>
      </w:r>
      <w:r w:rsidR="00901550">
        <w:rPr>
          <w:rFonts w:eastAsia="Times New Roman" w:cs="Times New Roman"/>
          <w:lang w:eastAsia="en-GB"/>
        </w:rPr>
        <w:t xml:space="preserve"> accurate, science-</w:t>
      </w:r>
      <w:proofErr w:type="gramStart"/>
      <w:r w:rsidR="00901550">
        <w:rPr>
          <w:rFonts w:eastAsia="Times New Roman" w:cs="Times New Roman"/>
          <w:lang w:eastAsia="en-GB"/>
        </w:rPr>
        <w:t>based</w:t>
      </w:r>
      <w:proofErr w:type="gramEnd"/>
      <w:r w:rsidR="00901550">
        <w:rPr>
          <w:rFonts w:eastAsia="Times New Roman" w:cs="Times New Roman"/>
          <w:lang w:eastAsia="en-GB"/>
        </w:rPr>
        <w:t xml:space="preserve"> and meaningful</w:t>
      </w:r>
      <w:r w:rsidRPr="24570D3B">
        <w:rPr>
          <w:rFonts w:eastAsia="Times New Roman" w:cs="Times New Roman"/>
          <w:lang w:eastAsia="en-GB"/>
        </w:rPr>
        <w:t xml:space="preserve"> </w:t>
      </w:r>
      <w:r w:rsidR="0072667A" w:rsidRPr="24570D3B">
        <w:rPr>
          <w:rFonts w:eastAsia="Times New Roman" w:cs="Times New Roman"/>
          <w:lang w:eastAsia="en-GB"/>
        </w:rPr>
        <w:t>(</w:t>
      </w:r>
      <w:r w:rsidR="0072667A" w:rsidRPr="24570D3B">
        <w:rPr>
          <w:rFonts w:eastAsia="Times New Roman" w:cs="Times New Roman"/>
          <w:b/>
          <w:bCs/>
          <w:lang w:eastAsia="en-GB"/>
        </w:rPr>
        <w:t>paragraph 2</w:t>
      </w:r>
      <w:r w:rsidR="0072667A" w:rsidRPr="24570D3B">
        <w:rPr>
          <w:rFonts w:eastAsia="Times New Roman" w:cs="Times New Roman"/>
          <w:lang w:eastAsia="en-GB"/>
        </w:rPr>
        <w:t>).</w:t>
      </w:r>
    </w:p>
    <w:p w14:paraId="44CB40E1" w14:textId="6B60B73B" w:rsidR="00BD1FE5" w:rsidRDefault="0072667A" w:rsidP="007C5880">
      <w:pPr>
        <w:widowControl w:val="0"/>
        <w:spacing w:after="120" w:line="240" w:lineRule="auto"/>
        <w:jc w:val="both"/>
        <w:rPr>
          <w:rFonts w:eastAsia="Times New Roman" w:cs="Times New Roman"/>
          <w:lang w:eastAsia="en-GB"/>
        </w:rPr>
      </w:pPr>
      <w:r w:rsidRPr="24570D3B">
        <w:rPr>
          <w:rFonts w:eastAsia="Times New Roman" w:cs="Times New Roman"/>
          <w:lang w:eastAsia="en-GB"/>
        </w:rPr>
        <w:t>The resolution</w:t>
      </w:r>
      <w:r>
        <w:t xml:space="preserve"> </w:t>
      </w:r>
      <w:r w:rsidRPr="24570D3B">
        <w:rPr>
          <w:rFonts w:eastAsia="Times New Roman" w:cs="Times New Roman"/>
          <w:lang w:eastAsia="en-GB"/>
        </w:rPr>
        <w:t>recalls that the Commission should have established nutrient profiles by 19 January 2009</w:t>
      </w:r>
      <w:r w:rsidR="00463BCA">
        <w:rPr>
          <w:rFonts w:eastAsia="Times New Roman" w:cs="Times New Roman"/>
          <w:lang w:eastAsia="en-GB"/>
        </w:rPr>
        <w:t xml:space="preserve"> and</w:t>
      </w:r>
      <w:r w:rsidR="00555066">
        <w:rPr>
          <w:rFonts w:eastAsia="Times New Roman" w:cs="Times New Roman"/>
          <w:lang w:eastAsia="en-GB"/>
        </w:rPr>
        <w:t xml:space="preserve"> </w:t>
      </w:r>
      <w:r w:rsidRPr="24570D3B">
        <w:rPr>
          <w:rFonts w:eastAsia="Times New Roman" w:cs="Times New Roman"/>
          <w:lang w:eastAsia="en-GB"/>
        </w:rPr>
        <w:t>regrets that the Commission proposal</w:t>
      </w:r>
      <w:r w:rsidR="00E8631F" w:rsidRPr="24570D3B">
        <w:rPr>
          <w:rFonts w:eastAsia="Times New Roman" w:cs="Times New Roman"/>
          <w:lang w:eastAsia="en-GB"/>
        </w:rPr>
        <w:t xml:space="preserve"> has not been submitted</w:t>
      </w:r>
      <w:r w:rsidR="00463995">
        <w:rPr>
          <w:rFonts w:eastAsia="Times New Roman" w:cs="Times New Roman"/>
          <w:lang w:eastAsia="en-GB"/>
        </w:rPr>
        <w:t xml:space="preserve"> yet</w:t>
      </w:r>
      <w:r w:rsidR="00E8631F" w:rsidRPr="24570D3B">
        <w:rPr>
          <w:rFonts w:eastAsia="Times New Roman" w:cs="Times New Roman"/>
          <w:lang w:eastAsia="en-GB"/>
        </w:rPr>
        <w:t xml:space="preserve">, despite being planned for 2022. It </w:t>
      </w:r>
      <w:r w:rsidR="00463995">
        <w:rPr>
          <w:rFonts w:eastAsia="Times New Roman" w:cs="Times New Roman"/>
          <w:lang w:eastAsia="en-GB"/>
        </w:rPr>
        <w:t>notes</w:t>
      </w:r>
      <w:r w:rsidR="00463995" w:rsidRPr="24570D3B">
        <w:rPr>
          <w:rFonts w:eastAsia="Times New Roman" w:cs="Times New Roman"/>
          <w:lang w:eastAsia="en-GB"/>
        </w:rPr>
        <w:t xml:space="preserve"> </w:t>
      </w:r>
      <w:r w:rsidR="00E8631F" w:rsidRPr="24570D3B">
        <w:rPr>
          <w:rFonts w:eastAsia="Times New Roman" w:cs="Times New Roman"/>
          <w:lang w:eastAsia="en-GB"/>
        </w:rPr>
        <w:t xml:space="preserve">that the setting of nutrient profiles with specific nutrient thresholds for the use of health and nutrition claims, remains pertinent and necessary to meet the objectives of the </w:t>
      </w:r>
      <w:r w:rsidR="00463BCA">
        <w:rPr>
          <w:rFonts w:eastAsia="Times New Roman" w:cs="Times New Roman"/>
          <w:lang w:eastAsia="en-GB"/>
        </w:rPr>
        <w:t>NHCR</w:t>
      </w:r>
      <w:r w:rsidR="00440313">
        <w:rPr>
          <w:rFonts w:eastAsia="Times New Roman" w:cs="Times New Roman"/>
          <w:lang w:eastAsia="en-GB"/>
        </w:rPr>
        <w:t xml:space="preserve"> and that in the absence of nutrient profiles, claims can stress a positive aspect of an overall unhealthy product</w:t>
      </w:r>
      <w:r w:rsidR="00463BCA" w:rsidRPr="24570D3B">
        <w:rPr>
          <w:rFonts w:eastAsia="Times New Roman" w:cs="Times New Roman"/>
          <w:lang w:eastAsia="en-GB"/>
        </w:rPr>
        <w:t xml:space="preserve"> </w:t>
      </w:r>
      <w:r w:rsidR="00E8631F" w:rsidRPr="00555066">
        <w:rPr>
          <w:rFonts w:eastAsia="Times New Roman" w:cs="Times New Roman"/>
          <w:lang w:val="en-IE" w:eastAsia="en-GB"/>
        </w:rPr>
        <w:t>(</w:t>
      </w:r>
      <w:r w:rsidR="00E8631F" w:rsidRPr="00555066">
        <w:rPr>
          <w:rFonts w:eastAsia="Times New Roman" w:cs="Times New Roman"/>
          <w:b/>
          <w:bCs/>
          <w:lang w:val="en-IE" w:eastAsia="en-GB"/>
        </w:rPr>
        <w:t>paragraph</w:t>
      </w:r>
      <w:r w:rsidR="00440313">
        <w:rPr>
          <w:rFonts w:eastAsia="Times New Roman" w:cs="Times New Roman"/>
          <w:b/>
          <w:bCs/>
          <w:lang w:val="en-IE" w:eastAsia="en-GB"/>
        </w:rPr>
        <w:t>s</w:t>
      </w:r>
      <w:r w:rsidR="00E8631F" w:rsidRPr="00555066">
        <w:rPr>
          <w:rFonts w:eastAsia="Times New Roman" w:cs="Times New Roman"/>
          <w:b/>
          <w:bCs/>
          <w:lang w:val="en-IE" w:eastAsia="en-GB"/>
        </w:rPr>
        <w:t xml:space="preserve"> 4</w:t>
      </w:r>
      <w:r w:rsidR="00440313">
        <w:rPr>
          <w:rFonts w:eastAsia="Times New Roman" w:cs="Times New Roman"/>
          <w:b/>
          <w:bCs/>
          <w:lang w:val="en-IE" w:eastAsia="en-GB"/>
        </w:rPr>
        <w:t xml:space="preserve"> </w:t>
      </w:r>
      <w:r w:rsidR="00E7784B">
        <w:rPr>
          <w:rFonts w:eastAsia="Times New Roman" w:cs="Times New Roman"/>
          <w:b/>
          <w:bCs/>
          <w:lang w:val="en-IE" w:eastAsia="en-GB"/>
        </w:rPr>
        <w:t>and</w:t>
      </w:r>
      <w:r w:rsidR="00440313">
        <w:rPr>
          <w:rFonts w:eastAsia="Times New Roman" w:cs="Times New Roman"/>
          <w:b/>
          <w:bCs/>
          <w:lang w:val="en-IE" w:eastAsia="en-GB"/>
        </w:rPr>
        <w:t xml:space="preserve"> 5</w:t>
      </w:r>
      <w:r w:rsidR="00E8631F" w:rsidRPr="00555066">
        <w:rPr>
          <w:rFonts w:eastAsia="Times New Roman" w:cs="Times New Roman"/>
          <w:lang w:val="en-IE" w:eastAsia="en-GB"/>
        </w:rPr>
        <w:t xml:space="preserve">). </w:t>
      </w:r>
      <w:r w:rsidR="00D1568F">
        <w:rPr>
          <w:rFonts w:eastAsia="Times New Roman" w:cs="Times New Roman"/>
          <w:lang w:val="en-IE" w:eastAsia="en-GB"/>
        </w:rPr>
        <w:t xml:space="preserve">The resolution </w:t>
      </w:r>
      <w:r w:rsidR="00440313">
        <w:rPr>
          <w:rFonts w:eastAsia="Times New Roman" w:cs="Times New Roman"/>
          <w:lang w:val="en-IE" w:eastAsia="en-GB"/>
        </w:rPr>
        <w:t>consider</w:t>
      </w:r>
      <w:r w:rsidR="00D1568F">
        <w:rPr>
          <w:rFonts w:eastAsia="Times New Roman" w:cs="Times New Roman"/>
          <w:lang w:val="en-IE" w:eastAsia="en-GB"/>
        </w:rPr>
        <w:t>s</w:t>
      </w:r>
      <w:r w:rsidR="00440313">
        <w:rPr>
          <w:rFonts w:eastAsia="Times New Roman" w:cs="Times New Roman"/>
          <w:lang w:val="en-IE" w:eastAsia="en-GB"/>
        </w:rPr>
        <w:t xml:space="preserve"> that the Commission and the Member States should invest more in food and nutrition education</w:t>
      </w:r>
      <w:r w:rsidR="00D1568F">
        <w:rPr>
          <w:rFonts w:eastAsia="Times New Roman" w:cs="Times New Roman"/>
          <w:lang w:val="en-IE" w:eastAsia="en-GB"/>
        </w:rPr>
        <w:t xml:space="preserve"> aiming in  teaching children about healthy and balanced diets (</w:t>
      </w:r>
      <w:r w:rsidR="00D1568F" w:rsidRPr="00B40CF6">
        <w:rPr>
          <w:rFonts w:eastAsia="Times New Roman" w:cs="Times New Roman"/>
          <w:b/>
          <w:bCs/>
          <w:lang w:val="en-IE" w:eastAsia="en-GB"/>
        </w:rPr>
        <w:t>paragraph</w:t>
      </w:r>
      <w:r w:rsidR="00E7784B">
        <w:rPr>
          <w:rFonts w:eastAsia="Times New Roman" w:cs="Times New Roman"/>
          <w:b/>
          <w:bCs/>
          <w:lang w:val="en-IE" w:eastAsia="en-GB"/>
        </w:rPr>
        <w:t> </w:t>
      </w:r>
      <w:r w:rsidR="00D1568F" w:rsidRPr="00B40CF6">
        <w:rPr>
          <w:rFonts w:eastAsia="Times New Roman" w:cs="Times New Roman"/>
          <w:b/>
          <w:bCs/>
          <w:lang w:val="en-IE" w:eastAsia="en-GB"/>
        </w:rPr>
        <w:t>6</w:t>
      </w:r>
      <w:r w:rsidR="00D1568F" w:rsidRPr="00DB3576">
        <w:rPr>
          <w:rFonts w:eastAsia="Times New Roman" w:cs="Times New Roman"/>
          <w:lang w:val="en-IE" w:eastAsia="en-GB"/>
        </w:rPr>
        <w:t>).</w:t>
      </w:r>
      <w:r w:rsidR="00E8631F" w:rsidRPr="00DB3576">
        <w:rPr>
          <w:rFonts w:eastAsia="Times New Roman" w:cs="Times New Roman"/>
          <w:lang w:eastAsia="en-GB"/>
        </w:rPr>
        <w:t xml:space="preserve">The resolution </w:t>
      </w:r>
      <w:r w:rsidR="00D1568F" w:rsidRPr="00DB3576">
        <w:rPr>
          <w:rFonts w:eastAsia="Times New Roman" w:cs="Times New Roman"/>
          <w:lang w:eastAsia="en-GB"/>
        </w:rPr>
        <w:t xml:space="preserve">advocates for the inclusion of thresholds on food labels bearing health claims </w:t>
      </w:r>
      <w:r w:rsidR="00E8631F" w:rsidRPr="00DB3576">
        <w:rPr>
          <w:rFonts w:eastAsia="Times New Roman" w:cs="Times New Roman"/>
          <w:lang w:eastAsia="en-GB"/>
        </w:rPr>
        <w:t>(</w:t>
      </w:r>
      <w:r w:rsidR="00E8631F" w:rsidRPr="00DB3576">
        <w:rPr>
          <w:rFonts w:eastAsia="Times New Roman" w:cs="Times New Roman"/>
          <w:b/>
          <w:bCs/>
          <w:lang w:eastAsia="en-GB"/>
        </w:rPr>
        <w:t>paragraph 7</w:t>
      </w:r>
      <w:r w:rsidR="00E8631F" w:rsidRPr="00DB3576">
        <w:rPr>
          <w:rFonts w:eastAsia="Times New Roman" w:cs="Times New Roman"/>
          <w:lang w:eastAsia="en-GB"/>
        </w:rPr>
        <w:t>) and regrets the delay of the proposal for a revision of Regulation (EU)</w:t>
      </w:r>
      <w:r w:rsidR="00E8631F" w:rsidRPr="24570D3B">
        <w:rPr>
          <w:rFonts w:eastAsia="Times New Roman" w:cs="Times New Roman"/>
          <w:lang w:eastAsia="en-GB"/>
        </w:rPr>
        <w:t xml:space="preserve"> No 1169/2011 on the provision of food information to consumers (FIC</w:t>
      </w:r>
      <w:r w:rsidR="00555066">
        <w:rPr>
          <w:rFonts w:eastAsia="Times New Roman" w:cs="Times New Roman"/>
          <w:lang w:eastAsia="en-GB"/>
        </w:rPr>
        <w:t xml:space="preserve"> Regulation</w:t>
      </w:r>
      <w:r w:rsidR="00E8631F" w:rsidRPr="24570D3B">
        <w:rPr>
          <w:rFonts w:eastAsia="Times New Roman" w:cs="Times New Roman"/>
          <w:lang w:eastAsia="en-GB"/>
        </w:rPr>
        <w:t xml:space="preserve">) with regard to the development of front-of-pack nutrition labels </w:t>
      </w:r>
      <w:r w:rsidR="00463BCA">
        <w:rPr>
          <w:rFonts w:eastAsia="Times New Roman" w:cs="Times New Roman"/>
          <w:lang w:eastAsia="en-GB"/>
        </w:rPr>
        <w:t xml:space="preserve">to </w:t>
      </w:r>
      <w:r w:rsidR="00E8631F" w:rsidRPr="24570D3B">
        <w:rPr>
          <w:rFonts w:eastAsia="Times New Roman" w:cs="Times New Roman"/>
          <w:lang w:eastAsia="en-GB"/>
        </w:rPr>
        <w:t xml:space="preserve">help consumers to make informed, healthy and sustainable </w:t>
      </w:r>
      <w:r w:rsidR="00491FE9" w:rsidRPr="24570D3B">
        <w:rPr>
          <w:rFonts w:eastAsia="Times New Roman" w:cs="Times New Roman"/>
          <w:lang w:eastAsia="en-GB"/>
        </w:rPr>
        <w:t xml:space="preserve">food </w:t>
      </w:r>
      <w:r w:rsidR="00E8631F" w:rsidRPr="24570D3B">
        <w:rPr>
          <w:rFonts w:eastAsia="Times New Roman" w:cs="Times New Roman"/>
          <w:lang w:eastAsia="en-GB"/>
        </w:rPr>
        <w:t>choices (</w:t>
      </w:r>
      <w:r w:rsidR="00E8631F" w:rsidRPr="24570D3B">
        <w:rPr>
          <w:rFonts w:eastAsia="Times New Roman" w:cs="Times New Roman"/>
          <w:b/>
          <w:bCs/>
          <w:lang w:eastAsia="en-GB"/>
        </w:rPr>
        <w:t>paragraph 8</w:t>
      </w:r>
      <w:r w:rsidR="00E8631F" w:rsidRPr="24570D3B">
        <w:rPr>
          <w:rFonts w:eastAsia="Times New Roman" w:cs="Times New Roman"/>
          <w:lang w:eastAsia="en-GB"/>
        </w:rPr>
        <w:t>).</w:t>
      </w:r>
    </w:p>
    <w:p w14:paraId="39D54BC8" w14:textId="73ED0942" w:rsidR="00491FE9" w:rsidRDefault="6CB66484" w:rsidP="007C5880">
      <w:pPr>
        <w:widowControl w:val="0"/>
        <w:spacing w:after="120" w:line="240" w:lineRule="auto"/>
        <w:jc w:val="both"/>
        <w:rPr>
          <w:rFonts w:eastAsia="Times New Roman" w:cs="Times New Roman"/>
          <w:lang w:eastAsia="en-GB"/>
        </w:rPr>
      </w:pPr>
      <w:r w:rsidRPr="24570D3B">
        <w:rPr>
          <w:rFonts w:eastAsia="Times New Roman" w:cs="Times New Roman"/>
          <w:lang w:eastAsia="en-GB"/>
        </w:rPr>
        <w:t xml:space="preserve">The resolution calls on the Commission to </w:t>
      </w:r>
      <w:r w:rsidR="0AF04DEC" w:rsidRPr="24570D3B">
        <w:rPr>
          <w:rFonts w:eastAsia="Times New Roman" w:cs="Times New Roman"/>
          <w:lang w:eastAsia="en-GB"/>
        </w:rPr>
        <w:t xml:space="preserve">examine the legislative potential for extending the remit of the European Food </w:t>
      </w:r>
      <w:r w:rsidR="1CD91B37" w:rsidRPr="24570D3B">
        <w:rPr>
          <w:rFonts w:eastAsia="Times New Roman" w:cs="Times New Roman"/>
          <w:lang w:eastAsia="en-GB"/>
        </w:rPr>
        <w:t>S</w:t>
      </w:r>
      <w:r w:rsidR="0AF04DEC" w:rsidRPr="24570D3B">
        <w:rPr>
          <w:rFonts w:eastAsia="Times New Roman" w:cs="Times New Roman"/>
          <w:lang w:eastAsia="en-GB"/>
        </w:rPr>
        <w:t>afety Authority (EFSA) to include</w:t>
      </w:r>
      <w:r w:rsidR="52A84343" w:rsidRPr="24570D3B">
        <w:rPr>
          <w:rFonts w:eastAsia="Times New Roman" w:cs="Times New Roman"/>
          <w:lang w:eastAsia="en-GB"/>
        </w:rPr>
        <w:t xml:space="preserve">, in </w:t>
      </w:r>
      <w:r w:rsidR="52A84343" w:rsidRPr="00555066">
        <w:rPr>
          <w:rFonts w:eastAsia="Times New Roman" w:cs="Times New Roman"/>
          <w:lang w:eastAsia="en-GB"/>
        </w:rPr>
        <w:t xml:space="preserve">addition to the scientific substantiation of health claims, </w:t>
      </w:r>
      <w:r w:rsidR="2655675B" w:rsidRPr="00555066">
        <w:rPr>
          <w:rFonts w:eastAsia="Times New Roman" w:cs="Times New Roman"/>
          <w:lang w:eastAsia="en-GB"/>
        </w:rPr>
        <w:t xml:space="preserve">the assessment of </w:t>
      </w:r>
      <w:r w:rsidR="52A84343" w:rsidRPr="00555066">
        <w:rPr>
          <w:rFonts w:eastAsia="Times New Roman" w:cs="Times New Roman"/>
          <w:lang w:eastAsia="en-GB"/>
        </w:rPr>
        <w:t>the</w:t>
      </w:r>
      <w:r w:rsidR="6FE29329" w:rsidRPr="00555066">
        <w:rPr>
          <w:rFonts w:eastAsia="Times New Roman" w:cs="Times New Roman"/>
          <w:lang w:eastAsia="en-GB"/>
        </w:rPr>
        <w:t xml:space="preserve"> </w:t>
      </w:r>
      <w:r w:rsidR="0AF04DEC" w:rsidRPr="00555066">
        <w:rPr>
          <w:rFonts w:eastAsia="Times New Roman" w:cs="Times New Roman"/>
          <w:lang w:eastAsia="en-GB"/>
        </w:rPr>
        <w:t>relevance</w:t>
      </w:r>
      <w:r w:rsidR="3F958C84" w:rsidRPr="00555066">
        <w:rPr>
          <w:rFonts w:eastAsia="Times New Roman" w:cs="Times New Roman"/>
          <w:lang w:eastAsia="en-GB"/>
        </w:rPr>
        <w:t xml:space="preserve"> of their</w:t>
      </w:r>
      <w:r w:rsidR="3F977C8F" w:rsidRPr="00555066">
        <w:rPr>
          <w:rFonts w:eastAsia="Times New Roman" w:cs="Times New Roman"/>
          <w:lang w:eastAsia="en-GB"/>
        </w:rPr>
        <w:t xml:space="preserve"> use</w:t>
      </w:r>
      <w:r w:rsidR="00D1568F">
        <w:rPr>
          <w:rFonts w:eastAsia="Times New Roman" w:cs="Times New Roman"/>
          <w:lang w:eastAsia="en-GB"/>
        </w:rPr>
        <w:t xml:space="preserve"> </w:t>
      </w:r>
      <w:r w:rsidR="1C832612" w:rsidRPr="00555066">
        <w:rPr>
          <w:rFonts w:eastAsia="Times New Roman" w:cs="Times New Roman"/>
          <w:lang w:eastAsia="en-GB"/>
        </w:rPr>
        <w:t>(</w:t>
      </w:r>
      <w:r w:rsidR="1C832612" w:rsidRPr="00555066">
        <w:rPr>
          <w:b/>
          <w:bCs/>
        </w:rPr>
        <w:t>paragraph 9</w:t>
      </w:r>
      <w:r w:rsidR="1C832612" w:rsidRPr="00555066">
        <w:rPr>
          <w:rFonts w:eastAsia="Times New Roman" w:cs="Times New Roman"/>
          <w:lang w:eastAsia="en-GB"/>
        </w:rPr>
        <w:t>)</w:t>
      </w:r>
      <w:r w:rsidR="5721D442" w:rsidRPr="00555066">
        <w:rPr>
          <w:rFonts w:eastAsia="Times New Roman" w:cs="Times New Roman"/>
          <w:lang w:eastAsia="en-GB"/>
        </w:rPr>
        <w:t>.</w:t>
      </w:r>
      <w:r w:rsidR="5721D442" w:rsidRPr="24570D3B">
        <w:rPr>
          <w:rFonts w:eastAsia="Times New Roman" w:cs="Times New Roman"/>
          <w:lang w:eastAsia="en-GB"/>
        </w:rPr>
        <w:t xml:space="preserve"> It further calls on the Commission to </w:t>
      </w:r>
      <w:r w:rsidRPr="24570D3B">
        <w:rPr>
          <w:rFonts w:eastAsia="Times New Roman" w:cs="Times New Roman"/>
          <w:lang w:eastAsia="en-GB"/>
        </w:rPr>
        <w:t>evaluate the possibility of restricting the use of the nutrition claim ‘with no added sugars’ for products containing sweeteners or high levels of free sugars (</w:t>
      </w:r>
      <w:r w:rsidRPr="24570D3B">
        <w:rPr>
          <w:rFonts w:eastAsia="Times New Roman" w:cs="Times New Roman"/>
          <w:b/>
          <w:bCs/>
          <w:lang w:eastAsia="en-GB"/>
        </w:rPr>
        <w:t>paragraph 10</w:t>
      </w:r>
      <w:r w:rsidRPr="24570D3B">
        <w:rPr>
          <w:rFonts w:eastAsia="Times New Roman" w:cs="Times New Roman"/>
          <w:lang w:eastAsia="en-GB"/>
        </w:rPr>
        <w:t>).</w:t>
      </w:r>
    </w:p>
    <w:p w14:paraId="163CCCE1" w14:textId="3E804FD8" w:rsidR="00925CD3" w:rsidRDefault="00925CD3" w:rsidP="007C5880">
      <w:pPr>
        <w:widowControl w:val="0"/>
        <w:spacing w:after="120" w:line="240" w:lineRule="auto"/>
        <w:jc w:val="both"/>
        <w:rPr>
          <w:rFonts w:eastAsia="Times New Roman" w:cs="Times New Roman"/>
          <w:bCs/>
          <w:szCs w:val="24"/>
          <w:lang w:eastAsia="en-GB"/>
        </w:rPr>
      </w:pPr>
      <w:r>
        <w:rPr>
          <w:rFonts w:eastAsia="Times New Roman" w:cs="Times New Roman"/>
          <w:bCs/>
          <w:szCs w:val="24"/>
          <w:lang w:eastAsia="en-GB"/>
        </w:rPr>
        <w:t>The resolution d</w:t>
      </w:r>
      <w:r w:rsidRPr="00925CD3">
        <w:rPr>
          <w:rFonts w:eastAsia="Times New Roman" w:cs="Times New Roman"/>
          <w:bCs/>
          <w:szCs w:val="24"/>
          <w:lang w:eastAsia="en-GB"/>
        </w:rPr>
        <w:t>isapproves</w:t>
      </w:r>
      <w:r>
        <w:rPr>
          <w:rFonts w:eastAsia="Times New Roman" w:cs="Times New Roman"/>
          <w:bCs/>
          <w:szCs w:val="24"/>
          <w:lang w:eastAsia="en-GB"/>
        </w:rPr>
        <w:t xml:space="preserve"> </w:t>
      </w:r>
      <w:r w:rsidRPr="00925CD3">
        <w:rPr>
          <w:rFonts w:eastAsia="Times New Roman" w:cs="Times New Roman"/>
          <w:bCs/>
          <w:szCs w:val="24"/>
          <w:lang w:eastAsia="en-GB"/>
        </w:rPr>
        <w:t>the continued suspension of the evaluation of claims on botanicals an</w:t>
      </w:r>
      <w:r>
        <w:rPr>
          <w:rFonts w:eastAsia="Times New Roman" w:cs="Times New Roman"/>
          <w:bCs/>
          <w:szCs w:val="24"/>
          <w:lang w:eastAsia="en-GB"/>
        </w:rPr>
        <w:t>d</w:t>
      </w:r>
      <w:r w:rsidRPr="00925CD3">
        <w:rPr>
          <w:rFonts w:eastAsia="Times New Roman" w:cs="Times New Roman"/>
          <w:bCs/>
          <w:szCs w:val="24"/>
          <w:lang w:eastAsia="en-GB"/>
        </w:rPr>
        <w:t xml:space="preserve"> highlights the need to address the ‘on-hold’ list</w:t>
      </w:r>
      <w:r w:rsidR="00463995">
        <w:rPr>
          <w:rFonts w:eastAsia="Times New Roman" w:cs="Times New Roman"/>
          <w:bCs/>
          <w:szCs w:val="24"/>
          <w:lang w:eastAsia="en-GB"/>
        </w:rPr>
        <w:t xml:space="preserve">. It </w:t>
      </w:r>
      <w:r w:rsidRPr="00925CD3">
        <w:rPr>
          <w:rFonts w:eastAsia="Times New Roman" w:cs="Times New Roman"/>
          <w:bCs/>
          <w:szCs w:val="24"/>
          <w:lang w:eastAsia="en-GB"/>
        </w:rPr>
        <w:t>calls</w:t>
      </w:r>
      <w:r w:rsidR="00463BCA">
        <w:rPr>
          <w:rFonts w:eastAsia="Times New Roman" w:cs="Times New Roman"/>
          <w:bCs/>
          <w:szCs w:val="24"/>
          <w:lang w:eastAsia="en-GB"/>
        </w:rPr>
        <w:t xml:space="preserve"> on</w:t>
      </w:r>
      <w:r w:rsidRPr="00925CD3">
        <w:rPr>
          <w:rFonts w:eastAsia="Times New Roman" w:cs="Times New Roman"/>
          <w:bCs/>
          <w:szCs w:val="24"/>
          <w:lang w:eastAsia="en-GB"/>
        </w:rPr>
        <w:t xml:space="preserve"> the Commission to reject th</w:t>
      </w:r>
      <w:r>
        <w:rPr>
          <w:rFonts w:eastAsia="Times New Roman" w:cs="Times New Roman"/>
          <w:bCs/>
          <w:szCs w:val="24"/>
          <w:lang w:eastAsia="en-GB"/>
        </w:rPr>
        <w:t>e</w:t>
      </w:r>
      <w:r w:rsidRPr="00925CD3">
        <w:rPr>
          <w:rFonts w:eastAsia="Times New Roman" w:cs="Times New Roman"/>
          <w:bCs/>
          <w:szCs w:val="24"/>
          <w:lang w:eastAsia="en-GB"/>
        </w:rPr>
        <w:t xml:space="preserve"> claims that have already been assessed negatively</w:t>
      </w:r>
      <w:r w:rsidR="00DB3576">
        <w:rPr>
          <w:rFonts w:eastAsia="Times New Roman" w:cs="Times New Roman"/>
          <w:bCs/>
          <w:szCs w:val="24"/>
          <w:lang w:eastAsia="en-GB"/>
        </w:rPr>
        <w:t xml:space="preserve"> and for the establishment</w:t>
      </w:r>
      <w:r>
        <w:rPr>
          <w:rFonts w:eastAsia="Times New Roman" w:cs="Times New Roman"/>
          <w:bCs/>
          <w:szCs w:val="24"/>
          <w:lang w:eastAsia="en-GB"/>
        </w:rPr>
        <w:t xml:space="preserve"> </w:t>
      </w:r>
      <w:r w:rsidR="00DB3576">
        <w:rPr>
          <w:rFonts w:eastAsia="Times New Roman" w:cs="Times New Roman"/>
          <w:bCs/>
          <w:szCs w:val="24"/>
          <w:lang w:eastAsia="en-GB"/>
        </w:rPr>
        <w:t>of</w:t>
      </w:r>
      <w:r>
        <w:rPr>
          <w:rFonts w:eastAsia="Times New Roman" w:cs="Times New Roman"/>
          <w:bCs/>
          <w:szCs w:val="24"/>
          <w:lang w:eastAsia="en-GB"/>
        </w:rPr>
        <w:t xml:space="preserve"> </w:t>
      </w:r>
      <w:r w:rsidRPr="00925CD3">
        <w:rPr>
          <w:rFonts w:eastAsia="Times New Roman" w:cs="Times New Roman"/>
          <w:bCs/>
          <w:szCs w:val="24"/>
          <w:lang w:eastAsia="en-GB"/>
        </w:rPr>
        <w:t xml:space="preserve">an EU-level negative list of botanicals used in food </w:t>
      </w:r>
      <w:r w:rsidR="00DB3576">
        <w:rPr>
          <w:rFonts w:eastAsia="Times New Roman" w:cs="Times New Roman"/>
          <w:bCs/>
          <w:szCs w:val="24"/>
          <w:lang w:eastAsia="en-GB"/>
        </w:rPr>
        <w:t>(</w:t>
      </w:r>
      <w:r w:rsidR="00DB3576" w:rsidRPr="00BD1FE5">
        <w:rPr>
          <w:rFonts w:eastAsia="Times New Roman" w:cs="Times New Roman"/>
          <w:b/>
          <w:szCs w:val="24"/>
          <w:lang w:eastAsia="en-GB"/>
        </w:rPr>
        <w:t>paragraph</w:t>
      </w:r>
      <w:r w:rsidR="00DB3576">
        <w:rPr>
          <w:rFonts w:eastAsia="Times New Roman" w:cs="Times New Roman"/>
          <w:b/>
          <w:szCs w:val="24"/>
          <w:lang w:eastAsia="en-GB"/>
        </w:rPr>
        <w:t>s</w:t>
      </w:r>
      <w:r w:rsidR="00DB3576" w:rsidRPr="00BD1FE5">
        <w:rPr>
          <w:rFonts w:eastAsia="Times New Roman" w:cs="Times New Roman"/>
          <w:b/>
          <w:szCs w:val="24"/>
          <w:lang w:eastAsia="en-GB"/>
        </w:rPr>
        <w:t xml:space="preserve"> </w:t>
      </w:r>
      <w:r w:rsidR="00DB3576">
        <w:rPr>
          <w:rFonts w:eastAsia="Times New Roman" w:cs="Times New Roman"/>
          <w:b/>
          <w:szCs w:val="24"/>
          <w:lang w:eastAsia="en-GB"/>
        </w:rPr>
        <w:t>15, 16</w:t>
      </w:r>
      <w:r w:rsidR="00E7784B">
        <w:rPr>
          <w:rFonts w:eastAsia="Times New Roman" w:cs="Times New Roman"/>
          <w:b/>
          <w:szCs w:val="24"/>
          <w:lang w:eastAsia="en-GB"/>
        </w:rPr>
        <w:t xml:space="preserve"> and</w:t>
      </w:r>
      <w:r w:rsidR="00DB3576">
        <w:rPr>
          <w:rFonts w:eastAsia="Times New Roman" w:cs="Times New Roman"/>
          <w:b/>
          <w:szCs w:val="24"/>
          <w:lang w:eastAsia="en-GB"/>
        </w:rPr>
        <w:t xml:space="preserve"> 17</w:t>
      </w:r>
      <w:r w:rsidR="00DB3576">
        <w:rPr>
          <w:rFonts w:eastAsia="Times New Roman" w:cs="Times New Roman"/>
          <w:bCs/>
          <w:szCs w:val="24"/>
          <w:lang w:eastAsia="en-GB"/>
        </w:rPr>
        <w:t>)</w:t>
      </w:r>
      <w:r w:rsidR="00962A4C">
        <w:rPr>
          <w:rFonts w:eastAsia="Times New Roman" w:cs="Times New Roman"/>
          <w:bCs/>
          <w:szCs w:val="24"/>
          <w:lang w:eastAsia="en-GB"/>
        </w:rPr>
        <w:t>.</w:t>
      </w:r>
      <w:r w:rsidR="002C592F">
        <w:rPr>
          <w:rFonts w:eastAsia="Times New Roman" w:cs="Times New Roman"/>
          <w:bCs/>
          <w:szCs w:val="24"/>
          <w:lang w:eastAsia="en-GB"/>
        </w:rPr>
        <w:t xml:space="preserve"> The resolution </w:t>
      </w:r>
      <w:r w:rsidR="003C50C3">
        <w:rPr>
          <w:rFonts w:eastAsia="Times New Roman" w:cs="Times New Roman"/>
          <w:bCs/>
          <w:szCs w:val="24"/>
          <w:lang w:eastAsia="en-GB"/>
        </w:rPr>
        <w:t xml:space="preserve">also </w:t>
      </w:r>
      <w:r w:rsidR="002C592F">
        <w:rPr>
          <w:rFonts w:eastAsia="Times New Roman" w:cs="Times New Roman"/>
          <w:bCs/>
          <w:szCs w:val="24"/>
          <w:lang w:eastAsia="en-GB"/>
        </w:rPr>
        <w:t xml:space="preserve">calls </w:t>
      </w:r>
      <w:r w:rsidR="00C21B24">
        <w:rPr>
          <w:rFonts w:eastAsia="Times New Roman" w:cs="Times New Roman"/>
          <w:bCs/>
          <w:szCs w:val="24"/>
          <w:lang w:eastAsia="en-GB"/>
        </w:rPr>
        <w:t xml:space="preserve">on </w:t>
      </w:r>
      <w:r w:rsidR="002C592F" w:rsidRPr="002C592F">
        <w:rPr>
          <w:rFonts w:eastAsia="Times New Roman" w:cs="Times New Roman"/>
          <w:bCs/>
          <w:szCs w:val="24"/>
          <w:lang w:eastAsia="en-GB"/>
        </w:rPr>
        <w:t xml:space="preserve">the Commission to provide updated guidance on how to deal with marketing practices that are used to circumvent the </w:t>
      </w:r>
      <w:r w:rsidR="00463BCA">
        <w:rPr>
          <w:rFonts w:eastAsia="Times New Roman" w:cs="Times New Roman"/>
          <w:lang w:eastAsia="en-GB"/>
        </w:rPr>
        <w:t>NHCR</w:t>
      </w:r>
      <w:r w:rsidR="002C592F">
        <w:rPr>
          <w:rFonts w:eastAsia="Times New Roman" w:cs="Times New Roman"/>
          <w:bCs/>
          <w:szCs w:val="24"/>
          <w:lang w:eastAsia="en-GB"/>
        </w:rPr>
        <w:t xml:space="preserve"> and calls </w:t>
      </w:r>
      <w:r w:rsidR="00C21B24">
        <w:rPr>
          <w:rFonts w:eastAsia="Times New Roman" w:cs="Times New Roman"/>
          <w:bCs/>
          <w:szCs w:val="24"/>
          <w:lang w:eastAsia="en-GB"/>
        </w:rPr>
        <w:t xml:space="preserve">for </w:t>
      </w:r>
      <w:r w:rsidR="002C592F">
        <w:rPr>
          <w:rFonts w:eastAsia="Times New Roman" w:cs="Times New Roman"/>
          <w:bCs/>
          <w:szCs w:val="24"/>
          <w:lang w:eastAsia="en-GB"/>
        </w:rPr>
        <w:t xml:space="preserve">both </w:t>
      </w:r>
      <w:r w:rsidR="002C592F" w:rsidRPr="002C592F">
        <w:rPr>
          <w:rFonts w:eastAsia="Times New Roman" w:cs="Times New Roman"/>
          <w:bCs/>
          <w:szCs w:val="24"/>
          <w:lang w:eastAsia="en-GB"/>
        </w:rPr>
        <w:t>the Commission and the Member States to set up a knowledge network aimed at supporting the working group on nutrition and health claims</w:t>
      </w:r>
      <w:r w:rsidR="000A3B02">
        <w:rPr>
          <w:rFonts w:eastAsia="Times New Roman" w:cs="Times New Roman"/>
          <w:bCs/>
          <w:szCs w:val="24"/>
          <w:lang w:eastAsia="en-GB"/>
        </w:rPr>
        <w:t>, including on enforcement of the NHCR online</w:t>
      </w:r>
      <w:r w:rsidR="002C592F">
        <w:rPr>
          <w:rFonts w:eastAsia="Times New Roman" w:cs="Times New Roman"/>
          <w:bCs/>
          <w:szCs w:val="24"/>
          <w:lang w:eastAsia="en-GB"/>
        </w:rPr>
        <w:t xml:space="preserve"> (</w:t>
      </w:r>
      <w:r w:rsidR="002C592F" w:rsidRPr="00BD1FE5">
        <w:rPr>
          <w:rFonts w:eastAsia="Times New Roman" w:cs="Times New Roman"/>
          <w:b/>
          <w:szCs w:val="24"/>
          <w:lang w:eastAsia="en-GB"/>
        </w:rPr>
        <w:t>paragraph</w:t>
      </w:r>
      <w:r w:rsidR="002C592F">
        <w:rPr>
          <w:rFonts w:eastAsia="Times New Roman" w:cs="Times New Roman"/>
          <w:b/>
          <w:szCs w:val="24"/>
          <w:lang w:eastAsia="en-GB"/>
        </w:rPr>
        <w:t>s</w:t>
      </w:r>
      <w:r w:rsidR="002C592F" w:rsidRPr="00BD1FE5">
        <w:rPr>
          <w:rFonts w:eastAsia="Times New Roman" w:cs="Times New Roman"/>
          <w:b/>
          <w:szCs w:val="24"/>
          <w:lang w:eastAsia="en-GB"/>
        </w:rPr>
        <w:t xml:space="preserve"> </w:t>
      </w:r>
      <w:r w:rsidR="002C592F">
        <w:rPr>
          <w:rFonts w:eastAsia="Times New Roman" w:cs="Times New Roman"/>
          <w:b/>
          <w:szCs w:val="24"/>
          <w:lang w:eastAsia="en-GB"/>
        </w:rPr>
        <w:t>18</w:t>
      </w:r>
      <w:r w:rsidR="006E6812">
        <w:rPr>
          <w:rFonts w:eastAsia="Times New Roman" w:cs="Times New Roman"/>
          <w:b/>
          <w:szCs w:val="24"/>
          <w:lang w:eastAsia="en-GB"/>
        </w:rPr>
        <w:t>,</w:t>
      </w:r>
      <w:r w:rsidR="002C592F">
        <w:rPr>
          <w:rFonts w:eastAsia="Times New Roman" w:cs="Times New Roman"/>
          <w:b/>
          <w:szCs w:val="24"/>
          <w:lang w:eastAsia="en-GB"/>
        </w:rPr>
        <w:t xml:space="preserve"> 19</w:t>
      </w:r>
      <w:r w:rsidR="00B40CF6">
        <w:rPr>
          <w:rFonts w:eastAsia="Times New Roman" w:cs="Times New Roman"/>
          <w:b/>
          <w:szCs w:val="24"/>
          <w:lang w:eastAsia="en-GB"/>
        </w:rPr>
        <w:t xml:space="preserve"> </w:t>
      </w:r>
      <w:r w:rsidR="00E7784B">
        <w:rPr>
          <w:rFonts w:eastAsia="Times New Roman" w:cs="Times New Roman"/>
          <w:b/>
          <w:szCs w:val="24"/>
          <w:lang w:eastAsia="en-GB"/>
        </w:rPr>
        <w:t>and</w:t>
      </w:r>
      <w:r w:rsidR="00B40CF6">
        <w:rPr>
          <w:rFonts w:eastAsia="Times New Roman" w:cs="Times New Roman"/>
          <w:b/>
          <w:szCs w:val="24"/>
          <w:lang w:eastAsia="en-GB"/>
        </w:rPr>
        <w:t xml:space="preserve"> 24</w:t>
      </w:r>
      <w:r w:rsidR="002C592F">
        <w:rPr>
          <w:rFonts w:eastAsia="Times New Roman" w:cs="Times New Roman"/>
          <w:bCs/>
          <w:szCs w:val="24"/>
          <w:lang w:eastAsia="en-GB"/>
        </w:rPr>
        <w:t>).</w:t>
      </w:r>
    </w:p>
    <w:p w14:paraId="657C1F89" w14:textId="627583A7" w:rsidR="00F333EE" w:rsidRPr="00BD1FE5" w:rsidRDefault="004873DD" w:rsidP="007C5880">
      <w:pPr>
        <w:widowControl w:val="0"/>
        <w:spacing w:after="120" w:line="240" w:lineRule="auto"/>
        <w:jc w:val="both"/>
        <w:rPr>
          <w:rFonts w:eastAsia="Times New Roman" w:cs="Times New Roman"/>
          <w:bCs/>
          <w:szCs w:val="24"/>
          <w:lang w:eastAsia="en-GB"/>
        </w:rPr>
      </w:pPr>
      <w:r>
        <w:rPr>
          <w:rFonts w:eastAsia="Times New Roman" w:cs="Times New Roman"/>
          <w:bCs/>
          <w:szCs w:val="24"/>
          <w:lang w:eastAsia="en-GB"/>
        </w:rPr>
        <w:t>Finally, the resolution</w:t>
      </w:r>
      <w:r w:rsidR="00F333EE" w:rsidRPr="00F333EE">
        <w:t xml:space="preserve"> </w:t>
      </w:r>
      <w:r w:rsidR="00F333EE" w:rsidRPr="00F333EE">
        <w:rPr>
          <w:rFonts w:eastAsia="Times New Roman" w:cs="Times New Roman"/>
          <w:bCs/>
          <w:szCs w:val="24"/>
          <w:lang w:eastAsia="en-GB"/>
        </w:rPr>
        <w:t>stresses the need to ensure that the</w:t>
      </w:r>
      <w:r w:rsidR="00555066">
        <w:rPr>
          <w:rFonts w:eastAsia="Times New Roman" w:cs="Times New Roman"/>
          <w:bCs/>
          <w:szCs w:val="24"/>
          <w:lang w:eastAsia="en-GB"/>
        </w:rPr>
        <w:t xml:space="preserve"> </w:t>
      </w:r>
      <w:r w:rsidR="00463BCA">
        <w:rPr>
          <w:rFonts w:eastAsia="Times New Roman" w:cs="Times New Roman"/>
          <w:lang w:eastAsia="en-GB"/>
        </w:rPr>
        <w:t>NHCR</w:t>
      </w:r>
      <w:r w:rsidR="00F333EE" w:rsidRPr="00F333EE">
        <w:rPr>
          <w:rFonts w:eastAsia="Times New Roman" w:cs="Times New Roman"/>
          <w:bCs/>
          <w:szCs w:val="24"/>
          <w:lang w:eastAsia="en-GB"/>
        </w:rPr>
        <w:t xml:space="preserve"> remains relevant in the online environment, especially because certain vulnerable groups may be particularly </w:t>
      </w:r>
      <w:r w:rsidR="00F333EE" w:rsidRPr="00F333EE">
        <w:rPr>
          <w:rFonts w:eastAsia="Times New Roman" w:cs="Times New Roman"/>
          <w:bCs/>
          <w:szCs w:val="24"/>
          <w:lang w:eastAsia="en-GB"/>
        </w:rPr>
        <w:lastRenderedPageBreak/>
        <w:t>sensitive to</w:t>
      </w:r>
      <w:r w:rsidR="00F333EE">
        <w:rPr>
          <w:rFonts w:eastAsia="Times New Roman" w:cs="Times New Roman"/>
          <w:bCs/>
          <w:szCs w:val="24"/>
          <w:lang w:eastAsia="en-GB"/>
        </w:rPr>
        <w:t xml:space="preserve"> </w:t>
      </w:r>
      <w:r w:rsidR="00F333EE" w:rsidRPr="00F333EE">
        <w:rPr>
          <w:rFonts w:eastAsia="Times New Roman" w:cs="Times New Roman"/>
          <w:bCs/>
          <w:szCs w:val="24"/>
          <w:lang w:eastAsia="en-GB"/>
        </w:rPr>
        <w:t>food information shared on social media</w:t>
      </w:r>
      <w:r w:rsidR="00F333EE">
        <w:rPr>
          <w:rFonts w:eastAsia="Times New Roman" w:cs="Times New Roman"/>
          <w:bCs/>
          <w:szCs w:val="24"/>
          <w:lang w:eastAsia="en-GB"/>
        </w:rPr>
        <w:t xml:space="preserve"> (</w:t>
      </w:r>
      <w:r w:rsidR="00F333EE" w:rsidRPr="00BD1FE5">
        <w:rPr>
          <w:rFonts w:eastAsia="Times New Roman" w:cs="Times New Roman"/>
          <w:b/>
          <w:szCs w:val="24"/>
          <w:lang w:eastAsia="en-GB"/>
        </w:rPr>
        <w:t xml:space="preserve">paragraph </w:t>
      </w:r>
      <w:r w:rsidR="00F333EE">
        <w:rPr>
          <w:rFonts w:eastAsia="Times New Roman" w:cs="Times New Roman"/>
          <w:b/>
          <w:szCs w:val="24"/>
          <w:lang w:eastAsia="en-GB"/>
        </w:rPr>
        <w:t>21</w:t>
      </w:r>
      <w:r w:rsidR="00F333EE">
        <w:rPr>
          <w:rFonts w:eastAsia="Times New Roman" w:cs="Times New Roman"/>
          <w:bCs/>
          <w:szCs w:val="24"/>
          <w:lang w:eastAsia="en-GB"/>
        </w:rPr>
        <w:t>). It c</w:t>
      </w:r>
      <w:r w:rsidR="00F333EE" w:rsidRPr="00F333EE">
        <w:rPr>
          <w:rFonts w:eastAsia="Times New Roman" w:cs="Times New Roman"/>
          <w:bCs/>
          <w:szCs w:val="24"/>
          <w:lang w:eastAsia="en-GB"/>
        </w:rPr>
        <w:t xml:space="preserve">alls for renewed attention to be given to achieving an effective and EU-wide approach to tackle the exposure of children and adolescents to the advertising and marketing of processed foods high in fat, </w:t>
      </w:r>
      <w:proofErr w:type="gramStart"/>
      <w:r w:rsidR="00F333EE" w:rsidRPr="00F333EE">
        <w:rPr>
          <w:rFonts w:eastAsia="Times New Roman" w:cs="Times New Roman"/>
          <w:bCs/>
          <w:szCs w:val="24"/>
          <w:lang w:eastAsia="en-GB"/>
        </w:rPr>
        <w:t>sugar</w:t>
      </w:r>
      <w:proofErr w:type="gramEnd"/>
      <w:r w:rsidR="00F333EE" w:rsidRPr="00F333EE">
        <w:rPr>
          <w:rFonts w:eastAsia="Times New Roman" w:cs="Times New Roman"/>
          <w:bCs/>
          <w:szCs w:val="24"/>
          <w:lang w:eastAsia="en-GB"/>
        </w:rPr>
        <w:t xml:space="preserve"> and salt on broadcast and digital media</w:t>
      </w:r>
      <w:r w:rsidR="003C50C3">
        <w:rPr>
          <w:rFonts w:eastAsia="Times New Roman" w:cs="Times New Roman"/>
          <w:bCs/>
          <w:szCs w:val="24"/>
          <w:lang w:eastAsia="en-GB"/>
        </w:rPr>
        <w:t>. It also</w:t>
      </w:r>
      <w:r w:rsidR="00F333EE">
        <w:rPr>
          <w:rFonts w:eastAsia="Times New Roman" w:cs="Times New Roman"/>
          <w:bCs/>
          <w:szCs w:val="24"/>
          <w:lang w:eastAsia="en-GB"/>
        </w:rPr>
        <w:t xml:space="preserve"> invites the Commission </w:t>
      </w:r>
      <w:r w:rsidR="00F333EE">
        <w:t xml:space="preserve">to draft comprehensive guidelines for the enforcement of the </w:t>
      </w:r>
      <w:r w:rsidR="00463BCA">
        <w:rPr>
          <w:rFonts w:eastAsia="Times New Roman" w:cs="Times New Roman"/>
          <w:lang w:eastAsia="en-GB"/>
        </w:rPr>
        <w:t>NHCR</w:t>
      </w:r>
      <w:r w:rsidR="00555066">
        <w:t xml:space="preserve"> </w:t>
      </w:r>
      <w:r w:rsidR="00F333EE">
        <w:t xml:space="preserve">online </w:t>
      </w:r>
      <w:r w:rsidR="00F333EE">
        <w:rPr>
          <w:rFonts w:eastAsia="Times New Roman" w:cs="Times New Roman"/>
          <w:bCs/>
          <w:szCs w:val="24"/>
          <w:lang w:eastAsia="en-GB"/>
        </w:rPr>
        <w:t>(</w:t>
      </w:r>
      <w:r w:rsidR="00F333EE" w:rsidRPr="00BD1FE5">
        <w:rPr>
          <w:rFonts w:eastAsia="Times New Roman" w:cs="Times New Roman"/>
          <w:b/>
          <w:szCs w:val="24"/>
          <w:lang w:eastAsia="en-GB"/>
        </w:rPr>
        <w:t>paragraph</w:t>
      </w:r>
      <w:r w:rsidR="00F333EE">
        <w:rPr>
          <w:rFonts w:eastAsia="Times New Roman" w:cs="Times New Roman"/>
          <w:b/>
          <w:szCs w:val="24"/>
          <w:lang w:eastAsia="en-GB"/>
        </w:rPr>
        <w:t>s</w:t>
      </w:r>
      <w:r w:rsidR="00F333EE" w:rsidRPr="00BD1FE5">
        <w:rPr>
          <w:rFonts w:eastAsia="Times New Roman" w:cs="Times New Roman"/>
          <w:b/>
          <w:szCs w:val="24"/>
          <w:lang w:eastAsia="en-GB"/>
        </w:rPr>
        <w:t xml:space="preserve"> </w:t>
      </w:r>
      <w:r w:rsidR="00F333EE">
        <w:rPr>
          <w:rFonts w:eastAsia="Times New Roman" w:cs="Times New Roman"/>
          <w:b/>
          <w:szCs w:val="24"/>
          <w:lang w:eastAsia="en-GB"/>
        </w:rPr>
        <w:t xml:space="preserve">22 </w:t>
      </w:r>
      <w:r w:rsidR="00E7784B">
        <w:rPr>
          <w:rFonts w:eastAsia="Times New Roman" w:cs="Times New Roman"/>
          <w:b/>
          <w:szCs w:val="24"/>
          <w:lang w:eastAsia="en-GB"/>
        </w:rPr>
        <w:t>and</w:t>
      </w:r>
      <w:r w:rsidR="00F333EE">
        <w:rPr>
          <w:rFonts w:eastAsia="Times New Roman" w:cs="Times New Roman"/>
          <w:b/>
          <w:szCs w:val="24"/>
          <w:lang w:eastAsia="en-GB"/>
        </w:rPr>
        <w:t xml:space="preserve"> 23</w:t>
      </w:r>
      <w:r w:rsidR="00F333EE">
        <w:rPr>
          <w:rFonts w:eastAsia="Times New Roman" w:cs="Times New Roman"/>
          <w:bCs/>
          <w:szCs w:val="24"/>
          <w:lang w:eastAsia="en-GB"/>
        </w:rPr>
        <w:t>).</w:t>
      </w:r>
    </w:p>
    <w:p w14:paraId="09C60D66" w14:textId="77777777" w:rsidR="00302387" w:rsidRPr="00302387" w:rsidRDefault="00302387" w:rsidP="007C5880">
      <w:pPr>
        <w:widowControl w:val="0"/>
        <w:spacing w:after="240" w:line="240" w:lineRule="auto"/>
        <w:ind w:left="720" w:hanging="720"/>
        <w:jc w:val="both"/>
        <w:rPr>
          <w:rFonts w:eastAsia="Times New Roman" w:cs="Times New Roman"/>
          <w:b/>
          <w:szCs w:val="24"/>
          <w:lang w:eastAsia="en-GB"/>
        </w:rPr>
      </w:pPr>
      <w:r w:rsidRPr="00302387">
        <w:rPr>
          <w:rFonts w:eastAsia="Times New Roman" w:cs="Times New Roman"/>
          <w:b/>
          <w:szCs w:val="24"/>
          <w:lang w:eastAsia="en-GB"/>
        </w:rPr>
        <w:t>6.</w:t>
      </w:r>
      <w:r w:rsidRPr="00302387">
        <w:rPr>
          <w:rFonts w:eastAsia="Times New Roman" w:cs="Times New Roman"/>
          <w:b/>
          <w:szCs w:val="24"/>
          <w:lang w:eastAsia="en-GB"/>
        </w:rPr>
        <w:tab/>
        <w:t>Response to requests and overview of action taken, or intended to be taken, by the Commission:</w:t>
      </w:r>
    </w:p>
    <w:p w14:paraId="45426A28" w14:textId="63974F89" w:rsidR="00BC5C80" w:rsidRDefault="000C7DC6" w:rsidP="007C5880">
      <w:pPr>
        <w:widowControl w:val="0"/>
        <w:spacing w:after="120" w:line="240" w:lineRule="auto"/>
        <w:jc w:val="both"/>
        <w:rPr>
          <w:rFonts w:eastAsia="Times New Roman" w:cs="Times New Roman"/>
          <w:szCs w:val="24"/>
        </w:rPr>
      </w:pPr>
      <w:r>
        <w:rPr>
          <w:rFonts w:eastAsia="Times New Roman" w:cs="Times New Roman"/>
          <w:b/>
          <w:bCs/>
          <w:szCs w:val="24"/>
        </w:rPr>
        <w:t>P</w:t>
      </w:r>
      <w:r w:rsidRPr="24570D3B">
        <w:rPr>
          <w:rFonts w:eastAsia="Times New Roman" w:cs="Times New Roman"/>
          <w:b/>
          <w:bCs/>
          <w:szCs w:val="24"/>
        </w:rPr>
        <w:t>aragraph 2</w:t>
      </w:r>
      <w:r>
        <w:rPr>
          <w:rFonts w:eastAsia="Times New Roman" w:cs="Times New Roman"/>
          <w:b/>
          <w:bCs/>
          <w:szCs w:val="24"/>
        </w:rPr>
        <w:t>:</w:t>
      </w:r>
      <w:r w:rsidRPr="24570D3B">
        <w:rPr>
          <w:rFonts w:eastAsia="Times New Roman" w:cs="Times New Roman"/>
          <w:szCs w:val="24"/>
        </w:rPr>
        <w:t xml:space="preserve"> </w:t>
      </w:r>
      <w:r w:rsidR="532B537B" w:rsidRPr="24570D3B">
        <w:rPr>
          <w:rFonts w:eastAsia="Times New Roman" w:cs="Times New Roman"/>
          <w:szCs w:val="24"/>
        </w:rPr>
        <w:t xml:space="preserve">The Commission would like to recall that </w:t>
      </w:r>
      <w:r w:rsidR="00555066">
        <w:rPr>
          <w:rFonts w:eastAsia="Times New Roman" w:cs="Times New Roman"/>
          <w:szCs w:val="24"/>
        </w:rPr>
        <w:t>t</w:t>
      </w:r>
      <w:r w:rsidR="77D5CB5C" w:rsidRPr="24570D3B">
        <w:rPr>
          <w:rFonts w:eastAsia="Times New Roman" w:cs="Times New Roman"/>
          <w:szCs w:val="24"/>
        </w:rPr>
        <w:t xml:space="preserve">he </w:t>
      </w:r>
      <w:r w:rsidR="00B15D2E">
        <w:rPr>
          <w:rFonts w:eastAsia="Times New Roman" w:cs="Times New Roman"/>
          <w:szCs w:val="24"/>
        </w:rPr>
        <w:t>NHCR</w:t>
      </w:r>
      <w:r w:rsidR="004C0A34">
        <w:rPr>
          <w:rFonts w:eastAsia="Times New Roman" w:cs="Times New Roman"/>
          <w:szCs w:val="24"/>
        </w:rPr>
        <w:t xml:space="preserve"> provides </w:t>
      </w:r>
      <w:r w:rsidR="00555066">
        <w:rPr>
          <w:rFonts w:eastAsia="Times New Roman" w:cs="Times New Roman"/>
          <w:szCs w:val="24"/>
        </w:rPr>
        <w:t xml:space="preserve">that </w:t>
      </w:r>
      <w:r w:rsidR="00555066" w:rsidRPr="24570D3B">
        <w:rPr>
          <w:rFonts w:eastAsia="Times New Roman" w:cs="Times New Roman"/>
          <w:szCs w:val="24"/>
        </w:rPr>
        <w:t>nutrition</w:t>
      </w:r>
      <w:r w:rsidR="532B537B" w:rsidRPr="24570D3B">
        <w:rPr>
          <w:rFonts w:eastAsia="Times New Roman" w:cs="Times New Roman"/>
          <w:szCs w:val="24"/>
        </w:rPr>
        <w:t xml:space="preserve"> and health claims shall only be made if they are consistent with generally accepted nutrition and health principles and </w:t>
      </w:r>
      <w:r w:rsidR="004C0A34">
        <w:rPr>
          <w:rFonts w:eastAsia="Times New Roman" w:cs="Times New Roman"/>
          <w:szCs w:val="24"/>
        </w:rPr>
        <w:t xml:space="preserve">that </w:t>
      </w:r>
      <w:r w:rsidR="532B537B" w:rsidRPr="24570D3B">
        <w:rPr>
          <w:rFonts w:eastAsia="Times New Roman" w:cs="Times New Roman"/>
          <w:szCs w:val="24"/>
        </w:rPr>
        <w:t xml:space="preserve">they must be truthful, clear, </w:t>
      </w:r>
      <w:proofErr w:type="gramStart"/>
      <w:r w:rsidR="532B537B" w:rsidRPr="24570D3B">
        <w:rPr>
          <w:rFonts w:eastAsia="Times New Roman" w:cs="Times New Roman"/>
          <w:szCs w:val="24"/>
        </w:rPr>
        <w:t>reliable</w:t>
      </w:r>
      <w:proofErr w:type="gramEnd"/>
      <w:r w:rsidR="532B537B" w:rsidRPr="24570D3B">
        <w:rPr>
          <w:rFonts w:eastAsia="Times New Roman" w:cs="Times New Roman"/>
          <w:szCs w:val="24"/>
        </w:rPr>
        <w:t xml:space="preserve"> and useful to the consumer in choosing a healthy diet. </w:t>
      </w:r>
      <w:r>
        <w:rPr>
          <w:rFonts w:eastAsia="Times New Roman" w:cs="Times New Roman"/>
          <w:szCs w:val="24"/>
        </w:rPr>
        <w:t>T</w:t>
      </w:r>
      <w:r w:rsidR="532B537B" w:rsidRPr="24570D3B">
        <w:rPr>
          <w:rFonts w:eastAsia="Times New Roman" w:cs="Times New Roman"/>
          <w:szCs w:val="24"/>
        </w:rPr>
        <w:t xml:space="preserve">he Commission would like to clarify that the only nutrition claims permitted to be made on food products marketed in the EU are the ones listed in the Annex of the </w:t>
      </w:r>
      <w:r w:rsidR="00B15D2E">
        <w:rPr>
          <w:rFonts w:eastAsia="Times New Roman" w:cs="Times New Roman"/>
          <w:szCs w:val="24"/>
        </w:rPr>
        <w:t>NHCR</w:t>
      </w:r>
      <w:r w:rsidR="532B537B" w:rsidRPr="24570D3B">
        <w:rPr>
          <w:rFonts w:eastAsia="Times New Roman" w:cs="Times New Roman"/>
          <w:szCs w:val="24"/>
        </w:rPr>
        <w:t xml:space="preserve">, in conformity with their accompanying conditions of use and the provisions of this Regulation. </w:t>
      </w:r>
      <w:r w:rsidR="003C50C3" w:rsidRPr="24570D3B">
        <w:rPr>
          <w:rFonts w:eastAsia="Times New Roman" w:cs="Times New Roman"/>
          <w:szCs w:val="24"/>
        </w:rPr>
        <w:t>Regarding</w:t>
      </w:r>
      <w:r w:rsidR="532B537B" w:rsidRPr="24570D3B">
        <w:rPr>
          <w:rFonts w:eastAsia="Times New Roman" w:cs="Times New Roman"/>
          <w:szCs w:val="24"/>
        </w:rPr>
        <w:t xml:space="preserve"> health claims, these are prohibited unless they are authorised</w:t>
      </w:r>
      <w:r w:rsidR="003C50C3">
        <w:rPr>
          <w:rFonts w:eastAsia="Times New Roman" w:cs="Times New Roman"/>
          <w:szCs w:val="24"/>
        </w:rPr>
        <w:t>,</w:t>
      </w:r>
      <w:r w:rsidR="532B537B" w:rsidRPr="24570D3B">
        <w:rPr>
          <w:rFonts w:eastAsia="Times New Roman" w:cs="Times New Roman"/>
          <w:szCs w:val="24"/>
        </w:rPr>
        <w:t xml:space="preserve"> and </w:t>
      </w:r>
      <w:r w:rsidR="003C50C3">
        <w:rPr>
          <w:rFonts w:eastAsia="Times New Roman" w:cs="Times New Roman"/>
          <w:szCs w:val="24"/>
        </w:rPr>
        <w:t xml:space="preserve">they </w:t>
      </w:r>
      <w:r w:rsidR="532B537B" w:rsidRPr="24570D3B">
        <w:rPr>
          <w:rFonts w:eastAsia="Times New Roman" w:cs="Times New Roman"/>
          <w:szCs w:val="24"/>
        </w:rPr>
        <w:t xml:space="preserve">are only authorised for use in the EU after a scientific assessment carried out by EFSA. A list of all authorised and rejected health claims is available in the EU Register of nutrition and health claims. This list is regularly updated </w:t>
      </w:r>
      <w:r w:rsidR="003C50C3">
        <w:rPr>
          <w:rFonts w:eastAsia="Times New Roman" w:cs="Times New Roman"/>
          <w:szCs w:val="24"/>
        </w:rPr>
        <w:t>based on</w:t>
      </w:r>
      <w:r w:rsidR="00BC5C80">
        <w:rPr>
          <w:rFonts w:eastAsia="Times New Roman" w:cs="Times New Roman"/>
          <w:szCs w:val="24"/>
        </w:rPr>
        <w:t xml:space="preserve"> new applications submitted by stakeholders which will be assessed by EFSA </w:t>
      </w:r>
      <w:proofErr w:type="gramStart"/>
      <w:r w:rsidR="00BC5C80">
        <w:rPr>
          <w:rFonts w:eastAsia="Times New Roman" w:cs="Times New Roman"/>
          <w:szCs w:val="24"/>
        </w:rPr>
        <w:t>taking into account</w:t>
      </w:r>
      <w:proofErr w:type="gramEnd"/>
      <w:r w:rsidR="00BC5C80">
        <w:rPr>
          <w:rFonts w:eastAsia="Times New Roman" w:cs="Times New Roman"/>
          <w:szCs w:val="24"/>
        </w:rPr>
        <w:t xml:space="preserve"> the latest scientific evidence</w:t>
      </w:r>
      <w:r w:rsidR="003C50C3">
        <w:rPr>
          <w:rFonts w:eastAsia="Times New Roman" w:cs="Times New Roman"/>
          <w:szCs w:val="24"/>
        </w:rPr>
        <w:t>. The applications are</w:t>
      </w:r>
      <w:r w:rsidR="00BC5C80">
        <w:rPr>
          <w:rFonts w:eastAsia="Times New Roman" w:cs="Times New Roman"/>
          <w:szCs w:val="24"/>
        </w:rPr>
        <w:t xml:space="preserve"> subsequently authorised or rejected by the Commission.</w:t>
      </w:r>
      <w:r w:rsidR="00824A9C">
        <w:rPr>
          <w:rFonts w:eastAsia="Times New Roman" w:cs="Times New Roman"/>
          <w:szCs w:val="24"/>
        </w:rPr>
        <w:t xml:space="preserve"> Member States are responsible </w:t>
      </w:r>
      <w:r w:rsidR="003D435E">
        <w:rPr>
          <w:rFonts w:eastAsia="Times New Roman" w:cs="Times New Roman"/>
          <w:szCs w:val="24"/>
        </w:rPr>
        <w:t xml:space="preserve">for enforcing </w:t>
      </w:r>
      <w:r w:rsidR="00FA2A4A">
        <w:rPr>
          <w:rFonts w:eastAsia="Times New Roman" w:cs="Times New Roman"/>
          <w:szCs w:val="24"/>
        </w:rPr>
        <w:t>the prohibition of use of health claims which have not been authorised.</w:t>
      </w:r>
    </w:p>
    <w:p w14:paraId="563007E5" w14:textId="0342DB9E" w:rsidR="53595672" w:rsidRPr="00FD6DD3" w:rsidRDefault="53595672" w:rsidP="007C5880">
      <w:pPr>
        <w:spacing w:after="120" w:line="240" w:lineRule="auto"/>
        <w:jc w:val="both"/>
        <w:rPr>
          <w:b/>
          <w:bCs/>
          <w:u w:val="single"/>
        </w:rPr>
      </w:pPr>
      <w:r w:rsidRPr="00FD6DD3">
        <w:rPr>
          <w:b/>
          <w:bCs/>
          <w:u w:val="single"/>
        </w:rPr>
        <w:t>Consideration of nutrient profiles in health claim assessments</w:t>
      </w:r>
      <w:r w:rsidR="072AB078" w:rsidRPr="00FD6DD3">
        <w:rPr>
          <w:b/>
          <w:bCs/>
          <w:u w:val="single"/>
        </w:rPr>
        <w:t xml:space="preserve"> and </w:t>
      </w:r>
      <w:r w:rsidR="008C3EFA" w:rsidRPr="00FD6DD3">
        <w:rPr>
          <w:b/>
          <w:bCs/>
          <w:u w:val="single"/>
        </w:rPr>
        <w:t>consumer information</w:t>
      </w:r>
    </w:p>
    <w:p w14:paraId="04A2FEA1" w14:textId="45D8532B" w:rsidR="00C408CF" w:rsidRDefault="53595672" w:rsidP="007C5880">
      <w:pPr>
        <w:spacing w:after="120" w:line="240" w:lineRule="auto"/>
        <w:jc w:val="both"/>
      </w:pPr>
      <w:r w:rsidRPr="00BD3A52">
        <w:rPr>
          <w:b/>
          <w:bCs/>
        </w:rPr>
        <w:t>Paragraphs 4</w:t>
      </w:r>
      <w:r w:rsidR="057B09E0" w:rsidRPr="00BD3A52">
        <w:rPr>
          <w:b/>
          <w:bCs/>
        </w:rPr>
        <w:t xml:space="preserve">, 5 and </w:t>
      </w:r>
      <w:r w:rsidR="174AC44B" w:rsidRPr="00BD3A52">
        <w:rPr>
          <w:b/>
          <w:bCs/>
        </w:rPr>
        <w:t>8</w:t>
      </w:r>
      <w:r w:rsidR="174AC44B" w:rsidRPr="00BD3A52">
        <w:t xml:space="preserve">: </w:t>
      </w:r>
      <w:r w:rsidR="00FE0641" w:rsidRPr="00BD3A52">
        <w:t>T</w:t>
      </w:r>
      <w:r w:rsidR="3193A198" w:rsidRPr="00BD3A52">
        <w:t xml:space="preserve">he Commission would like to point out that the work to review the </w:t>
      </w:r>
      <w:r w:rsidR="004C0A34">
        <w:t xml:space="preserve">FIC </w:t>
      </w:r>
      <w:r w:rsidR="3193A198" w:rsidRPr="00BD3A52">
        <w:t>Regulation, including on</w:t>
      </w:r>
      <w:r w:rsidR="078EB7D5" w:rsidRPr="00BD3A52">
        <w:t xml:space="preserve"> front-of-pack nutrition labelling and</w:t>
      </w:r>
      <w:r w:rsidR="3193A198" w:rsidRPr="00BD3A52">
        <w:t xml:space="preserve"> nutrient profile</w:t>
      </w:r>
      <w:r w:rsidR="2F91730E" w:rsidRPr="00BD3A52">
        <w:t>s</w:t>
      </w:r>
      <w:r w:rsidR="3193A198" w:rsidRPr="00BD3A52">
        <w:t xml:space="preserve">, is ongoing. </w:t>
      </w:r>
      <w:r w:rsidR="00426ABE">
        <w:t xml:space="preserve">The Commission is </w:t>
      </w:r>
      <w:r w:rsidR="3193A198" w:rsidRPr="00BD3A52">
        <w:t>focus</w:t>
      </w:r>
      <w:r w:rsidR="00426ABE">
        <w:t>ing</w:t>
      </w:r>
      <w:r w:rsidR="3193A198" w:rsidRPr="00BD3A52">
        <w:t xml:space="preserve"> on gathering robust evidence and data, particularly</w:t>
      </w:r>
      <w:r w:rsidR="3193A198">
        <w:t xml:space="preserve"> as regards impacts of food labelling on consumer behaviour, given the objective of empowering consumers to make informed, </w:t>
      </w:r>
      <w:proofErr w:type="gramStart"/>
      <w:r w:rsidR="3193A198">
        <w:t>healthy</w:t>
      </w:r>
      <w:proofErr w:type="gramEnd"/>
      <w:r w:rsidR="3193A198">
        <w:t xml:space="preserve"> and sustainable food choices.</w:t>
      </w:r>
    </w:p>
    <w:p w14:paraId="0854475B" w14:textId="0724E355" w:rsidR="7FA338C8" w:rsidRDefault="7FA338C8" w:rsidP="007C5880">
      <w:pPr>
        <w:spacing w:after="120" w:line="240" w:lineRule="auto"/>
        <w:jc w:val="both"/>
        <w:rPr>
          <w:rFonts w:eastAsia="Times New Roman" w:cs="Times New Roman"/>
          <w:szCs w:val="24"/>
        </w:rPr>
      </w:pPr>
      <w:r w:rsidRPr="0D59CF36">
        <w:rPr>
          <w:rFonts w:eastAsia="Times New Roman" w:cs="Times New Roman"/>
          <w:szCs w:val="24"/>
        </w:rPr>
        <w:t>The Commission asked EFSA to provide scientific advice for the development of harmonised mandatory front-of-pack nutrition labelling and the setting of nutrient profiles for restricting nutrition and health claims on foods. Following its adoption on 24 March 2022, EFSA’s scientific opinion was published in the EFSA Journal on 19 April 2022</w:t>
      </w:r>
      <w:r w:rsidR="00FA2A4A">
        <w:rPr>
          <w:rStyle w:val="FootnoteReference"/>
          <w:rFonts w:eastAsia="Times New Roman" w:cs="Times New Roman"/>
          <w:szCs w:val="24"/>
        </w:rPr>
        <w:footnoteReference w:id="2"/>
      </w:r>
      <w:r w:rsidRPr="0D59CF36">
        <w:rPr>
          <w:rFonts w:eastAsia="Times New Roman" w:cs="Times New Roman"/>
          <w:szCs w:val="24"/>
        </w:rPr>
        <w:t>.</w:t>
      </w:r>
    </w:p>
    <w:p w14:paraId="6AE9E515" w14:textId="4B7EDBDD" w:rsidR="2094E3BB" w:rsidRDefault="2094E3BB" w:rsidP="007C5880">
      <w:pPr>
        <w:spacing w:after="120" w:line="240" w:lineRule="auto"/>
        <w:jc w:val="both"/>
        <w:rPr>
          <w:rFonts w:eastAsia="Times New Roman" w:cs="Times New Roman"/>
          <w:szCs w:val="24"/>
        </w:rPr>
      </w:pPr>
      <w:r w:rsidRPr="0D59CF36">
        <w:rPr>
          <w:rFonts w:eastAsia="Times New Roman" w:cs="Times New Roman"/>
          <w:szCs w:val="24"/>
        </w:rPr>
        <w:t xml:space="preserve">On 9 </w:t>
      </w:r>
      <w:r w:rsidR="2E92E018" w:rsidRPr="0D59CF36">
        <w:rPr>
          <w:rFonts w:eastAsia="Times New Roman" w:cs="Times New Roman"/>
          <w:szCs w:val="24"/>
        </w:rPr>
        <w:t>September 2022, t</w:t>
      </w:r>
      <w:r w:rsidR="2789FDBE" w:rsidRPr="0D59CF36">
        <w:rPr>
          <w:rFonts w:eastAsia="Times New Roman" w:cs="Times New Roman"/>
          <w:szCs w:val="24"/>
        </w:rPr>
        <w:t xml:space="preserve">he Commission’s Joint Research </w:t>
      </w:r>
      <w:r w:rsidR="7F632431" w:rsidRPr="0D59CF36">
        <w:rPr>
          <w:rFonts w:eastAsia="Times New Roman" w:cs="Times New Roman"/>
          <w:szCs w:val="24"/>
        </w:rPr>
        <w:t>C</w:t>
      </w:r>
      <w:r w:rsidR="2789FDBE" w:rsidRPr="0D59CF36">
        <w:rPr>
          <w:rFonts w:eastAsia="Times New Roman" w:cs="Times New Roman"/>
          <w:szCs w:val="24"/>
        </w:rPr>
        <w:t>entre</w:t>
      </w:r>
      <w:r w:rsidR="3405CCE9" w:rsidRPr="0D59CF36">
        <w:rPr>
          <w:rFonts w:eastAsia="Times New Roman" w:cs="Times New Roman"/>
          <w:szCs w:val="24"/>
        </w:rPr>
        <w:t xml:space="preserve"> </w:t>
      </w:r>
      <w:r w:rsidR="00B15D2E">
        <w:rPr>
          <w:rFonts w:eastAsia="Times New Roman" w:cs="Times New Roman"/>
          <w:szCs w:val="24"/>
        </w:rPr>
        <w:t xml:space="preserve">(JRC) </w:t>
      </w:r>
      <w:r w:rsidR="3405CCE9" w:rsidRPr="0D59CF36">
        <w:rPr>
          <w:rFonts w:eastAsia="Times New Roman" w:cs="Times New Roman"/>
          <w:szCs w:val="24"/>
        </w:rPr>
        <w:t xml:space="preserve">published </w:t>
      </w:r>
      <w:r w:rsidR="65A0772B" w:rsidRPr="04D8F50A">
        <w:rPr>
          <w:rFonts w:eastAsia="Times New Roman" w:cs="Times New Roman"/>
        </w:rPr>
        <w:t>a</w:t>
      </w:r>
      <w:r w:rsidR="26B4CEB3" w:rsidRPr="04D8F50A">
        <w:rPr>
          <w:rFonts w:eastAsia="Times New Roman" w:cs="Times New Roman"/>
        </w:rPr>
        <w:t>n updated</w:t>
      </w:r>
      <w:r w:rsidR="65A0772B" w:rsidRPr="04D8F50A">
        <w:rPr>
          <w:rFonts w:eastAsia="Times New Roman" w:cs="Times New Roman"/>
        </w:rPr>
        <w:t xml:space="preserve"> </w:t>
      </w:r>
      <w:r w:rsidR="70DFA0D7" w:rsidRPr="04D8F50A">
        <w:rPr>
          <w:rFonts w:eastAsia="Times New Roman" w:cs="Times New Roman"/>
        </w:rPr>
        <w:t>literature review</w:t>
      </w:r>
      <w:r w:rsidR="3405CCE9" w:rsidRPr="0D59CF36">
        <w:rPr>
          <w:rFonts w:eastAsia="Times New Roman" w:cs="Times New Roman"/>
          <w:szCs w:val="24"/>
        </w:rPr>
        <w:t xml:space="preserve"> that synthesises the current scientific evidence regarding </w:t>
      </w:r>
      <w:r w:rsidR="0228CC44" w:rsidRPr="04D8F50A">
        <w:rPr>
          <w:rFonts w:eastAsia="Times New Roman" w:cs="Times New Roman"/>
        </w:rPr>
        <w:t xml:space="preserve">the effects of </w:t>
      </w:r>
      <w:r w:rsidR="3405CCE9" w:rsidRPr="0D59CF36">
        <w:rPr>
          <w:rFonts w:eastAsia="Times New Roman" w:cs="Times New Roman"/>
          <w:szCs w:val="24"/>
        </w:rPr>
        <w:t>front-of-pack nutrition labelling</w:t>
      </w:r>
      <w:r w:rsidR="28509F14" w:rsidRPr="04D8F50A">
        <w:rPr>
          <w:rFonts w:eastAsiaTheme="minorEastAsia"/>
          <w:szCs w:val="24"/>
        </w:rPr>
        <w:t xml:space="preserve"> on</w:t>
      </w:r>
      <w:r w:rsidR="2D99CD66" w:rsidRPr="04D8F50A">
        <w:rPr>
          <w:rFonts w:eastAsiaTheme="minorEastAsia"/>
          <w:szCs w:val="24"/>
        </w:rPr>
        <w:t xml:space="preserve"> consumers' understanding, food purchases, </w:t>
      </w:r>
      <w:proofErr w:type="gramStart"/>
      <w:r w:rsidR="2D99CD66" w:rsidRPr="04D8F50A">
        <w:rPr>
          <w:rFonts w:eastAsiaTheme="minorEastAsia"/>
          <w:szCs w:val="24"/>
        </w:rPr>
        <w:t>diet</w:t>
      </w:r>
      <w:proofErr w:type="gramEnd"/>
      <w:r w:rsidR="2D99CD66" w:rsidRPr="04D8F50A">
        <w:rPr>
          <w:rFonts w:eastAsiaTheme="minorEastAsia"/>
          <w:szCs w:val="24"/>
        </w:rPr>
        <w:t xml:space="preserve"> and health, as well as food reformulation</w:t>
      </w:r>
      <w:r w:rsidR="001354C5">
        <w:rPr>
          <w:rStyle w:val="FootnoteReference"/>
          <w:rFonts w:eastAsiaTheme="minorEastAsia"/>
          <w:szCs w:val="24"/>
        </w:rPr>
        <w:footnoteReference w:id="3"/>
      </w:r>
      <w:r w:rsidR="2D99CD66" w:rsidRPr="04D8F50A">
        <w:rPr>
          <w:rFonts w:eastAsiaTheme="minorEastAsia"/>
          <w:szCs w:val="24"/>
        </w:rPr>
        <w:t>.</w:t>
      </w:r>
    </w:p>
    <w:p w14:paraId="4D0968EF" w14:textId="5760C0BC" w:rsidR="0FBF6351" w:rsidRPr="00BD3A52" w:rsidRDefault="0FBF6351" w:rsidP="007C5880">
      <w:pPr>
        <w:spacing w:after="120" w:line="240" w:lineRule="auto"/>
        <w:jc w:val="both"/>
      </w:pPr>
      <w:r w:rsidRPr="00BD3A52">
        <w:rPr>
          <w:b/>
          <w:bCs/>
        </w:rPr>
        <w:t>Paragraph 6</w:t>
      </w:r>
      <w:r w:rsidRPr="00BD3A52">
        <w:t xml:space="preserve">: </w:t>
      </w:r>
      <w:r w:rsidR="4E3FF9C2" w:rsidRPr="00BD3A52">
        <w:t>In line with the Farm to Fork Strategy, the Commission is working on actions to</w:t>
      </w:r>
      <w:r w:rsidR="7DF3E7CA" w:rsidRPr="00BD3A52">
        <w:t xml:space="preserve"> create a favourable food environment.</w:t>
      </w:r>
      <w:r w:rsidR="093BAE8B" w:rsidRPr="00BD3A52">
        <w:t xml:space="preserve"> T</w:t>
      </w:r>
      <w:r w:rsidR="6E76289D" w:rsidRPr="00BD3A52">
        <w:t>he EU Code of Conduct on Responsible Food Business and Marketing Practices</w:t>
      </w:r>
      <w:r w:rsidR="01EF4D81" w:rsidRPr="00BD3A52">
        <w:t>, launched in</w:t>
      </w:r>
      <w:r w:rsidR="685828E6" w:rsidRPr="00BD3A52">
        <w:t xml:space="preserve"> July 2021, </w:t>
      </w:r>
      <w:r w:rsidR="6E76289D" w:rsidRPr="00BD3A52">
        <w:t xml:space="preserve">includes a set of </w:t>
      </w:r>
      <w:r w:rsidR="003C50C3">
        <w:t>seven</w:t>
      </w:r>
      <w:r w:rsidR="6E76289D" w:rsidRPr="00BD3A52">
        <w:t xml:space="preserve"> aspirational objectives, each with specific targets and a list of </w:t>
      </w:r>
      <w:proofErr w:type="gramStart"/>
      <w:r w:rsidR="6E76289D" w:rsidRPr="00BD3A52">
        <w:t>indicative</w:t>
      </w:r>
      <w:proofErr w:type="gramEnd"/>
      <w:r w:rsidR="6E76289D" w:rsidRPr="00BD3A52">
        <w:t xml:space="preserve">, tangible and measurable actions, which </w:t>
      </w:r>
      <w:r w:rsidR="0065079D">
        <w:t>aim at</w:t>
      </w:r>
      <w:r w:rsidR="6E76289D" w:rsidRPr="00BD3A52">
        <w:t xml:space="preserve"> contribut</w:t>
      </w:r>
      <w:r w:rsidR="0065079D">
        <w:t>ing</w:t>
      </w:r>
      <w:r w:rsidR="6E76289D" w:rsidRPr="00BD3A52">
        <w:t xml:space="preserve"> to a food environment that makes healthy and sustainable food </w:t>
      </w:r>
      <w:r w:rsidR="6E76289D" w:rsidRPr="00BD3A52">
        <w:lastRenderedPageBreak/>
        <w:t xml:space="preserve">choices easier. </w:t>
      </w:r>
      <w:r w:rsidR="0D691116" w:rsidRPr="00BD3A52">
        <w:t>Mo</w:t>
      </w:r>
      <w:r w:rsidR="6E76289D" w:rsidRPr="00BD3A52">
        <w:t xml:space="preserve">nitoring the food environment is crucial. The </w:t>
      </w:r>
      <w:r w:rsidR="00B15D2E">
        <w:t>JRC</w:t>
      </w:r>
      <w:r w:rsidR="6E76289D" w:rsidRPr="00BD3A52">
        <w:t xml:space="preserve"> launched the Food and Beverages Labels Explorer (FABLE) in September 2023 to monitor the composition of packaged foods in Europe and the success of food reformulation initiatives in the Member States</w:t>
      </w:r>
      <w:r w:rsidR="00703A28">
        <w:rPr>
          <w:rStyle w:val="FootnoteReference"/>
        </w:rPr>
        <w:footnoteReference w:id="4"/>
      </w:r>
      <w:r w:rsidR="6E76289D" w:rsidRPr="00BD3A52">
        <w:t xml:space="preserve">. </w:t>
      </w:r>
      <w:r w:rsidR="47D1B2C3">
        <w:t>The</w:t>
      </w:r>
      <w:r w:rsidR="673ABDC0">
        <w:t xml:space="preserve"> </w:t>
      </w:r>
      <w:r w:rsidR="4532F59C" w:rsidRPr="00BD3A52">
        <w:t xml:space="preserve">Commission </w:t>
      </w:r>
      <w:r w:rsidR="0095007F">
        <w:t xml:space="preserve">is also preparing </w:t>
      </w:r>
      <w:r w:rsidR="5905F010">
        <w:t xml:space="preserve">actions </w:t>
      </w:r>
      <w:r w:rsidR="4532F59C" w:rsidRPr="00BD3A52">
        <w:t xml:space="preserve">to support sustainable public procurement of food and catering services, including </w:t>
      </w:r>
      <w:r w:rsidR="5E32C728">
        <w:t xml:space="preserve">nutritional </w:t>
      </w:r>
      <w:r w:rsidR="4532F59C" w:rsidRPr="00BD3A52">
        <w:t xml:space="preserve">criteria </w:t>
      </w:r>
      <w:r w:rsidR="3469A099">
        <w:t>supporting</w:t>
      </w:r>
      <w:r w:rsidR="4532F59C" w:rsidRPr="00BD3A52">
        <w:t xml:space="preserve"> healthy </w:t>
      </w:r>
      <w:r w:rsidR="47D1B2C3">
        <w:t>diet</w:t>
      </w:r>
      <w:r w:rsidR="44D661F9">
        <w:t>s</w:t>
      </w:r>
      <w:r w:rsidR="4532F59C" w:rsidRPr="00BD3A52">
        <w:t xml:space="preserve"> in schools and </w:t>
      </w:r>
      <w:r w:rsidR="055B3E4B">
        <w:t>other</w:t>
      </w:r>
      <w:r w:rsidR="47D1B2C3">
        <w:t xml:space="preserve"> </w:t>
      </w:r>
      <w:r w:rsidR="4532F59C" w:rsidRPr="00BD3A52">
        <w:t>public institutions.</w:t>
      </w:r>
    </w:p>
    <w:p w14:paraId="6F25E85D" w14:textId="7417D9EB" w:rsidR="00E33371" w:rsidRPr="00703A28" w:rsidRDefault="6E76289D" w:rsidP="007C5880">
      <w:pPr>
        <w:spacing w:after="120" w:line="240" w:lineRule="auto"/>
        <w:jc w:val="both"/>
      </w:pPr>
      <w:r w:rsidRPr="00BD3A52">
        <w:t xml:space="preserve">The Commission is </w:t>
      </w:r>
      <w:r w:rsidR="004C0A34">
        <w:t xml:space="preserve">also </w:t>
      </w:r>
      <w:r w:rsidRPr="00BD3A52">
        <w:t xml:space="preserve">reviewing the EU </w:t>
      </w:r>
      <w:r w:rsidR="00C20B50">
        <w:t>s</w:t>
      </w:r>
      <w:r w:rsidRPr="00BD3A52">
        <w:t xml:space="preserve">chool </w:t>
      </w:r>
      <w:r w:rsidR="00C20B50">
        <w:t>s</w:t>
      </w:r>
      <w:r w:rsidRPr="00BD3A52">
        <w:t>cheme notably with the aim of strengthening educational messages on the importance of healthy nutrition</w:t>
      </w:r>
      <w:r w:rsidR="0BAC467A" w:rsidRPr="00BD3A52">
        <w:t xml:space="preserve"> and to</w:t>
      </w:r>
      <w:r w:rsidR="00D6094B">
        <w:t xml:space="preserve"> enhance</w:t>
      </w:r>
      <w:r w:rsidR="00D6094B" w:rsidRPr="00BD3A52">
        <w:t xml:space="preserve"> </w:t>
      </w:r>
      <w:r w:rsidR="0BAC467A" w:rsidRPr="00BD3A52">
        <w:t xml:space="preserve">the scheme </w:t>
      </w:r>
      <w:r w:rsidR="00D6094B">
        <w:t xml:space="preserve">contribution to </w:t>
      </w:r>
      <w:r w:rsidR="0BAC467A" w:rsidRPr="00BD3A52">
        <w:t>healthy and sustainable food</w:t>
      </w:r>
      <w:r w:rsidR="00D6094B">
        <w:t xml:space="preserve"> consumption</w:t>
      </w:r>
      <w:r w:rsidRPr="00BD3A52">
        <w:t>.</w:t>
      </w:r>
      <w:r w:rsidR="00703A28">
        <w:t xml:space="preserve"> </w:t>
      </w:r>
      <w:r w:rsidR="00FB145A" w:rsidRPr="00703A28">
        <w:rPr>
          <w:rFonts w:cs="Times New Roman"/>
          <w:color w:val="000000"/>
          <w:szCs w:val="24"/>
        </w:rPr>
        <w:t xml:space="preserve">The </w:t>
      </w:r>
      <w:r w:rsidR="00E33371" w:rsidRPr="00703A28">
        <w:rPr>
          <w:rFonts w:cs="Times New Roman"/>
          <w:color w:val="000000"/>
          <w:szCs w:val="24"/>
        </w:rPr>
        <w:t xml:space="preserve">Commission's informal expert group on supporting well-being at school is preparing </w:t>
      </w:r>
      <w:r w:rsidR="00E33371" w:rsidRPr="00703A28">
        <w:rPr>
          <w:rFonts w:cs="Times New Roman"/>
          <w:szCs w:val="24"/>
        </w:rPr>
        <w:t>guidelines on well-being at school that will include recommendations about educating children to make healthy choices</w:t>
      </w:r>
      <w:r w:rsidR="00E33371" w:rsidRPr="00703A28">
        <w:rPr>
          <w:rFonts w:cs="Times New Roman"/>
          <w:color w:val="000000"/>
          <w:szCs w:val="24"/>
        </w:rPr>
        <w:t xml:space="preserve">. They are expected to be published </w:t>
      </w:r>
      <w:r w:rsidR="00F07DD9">
        <w:rPr>
          <w:rFonts w:cs="Times New Roman"/>
          <w:color w:val="000000"/>
          <w:szCs w:val="24"/>
        </w:rPr>
        <w:t xml:space="preserve">by summer </w:t>
      </w:r>
      <w:r w:rsidR="00E33371" w:rsidRPr="00703A28">
        <w:rPr>
          <w:rFonts w:cs="Times New Roman"/>
          <w:color w:val="000000"/>
          <w:szCs w:val="24"/>
        </w:rPr>
        <w:t>2024 (no date available).</w:t>
      </w:r>
    </w:p>
    <w:p w14:paraId="6C608035" w14:textId="4D602DE8" w:rsidR="6E76289D" w:rsidRDefault="6E76289D" w:rsidP="007C5880">
      <w:pPr>
        <w:spacing w:after="120" w:line="240" w:lineRule="auto"/>
        <w:jc w:val="both"/>
        <w:rPr>
          <w:rFonts w:eastAsia="Times New Roman" w:cs="Times New Roman"/>
          <w:szCs w:val="24"/>
        </w:rPr>
      </w:pPr>
      <w:r w:rsidRPr="00BD3A52">
        <w:t xml:space="preserve">While </w:t>
      </w:r>
      <w:r w:rsidR="57FCF5DE" w:rsidRPr="00BD3A52">
        <w:t xml:space="preserve">dietary guidelines and </w:t>
      </w:r>
      <w:r w:rsidRPr="00BD3A52">
        <w:t xml:space="preserve">education </w:t>
      </w:r>
      <w:r w:rsidR="46186F09" w:rsidRPr="00BD3A52">
        <w:t xml:space="preserve">are </w:t>
      </w:r>
      <w:r w:rsidRPr="00BD3A52">
        <w:t>primarily the responsibility of the Member States, the Commission, for its part, is supporting Member States in reaching the targets of the World Health Organi</w:t>
      </w:r>
      <w:r w:rsidR="003C50C3">
        <w:t>z</w:t>
      </w:r>
      <w:r w:rsidRPr="00BD3A52">
        <w:t>ation (WHO) on non-communicable diseases by providing financial and administrative support to Member States to implement evaluated best practices.</w:t>
      </w:r>
      <w:r w:rsidR="1293E78C" w:rsidRPr="00BD3A52">
        <w:t xml:space="preserve"> The Commission would like to </w:t>
      </w:r>
      <w:r w:rsidR="0DDA203C" w:rsidRPr="00BD3A52">
        <w:t xml:space="preserve">point to </w:t>
      </w:r>
      <w:r w:rsidR="1293E78C" w:rsidRPr="00BD3A52">
        <w:t>the allocation of an EU funding of EUR 7</w:t>
      </w:r>
      <w:r w:rsidR="0095007F">
        <w:t>6</w:t>
      </w:r>
      <w:r w:rsidR="1293E78C" w:rsidRPr="00BD3A52">
        <w:t xml:space="preserve"> million from the EU4Health work programme for </w:t>
      </w:r>
      <w:r w:rsidR="004C0A34">
        <w:t>the</w:t>
      </w:r>
      <w:r w:rsidR="1293E78C" w:rsidRPr="00BD3A52">
        <w:t xml:space="preserve"> </w:t>
      </w:r>
      <w:r w:rsidR="2A24A8F2" w:rsidRPr="00BD3A52">
        <w:t xml:space="preserve">Member States’ </w:t>
      </w:r>
      <w:r w:rsidR="1293E78C" w:rsidRPr="00BD3A52">
        <w:t>joint action on addressing health determinants of non-communicable, including diet-related, diseases (</w:t>
      </w:r>
      <w:proofErr w:type="spellStart"/>
      <w:r w:rsidR="1293E78C" w:rsidRPr="00BD3A52">
        <w:t>JAPreventNCD</w:t>
      </w:r>
      <w:proofErr w:type="spellEnd"/>
      <w:r w:rsidR="1293E78C" w:rsidRPr="00BD3A52">
        <w:t xml:space="preserve">). Through this action, Member States will work together to improve their capacities to plan and implement prevention policies and activities at national, </w:t>
      </w:r>
      <w:proofErr w:type="gramStart"/>
      <w:r w:rsidR="1293E78C" w:rsidRPr="00BD3A52">
        <w:t>regional</w:t>
      </w:r>
      <w:proofErr w:type="gramEnd"/>
      <w:r w:rsidR="1293E78C" w:rsidRPr="00BD3A52">
        <w:t xml:space="preserve"> and local level.</w:t>
      </w:r>
      <w:r w:rsidR="1293E78C" w:rsidRPr="00BD3A52">
        <w:rPr>
          <w:rFonts w:eastAsia="Times New Roman" w:cs="Times New Roman"/>
          <w:szCs w:val="24"/>
        </w:rPr>
        <w:t xml:space="preserve"> </w:t>
      </w:r>
      <w:proofErr w:type="spellStart"/>
      <w:r w:rsidR="1293E78C" w:rsidRPr="00BD3A52">
        <w:rPr>
          <w:rFonts w:eastAsia="Times New Roman" w:cs="Times New Roman"/>
          <w:szCs w:val="24"/>
        </w:rPr>
        <w:t>JAPreventNCD</w:t>
      </w:r>
      <w:proofErr w:type="spellEnd"/>
      <w:r w:rsidR="1293E78C" w:rsidRPr="00BD3A52">
        <w:rPr>
          <w:rFonts w:eastAsia="Times New Roman" w:cs="Times New Roman"/>
          <w:szCs w:val="24"/>
        </w:rPr>
        <w:t xml:space="preserve"> will also build and expand on the work and outcomes of the </w:t>
      </w:r>
      <w:r w:rsidR="000A4B27" w:rsidRPr="000A4B27">
        <w:rPr>
          <w:rFonts w:eastAsia="Times New Roman" w:cs="Times New Roman"/>
          <w:szCs w:val="24"/>
        </w:rPr>
        <w:t>Joint Action Best Practices in Nutrition (JA Best-</w:t>
      </w:r>
      <w:proofErr w:type="spellStart"/>
      <w:r w:rsidR="000A4B27" w:rsidRPr="000A4B27">
        <w:rPr>
          <w:rFonts w:eastAsia="Times New Roman" w:cs="Times New Roman"/>
          <w:szCs w:val="24"/>
        </w:rPr>
        <w:t>ReMaP</w:t>
      </w:r>
      <w:proofErr w:type="spellEnd"/>
      <w:r w:rsidR="000A4B27" w:rsidRPr="000A4B27">
        <w:rPr>
          <w:rFonts w:eastAsia="Times New Roman" w:cs="Times New Roman"/>
          <w:szCs w:val="24"/>
        </w:rPr>
        <w:t xml:space="preserve"> = Best practices in </w:t>
      </w:r>
      <w:r w:rsidR="0CCDB86A" w:rsidRPr="04D8F50A">
        <w:rPr>
          <w:rFonts w:eastAsia="Times New Roman" w:cs="Times New Roman"/>
        </w:rPr>
        <w:t xml:space="preserve">food </w:t>
      </w:r>
      <w:r w:rsidR="000A4B27" w:rsidRPr="000A4B27">
        <w:rPr>
          <w:rFonts w:eastAsia="Times New Roman" w:cs="Times New Roman"/>
          <w:szCs w:val="24"/>
        </w:rPr>
        <w:t>R</w:t>
      </w:r>
      <w:r w:rsidR="0098201A">
        <w:rPr>
          <w:rFonts w:eastAsia="Times New Roman" w:cs="Times New Roman"/>
          <w:szCs w:val="24"/>
        </w:rPr>
        <w:t>e</w:t>
      </w:r>
      <w:r w:rsidR="000A4B27" w:rsidRPr="000A4B27">
        <w:rPr>
          <w:rFonts w:eastAsia="Times New Roman" w:cs="Times New Roman"/>
          <w:szCs w:val="24"/>
        </w:rPr>
        <w:t>formulation, M</w:t>
      </w:r>
      <w:r w:rsidR="0098201A">
        <w:rPr>
          <w:rFonts w:eastAsia="Times New Roman" w:cs="Times New Roman"/>
          <w:szCs w:val="24"/>
        </w:rPr>
        <w:t>a</w:t>
      </w:r>
      <w:r w:rsidR="000A4B27" w:rsidRPr="000A4B27">
        <w:rPr>
          <w:rFonts w:eastAsia="Times New Roman" w:cs="Times New Roman"/>
          <w:szCs w:val="24"/>
        </w:rPr>
        <w:t xml:space="preserve">rketing </w:t>
      </w:r>
      <w:r w:rsidR="6F8F5249" w:rsidRPr="04D8F50A">
        <w:rPr>
          <w:rFonts w:eastAsia="Times New Roman" w:cs="Times New Roman"/>
        </w:rPr>
        <w:t>and</w:t>
      </w:r>
      <w:r w:rsidR="000A4B27" w:rsidRPr="000A4B27">
        <w:rPr>
          <w:rFonts w:eastAsia="Times New Roman" w:cs="Times New Roman"/>
          <w:szCs w:val="24"/>
        </w:rPr>
        <w:t xml:space="preserve"> Public procurement</w:t>
      </w:r>
      <w:r w:rsidR="000A4B27">
        <w:rPr>
          <w:rFonts w:eastAsia="Times New Roman" w:cs="Times New Roman"/>
          <w:szCs w:val="24"/>
        </w:rPr>
        <w:t xml:space="preserve">) </w:t>
      </w:r>
      <w:r w:rsidR="1293E78C" w:rsidRPr="00BD3A52">
        <w:rPr>
          <w:rFonts w:eastAsia="Times New Roman" w:cs="Times New Roman"/>
          <w:szCs w:val="24"/>
        </w:rPr>
        <w:t xml:space="preserve">on the tools and methodology related to policies than can influence the food </w:t>
      </w:r>
      <w:r w:rsidR="1293E78C" w:rsidRPr="0D59CF36">
        <w:rPr>
          <w:rFonts w:eastAsia="Times New Roman" w:cs="Times New Roman"/>
          <w:szCs w:val="24"/>
        </w:rPr>
        <w:t>consumed by children, including food reformulation, re</w:t>
      </w:r>
      <w:r w:rsidR="7EB76666" w:rsidRPr="04D8F50A">
        <w:rPr>
          <w:rFonts w:eastAsia="Times New Roman" w:cs="Times New Roman"/>
        </w:rPr>
        <w:t>stricting unhealthy</w:t>
      </w:r>
      <w:r w:rsidR="1293E78C" w:rsidRPr="0D59CF36">
        <w:rPr>
          <w:rFonts w:eastAsia="Times New Roman" w:cs="Times New Roman"/>
          <w:szCs w:val="24"/>
        </w:rPr>
        <w:t xml:space="preserve"> food marketing and public food procurement.</w:t>
      </w:r>
    </w:p>
    <w:p w14:paraId="63E66355" w14:textId="7DCDFD09" w:rsidR="00BA3380" w:rsidRDefault="53595672" w:rsidP="007C5880">
      <w:pPr>
        <w:pStyle w:val="norm"/>
        <w:shd w:val="clear" w:color="auto" w:fill="FFFFFF"/>
        <w:spacing w:before="120" w:beforeAutospacing="0" w:after="120" w:afterAutospacing="0"/>
        <w:jc w:val="both"/>
      </w:pPr>
      <w:r w:rsidRPr="00BD3A52">
        <w:rPr>
          <w:b/>
          <w:bCs/>
        </w:rPr>
        <w:t>Paragraph 7</w:t>
      </w:r>
      <w:r w:rsidR="4CC15A30" w:rsidRPr="00BD3A52">
        <w:rPr>
          <w:b/>
          <w:bCs/>
        </w:rPr>
        <w:t>:</w:t>
      </w:r>
      <w:r w:rsidR="4CC15A30" w:rsidRPr="00BD3A52">
        <w:t xml:space="preserve"> </w:t>
      </w:r>
      <w:r w:rsidR="7A47EAED" w:rsidRPr="00BD3A52">
        <w:t>T</w:t>
      </w:r>
      <w:r w:rsidR="5635FC98" w:rsidRPr="00BD3A52">
        <w:t xml:space="preserve">he Commission is </w:t>
      </w:r>
      <w:r w:rsidR="70AB814C" w:rsidRPr="00BD3A52">
        <w:t xml:space="preserve">currently </w:t>
      </w:r>
      <w:r w:rsidR="5635FC98" w:rsidRPr="00BD3A52">
        <w:t xml:space="preserve">working on </w:t>
      </w:r>
      <w:r w:rsidR="79325DEA" w:rsidRPr="00BD3A52">
        <w:t>the setting of maximum amounts of</w:t>
      </w:r>
      <w:r w:rsidR="084D1242" w:rsidRPr="00BD3A52">
        <w:t xml:space="preserve"> vitamins and minerals in</w:t>
      </w:r>
      <w:r w:rsidR="5635FC98" w:rsidRPr="00BD3A52">
        <w:t xml:space="preserve"> food supplements </w:t>
      </w:r>
      <w:r w:rsidR="5635FC98" w:rsidRPr="001E7036">
        <w:t>and fortified foods</w:t>
      </w:r>
      <w:r w:rsidR="661B8AAB" w:rsidRPr="001E7036">
        <w:t xml:space="preserve">, </w:t>
      </w:r>
      <w:r w:rsidR="4BB8B328" w:rsidRPr="001E7036">
        <w:t>as provided for in Article 5 of</w:t>
      </w:r>
      <w:r w:rsidR="073434BD" w:rsidRPr="001E7036">
        <w:t xml:space="preserve"> Directive 2002/46/EC on food supplements </w:t>
      </w:r>
      <w:r w:rsidR="3DB9A75E" w:rsidRPr="001E7036">
        <w:t>and in Article 6 of Regulation (EC) No 1925/2006 on the addition of vitamins and minerals and of other substances</w:t>
      </w:r>
      <w:r w:rsidR="3DB9A75E" w:rsidRPr="00BD3A52">
        <w:t xml:space="preserve"> to food</w:t>
      </w:r>
      <w:r w:rsidR="001E7036">
        <w:t>.</w:t>
      </w:r>
    </w:p>
    <w:p w14:paraId="38BC82FA" w14:textId="4EA972DF" w:rsidR="00BA3380" w:rsidRPr="00FD6DD3" w:rsidRDefault="00BA3380" w:rsidP="007C5880">
      <w:pPr>
        <w:spacing w:after="120" w:line="240" w:lineRule="auto"/>
        <w:rPr>
          <w:b/>
          <w:bCs/>
          <w:iCs/>
          <w:szCs w:val="24"/>
          <w:u w:val="single"/>
        </w:rPr>
      </w:pPr>
      <w:r w:rsidRPr="00FD6DD3">
        <w:rPr>
          <w:b/>
          <w:bCs/>
          <w:iCs/>
          <w:szCs w:val="24"/>
          <w:u w:val="single"/>
        </w:rPr>
        <w:t>Relevance of claims</w:t>
      </w:r>
    </w:p>
    <w:p w14:paraId="01290F80" w14:textId="5FBC5235" w:rsidR="009F7D1D" w:rsidRDefault="0683B12B" w:rsidP="007C5880">
      <w:pPr>
        <w:spacing w:after="120" w:line="240" w:lineRule="auto"/>
        <w:jc w:val="both"/>
        <w:rPr>
          <w:iCs/>
          <w:szCs w:val="24"/>
        </w:rPr>
      </w:pPr>
      <w:r w:rsidRPr="008C3EFA">
        <w:rPr>
          <w:b/>
          <w:bCs/>
        </w:rPr>
        <w:t>Paragraph 9:</w:t>
      </w:r>
      <w:r>
        <w:t xml:space="preserve"> </w:t>
      </w:r>
      <w:r w:rsidR="671C748B">
        <w:t>T</w:t>
      </w:r>
      <w:r w:rsidR="168C4C3D">
        <w:t>he Commission would like to point out that</w:t>
      </w:r>
      <w:r w:rsidR="321F52EE">
        <w:t xml:space="preserve"> </w:t>
      </w:r>
      <w:r w:rsidR="009F7D1D">
        <w:rPr>
          <w:iCs/>
          <w:szCs w:val="24"/>
        </w:rPr>
        <w:t>h</w:t>
      </w:r>
      <w:r w:rsidR="009F7D1D" w:rsidRPr="001054B6">
        <w:rPr>
          <w:iCs/>
          <w:szCs w:val="24"/>
        </w:rPr>
        <w:t>ealth claims must be substantiated by science to prove their efficacy, and</w:t>
      </w:r>
      <w:r w:rsidR="009F7D1D">
        <w:rPr>
          <w:iCs/>
          <w:szCs w:val="24"/>
        </w:rPr>
        <w:t xml:space="preserve"> EFSA</w:t>
      </w:r>
      <w:r w:rsidR="009F7D1D" w:rsidRPr="001054B6">
        <w:rPr>
          <w:iCs/>
          <w:szCs w:val="24"/>
        </w:rPr>
        <w:t xml:space="preserve"> has been tasked to </w:t>
      </w:r>
      <w:r w:rsidR="009F7D1D">
        <w:rPr>
          <w:iCs/>
          <w:szCs w:val="24"/>
        </w:rPr>
        <w:t xml:space="preserve">carry out the scientific substantiation of the health claim applications submitted and </w:t>
      </w:r>
      <w:r w:rsidR="00C70CF3">
        <w:rPr>
          <w:iCs/>
          <w:szCs w:val="24"/>
        </w:rPr>
        <w:t xml:space="preserve">to </w:t>
      </w:r>
      <w:r w:rsidR="009F7D1D" w:rsidRPr="001054B6">
        <w:rPr>
          <w:iCs/>
          <w:szCs w:val="24"/>
        </w:rPr>
        <w:t>verify the scientific evidence.</w:t>
      </w:r>
      <w:r w:rsidR="2FD09860">
        <w:t xml:space="preserve"> </w:t>
      </w:r>
      <w:r w:rsidR="008C3EFA">
        <w:t xml:space="preserve">The </w:t>
      </w:r>
      <w:r w:rsidR="004B2DB6">
        <w:t>NHCR</w:t>
      </w:r>
      <w:r w:rsidR="2FD09860" w:rsidRPr="0D59CF36">
        <w:rPr>
          <w:rFonts w:eastAsia="Times New Roman" w:cs="Times New Roman"/>
          <w:lang w:eastAsia="en-GB"/>
        </w:rPr>
        <w:t xml:space="preserve"> </w:t>
      </w:r>
      <w:r w:rsidR="009F7D1D" w:rsidRPr="001054B6">
        <w:rPr>
          <w:iCs/>
          <w:szCs w:val="24"/>
        </w:rPr>
        <w:t xml:space="preserve">specifies </w:t>
      </w:r>
      <w:r w:rsidR="009F7D1D">
        <w:rPr>
          <w:iCs/>
          <w:szCs w:val="24"/>
        </w:rPr>
        <w:t>the elements to be considered by</w:t>
      </w:r>
      <w:r w:rsidR="009F7D1D" w:rsidRPr="001054B6">
        <w:rPr>
          <w:iCs/>
          <w:szCs w:val="24"/>
        </w:rPr>
        <w:t xml:space="preserve"> EFSA in its assessment</w:t>
      </w:r>
      <w:r w:rsidR="009F7D1D">
        <w:rPr>
          <w:iCs/>
          <w:szCs w:val="24"/>
        </w:rPr>
        <w:t xml:space="preserve">. </w:t>
      </w:r>
      <w:r w:rsidR="00D01140">
        <w:t xml:space="preserve">The intention of the co-legislators when adopting the NHCR was to ensure that claims made on foods are truthful, scientifically based, clear and reliable and not false, </w:t>
      </w:r>
      <w:proofErr w:type="gramStart"/>
      <w:r w:rsidR="00D01140">
        <w:t>ambiguous</w:t>
      </w:r>
      <w:proofErr w:type="gramEnd"/>
      <w:r w:rsidR="00D01140">
        <w:t xml:space="preserve"> or misleading. Any future evaluation of the NHCR would assess whether the objectives of the NHCR were achieved or not.</w:t>
      </w:r>
    </w:p>
    <w:p w14:paraId="0836C5F4" w14:textId="653293A6" w:rsidR="00BA3380" w:rsidRPr="008C3EFA" w:rsidRDefault="68AE3803" w:rsidP="007C5880">
      <w:pPr>
        <w:spacing w:after="120" w:line="240" w:lineRule="auto"/>
        <w:jc w:val="both"/>
      </w:pPr>
      <w:r w:rsidRPr="008C3EFA">
        <w:rPr>
          <w:b/>
          <w:bCs/>
        </w:rPr>
        <w:t>P</w:t>
      </w:r>
      <w:r w:rsidR="53595672" w:rsidRPr="008C3EFA">
        <w:rPr>
          <w:b/>
          <w:bCs/>
        </w:rPr>
        <w:t>aragraph 10</w:t>
      </w:r>
      <w:r w:rsidR="040B8639" w:rsidRPr="008C3EFA">
        <w:rPr>
          <w:b/>
          <w:bCs/>
        </w:rPr>
        <w:t>:</w:t>
      </w:r>
      <w:r w:rsidR="53595672" w:rsidRPr="008C3EFA">
        <w:t xml:space="preserve"> </w:t>
      </w:r>
      <w:r w:rsidR="004B2DB6">
        <w:t>T</w:t>
      </w:r>
      <w:r w:rsidR="0A60BD7C" w:rsidRPr="008C3EFA">
        <w:t xml:space="preserve">he permitted nutrition claim on </w:t>
      </w:r>
      <w:bookmarkStart w:id="2" w:name="_Hlk158625805"/>
      <w:r w:rsidR="009D17D0">
        <w:t>‘</w:t>
      </w:r>
      <w:r w:rsidR="0A60BD7C" w:rsidRPr="008C3EFA">
        <w:t>with no added sugars</w:t>
      </w:r>
      <w:r w:rsidR="009D17D0">
        <w:t>’</w:t>
      </w:r>
      <w:bookmarkEnd w:id="2"/>
      <w:r w:rsidR="00773E83">
        <w:t xml:space="preserve"> </w:t>
      </w:r>
      <w:r w:rsidR="0A60BD7C" w:rsidRPr="008C3EFA">
        <w:t>is to be used</w:t>
      </w:r>
      <w:r w:rsidR="004B2DB6">
        <w:t xml:space="preserve"> in accordance with the conditions set in the Annex of NHCR</w:t>
      </w:r>
      <w:r w:rsidR="002802A1">
        <w:t xml:space="preserve"> </w:t>
      </w:r>
      <w:proofErr w:type="gramStart"/>
      <w:r w:rsidR="002802A1">
        <w:t>i.e.</w:t>
      </w:r>
      <w:proofErr w:type="gramEnd"/>
      <w:r w:rsidR="0097423A">
        <w:t xml:space="preserve"> </w:t>
      </w:r>
      <w:r w:rsidR="004B2DB6">
        <w:t>on</w:t>
      </w:r>
      <w:r w:rsidR="004B2DB6" w:rsidRPr="008C3EFA">
        <w:t xml:space="preserve"> </w:t>
      </w:r>
      <w:r w:rsidR="0A60BD7C" w:rsidRPr="008C3EFA">
        <w:t xml:space="preserve">foods </w:t>
      </w:r>
      <w:r w:rsidR="49641E84" w:rsidRPr="008C3EFA">
        <w:t xml:space="preserve">which </w:t>
      </w:r>
      <w:r w:rsidR="53595672" w:rsidRPr="008C3EFA">
        <w:t xml:space="preserve">do not contain any added mono- or disaccharides or any other food used for its sweetening properties. </w:t>
      </w:r>
      <w:r w:rsidR="0097423A">
        <w:t>Sweeteners are</w:t>
      </w:r>
      <w:r w:rsidR="3EF97572">
        <w:t xml:space="preserve"> </w:t>
      </w:r>
      <w:r w:rsidR="000B50B0">
        <w:t>food</w:t>
      </w:r>
      <w:r w:rsidR="0097423A">
        <w:t xml:space="preserve"> added to food products for their sweetening properties. </w:t>
      </w:r>
      <w:r w:rsidR="009352F1">
        <w:t>If the specific nutrition claim is used in food where</w:t>
      </w:r>
      <w:r w:rsidR="0E9B828B" w:rsidRPr="008C3EFA">
        <w:t xml:space="preserve"> </w:t>
      </w:r>
      <w:r w:rsidR="53595672" w:rsidRPr="008C3EFA">
        <w:t>sugars are naturally present, the</w:t>
      </w:r>
      <w:r w:rsidR="7F2F664A" w:rsidRPr="008C3EFA">
        <w:t xml:space="preserve"> food </w:t>
      </w:r>
      <w:r w:rsidR="009352F1">
        <w:t>should</w:t>
      </w:r>
      <w:r w:rsidR="7F2F664A" w:rsidRPr="008C3EFA">
        <w:t xml:space="preserve"> bear in addition the</w:t>
      </w:r>
      <w:r w:rsidR="53595672" w:rsidRPr="008C3EFA">
        <w:t xml:space="preserve"> following indication: ‘</w:t>
      </w:r>
      <w:r w:rsidR="000A4B27">
        <w:t xml:space="preserve">Contains naturally occurring </w:t>
      </w:r>
      <w:proofErr w:type="gramStart"/>
      <w:r w:rsidR="000A4B27">
        <w:t>sugars’</w:t>
      </w:r>
      <w:proofErr w:type="gramEnd"/>
      <w:r w:rsidR="53595672" w:rsidRPr="008C3EFA">
        <w:t xml:space="preserve">. </w:t>
      </w:r>
      <w:r w:rsidR="00796BA5">
        <w:t>T</w:t>
      </w:r>
      <w:r w:rsidR="392CB037" w:rsidRPr="008C3EFA">
        <w:t>his statement</w:t>
      </w:r>
      <w:r w:rsidR="00796BA5">
        <w:t xml:space="preserve"> </w:t>
      </w:r>
      <w:r w:rsidR="00796BA5">
        <w:lastRenderedPageBreak/>
        <w:t>informs</w:t>
      </w:r>
      <w:r w:rsidR="392CB037" w:rsidRPr="008C3EFA">
        <w:t xml:space="preserve"> consumers that a product </w:t>
      </w:r>
      <w:r w:rsidR="00796BA5">
        <w:t>that bears</w:t>
      </w:r>
      <w:r w:rsidR="00796BA5" w:rsidRPr="008C3EFA">
        <w:t xml:space="preserve"> </w:t>
      </w:r>
      <w:r w:rsidR="004B2DB6" w:rsidRPr="008C3EFA">
        <w:t>th</w:t>
      </w:r>
      <w:r w:rsidR="004B2DB6">
        <w:t xml:space="preserve">e </w:t>
      </w:r>
      <w:r w:rsidR="001E7036">
        <w:t>nutrition</w:t>
      </w:r>
      <w:r w:rsidR="392CB037" w:rsidRPr="008C3EFA">
        <w:t xml:space="preserve"> claim</w:t>
      </w:r>
      <w:r w:rsidR="004B2DB6">
        <w:t xml:space="preserve"> “</w:t>
      </w:r>
      <w:r w:rsidR="004B2DB6" w:rsidRPr="004B2DB6">
        <w:t>with no added sugars”</w:t>
      </w:r>
      <w:r w:rsidR="392CB037" w:rsidRPr="008C3EFA">
        <w:t xml:space="preserve"> contains </w:t>
      </w:r>
      <w:r w:rsidR="004B2DB6">
        <w:t xml:space="preserve">nevertheless </w:t>
      </w:r>
      <w:r w:rsidR="392CB037" w:rsidRPr="008C3EFA">
        <w:t>sugars</w:t>
      </w:r>
      <w:r w:rsidR="3F93469B" w:rsidRPr="008C3EFA">
        <w:t xml:space="preserve"> naturally present in a food.</w:t>
      </w:r>
    </w:p>
    <w:p w14:paraId="440000DF" w14:textId="627147B7" w:rsidR="00570387" w:rsidRPr="00FD6DD3" w:rsidRDefault="00570387" w:rsidP="007C5880">
      <w:pPr>
        <w:spacing w:after="120" w:line="240" w:lineRule="auto"/>
        <w:jc w:val="both"/>
        <w:rPr>
          <w:b/>
          <w:bCs/>
          <w:iCs/>
          <w:szCs w:val="24"/>
          <w:u w:val="single"/>
        </w:rPr>
      </w:pPr>
      <w:r w:rsidRPr="00FD6DD3">
        <w:rPr>
          <w:b/>
          <w:bCs/>
          <w:iCs/>
          <w:szCs w:val="24"/>
          <w:u w:val="single"/>
        </w:rPr>
        <w:t>Botanicals</w:t>
      </w:r>
    </w:p>
    <w:p w14:paraId="1FA3575E" w14:textId="78460F8B" w:rsidR="0097423A" w:rsidRDefault="144992B5" w:rsidP="007C5880">
      <w:pPr>
        <w:spacing w:after="120" w:line="240" w:lineRule="auto"/>
        <w:jc w:val="both"/>
        <w:rPr>
          <w:iCs/>
          <w:szCs w:val="24"/>
        </w:rPr>
      </w:pPr>
      <w:r w:rsidRPr="24570D3B">
        <w:rPr>
          <w:b/>
          <w:bCs/>
        </w:rPr>
        <w:t>P</w:t>
      </w:r>
      <w:r w:rsidR="43EDF354" w:rsidRPr="24570D3B">
        <w:rPr>
          <w:b/>
          <w:bCs/>
        </w:rPr>
        <w:t>aragraph</w:t>
      </w:r>
      <w:r w:rsidR="62AC5066" w:rsidRPr="24570D3B">
        <w:rPr>
          <w:b/>
          <w:bCs/>
        </w:rPr>
        <w:t>s</w:t>
      </w:r>
      <w:r w:rsidR="43EDF354" w:rsidRPr="24570D3B">
        <w:rPr>
          <w:b/>
          <w:bCs/>
        </w:rPr>
        <w:t xml:space="preserve"> 15</w:t>
      </w:r>
      <w:r w:rsidR="62AC5066" w:rsidRPr="24570D3B">
        <w:rPr>
          <w:b/>
          <w:bCs/>
        </w:rPr>
        <w:t xml:space="preserve"> and 16</w:t>
      </w:r>
      <w:r w:rsidR="00547BC1">
        <w:rPr>
          <w:b/>
          <w:bCs/>
        </w:rPr>
        <w:t xml:space="preserve"> and</w:t>
      </w:r>
      <w:r w:rsidR="0097423A">
        <w:rPr>
          <w:b/>
          <w:bCs/>
        </w:rPr>
        <w:t xml:space="preserve"> 17</w:t>
      </w:r>
      <w:r w:rsidR="10454005" w:rsidRPr="24570D3B">
        <w:rPr>
          <w:b/>
          <w:bCs/>
        </w:rPr>
        <w:t>:</w:t>
      </w:r>
      <w:r w:rsidR="2E48C615">
        <w:t xml:space="preserve"> </w:t>
      </w:r>
      <w:r w:rsidR="0097423A">
        <w:t xml:space="preserve">To address the issue of the ‘on hold’ list on botanicals, </w:t>
      </w:r>
      <w:r w:rsidR="40132663">
        <w:t>the Commission launched an evaluation of the</w:t>
      </w:r>
      <w:r w:rsidR="4EE6D63A">
        <w:t xml:space="preserve"> </w:t>
      </w:r>
      <w:r w:rsidR="00830A12">
        <w:t>NHCR</w:t>
      </w:r>
      <w:r w:rsidR="62AC5066">
        <w:t xml:space="preserve">, </w:t>
      </w:r>
      <w:r w:rsidR="40132663">
        <w:t xml:space="preserve">focussing, amongst other, on </w:t>
      </w:r>
      <w:r w:rsidR="5BBEB1B6">
        <w:t xml:space="preserve">the </w:t>
      </w:r>
      <w:r w:rsidR="40132663">
        <w:t xml:space="preserve">botanical health claims. The evaluation </w:t>
      </w:r>
      <w:r w:rsidR="62AC5066">
        <w:t xml:space="preserve">report </w:t>
      </w:r>
      <w:r w:rsidR="0097423A">
        <w:t xml:space="preserve">finalised in 2020 </w:t>
      </w:r>
      <w:r w:rsidR="40132663">
        <w:t xml:space="preserve">concluded that it could be appropriate to explore the notion of 'traditional use' in the efficacy assessment of health claims, together with the effects of the coexistence, on the EU market, of the traditional herbal medicinal products on the same botanical substances. </w:t>
      </w:r>
      <w:r w:rsidR="62AC5066">
        <w:t>Additionally</w:t>
      </w:r>
      <w:r w:rsidR="40132663">
        <w:t xml:space="preserve">, the evaluation report concluded that there are merits for further studying the potential EU harmonisation in the field of botanicals, including the safety aspect </w:t>
      </w:r>
      <w:r w:rsidR="00796BA5">
        <w:t xml:space="preserve">and </w:t>
      </w:r>
      <w:r w:rsidR="40132663">
        <w:t>to improve the functioning of the internal market.</w:t>
      </w:r>
      <w:r w:rsidR="4E6C25C4">
        <w:t xml:space="preserve"> </w:t>
      </w:r>
      <w:r w:rsidR="00AF395F">
        <w:t xml:space="preserve">Future steps </w:t>
      </w:r>
      <w:r w:rsidR="00F07DD9">
        <w:t xml:space="preserve">following the evaluation </w:t>
      </w:r>
      <w:r w:rsidR="00AF395F">
        <w:t xml:space="preserve">will be guided by the priorities of the next </w:t>
      </w:r>
      <w:r w:rsidR="00547BC1">
        <w:t>Commission</w:t>
      </w:r>
      <w:r w:rsidR="00830A12">
        <w:t>.</w:t>
      </w:r>
    </w:p>
    <w:p w14:paraId="09803F55" w14:textId="3CAB1857" w:rsidR="00E43AF7" w:rsidRPr="009436A5" w:rsidRDefault="00830A12" w:rsidP="007C5880">
      <w:pPr>
        <w:spacing w:after="120" w:line="240" w:lineRule="auto"/>
        <w:jc w:val="both"/>
        <w:rPr>
          <w:iCs/>
          <w:szCs w:val="24"/>
        </w:rPr>
      </w:pPr>
      <w:r>
        <w:rPr>
          <w:iCs/>
          <w:szCs w:val="24"/>
        </w:rPr>
        <w:t>The</w:t>
      </w:r>
      <w:r w:rsidR="00CA2E7E">
        <w:rPr>
          <w:iCs/>
          <w:szCs w:val="24"/>
        </w:rPr>
        <w:t xml:space="preserve"> Commission would like to stress that concerning </w:t>
      </w:r>
      <w:r w:rsidR="00CA2E7E" w:rsidRPr="00CA2E7E">
        <w:rPr>
          <w:iCs/>
          <w:szCs w:val="24"/>
        </w:rPr>
        <w:t xml:space="preserve">the safety of foods containing plants, the evaluation concluded that it is adequately addressed by the EU legal framework for food, existing national </w:t>
      </w:r>
      <w:proofErr w:type="gramStart"/>
      <w:r w:rsidR="00CA2E7E" w:rsidRPr="00CA2E7E">
        <w:rPr>
          <w:iCs/>
          <w:szCs w:val="24"/>
        </w:rPr>
        <w:t>rules</w:t>
      </w:r>
      <w:proofErr w:type="gramEnd"/>
      <w:r w:rsidR="00CA2E7E" w:rsidRPr="00CA2E7E">
        <w:rPr>
          <w:iCs/>
          <w:szCs w:val="24"/>
        </w:rPr>
        <w:t xml:space="preserve"> and the use of the Article</w:t>
      </w:r>
      <w:r w:rsidR="00CA2E7E">
        <w:rPr>
          <w:iCs/>
          <w:szCs w:val="24"/>
        </w:rPr>
        <w:t xml:space="preserve"> </w:t>
      </w:r>
      <w:r w:rsidR="00CA2E7E" w:rsidRPr="00CA2E7E">
        <w:rPr>
          <w:iCs/>
          <w:szCs w:val="24"/>
        </w:rPr>
        <w:t>8 procedure of the Regulation (EC) No 1925/2006, which assesses the safety of certain substances in foods.</w:t>
      </w:r>
      <w:r w:rsidR="00CA2E7E">
        <w:rPr>
          <w:iCs/>
          <w:szCs w:val="24"/>
        </w:rPr>
        <w:t xml:space="preserve"> </w:t>
      </w:r>
      <w:r w:rsidR="00CA2E7E" w:rsidRPr="00CA2E7E">
        <w:rPr>
          <w:iCs/>
          <w:szCs w:val="24"/>
        </w:rPr>
        <w:t xml:space="preserve">To date, the Article 8 procedure has </w:t>
      </w:r>
      <w:r w:rsidR="00D3753C" w:rsidRPr="00CA2E7E">
        <w:rPr>
          <w:iCs/>
          <w:szCs w:val="24"/>
        </w:rPr>
        <w:t xml:space="preserve">been </w:t>
      </w:r>
      <w:r w:rsidR="00CA2E7E" w:rsidRPr="00CA2E7E">
        <w:rPr>
          <w:iCs/>
          <w:szCs w:val="24"/>
        </w:rPr>
        <w:t>used by the Commission to restrict or prohibit the use of botanical substances on the EU market</w:t>
      </w:r>
      <w:r w:rsidR="0097423A">
        <w:rPr>
          <w:iCs/>
          <w:szCs w:val="24"/>
        </w:rPr>
        <w:t xml:space="preserve"> for safety reasons</w:t>
      </w:r>
      <w:r w:rsidR="00CA2E7E" w:rsidRPr="00CA2E7E">
        <w:rPr>
          <w:iCs/>
          <w:szCs w:val="24"/>
        </w:rPr>
        <w:t xml:space="preserve">, and </w:t>
      </w:r>
      <w:r w:rsidR="00CA2E7E">
        <w:rPr>
          <w:iCs/>
          <w:szCs w:val="24"/>
        </w:rPr>
        <w:t>it</w:t>
      </w:r>
      <w:r w:rsidR="00CA2E7E" w:rsidRPr="00CA2E7E">
        <w:rPr>
          <w:iCs/>
          <w:szCs w:val="24"/>
        </w:rPr>
        <w:t xml:space="preserve"> is currently ongoing for several substances.</w:t>
      </w:r>
    </w:p>
    <w:p w14:paraId="60F1B371" w14:textId="4934CBEE" w:rsidR="0038333D" w:rsidRPr="0042442A" w:rsidRDefault="535B89F1" w:rsidP="007C5880">
      <w:pPr>
        <w:spacing w:after="120" w:line="240" w:lineRule="auto"/>
        <w:jc w:val="both"/>
        <w:rPr>
          <w:b/>
          <w:bCs/>
          <w:u w:val="single"/>
        </w:rPr>
      </w:pPr>
      <w:r w:rsidRPr="0042442A">
        <w:rPr>
          <w:b/>
          <w:bCs/>
          <w:u w:val="single"/>
        </w:rPr>
        <w:t>Enforcement</w:t>
      </w:r>
    </w:p>
    <w:p w14:paraId="64A5F42D" w14:textId="23F1A631" w:rsidR="00207336" w:rsidRPr="008D458B" w:rsidRDefault="12550308" w:rsidP="007C5880">
      <w:pPr>
        <w:spacing w:after="120" w:line="240" w:lineRule="auto"/>
        <w:jc w:val="both"/>
      </w:pPr>
      <w:r w:rsidRPr="24570D3B">
        <w:rPr>
          <w:b/>
          <w:bCs/>
        </w:rPr>
        <w:t>P</w:t>
      </w:r>
      <w:r w:rsidR="535B89F1" w:rsidRPr="24570D3B">
        <w:rPr>
          <w:b/>
          <w:bCs/>
        </w:rPr>
        <w:t>aragraph</w:t>
      </w:r>
      <w:r w:rsidR="123FC180" w:rsidRPr="24570D3B">
        <w:rPr>
          <w:b/>
          <w:bCs/>
        </w:rPr>
        <w:t>s</w:t>
      </w:r>
      <w:r w:rsidR="535B89F1" w:rsidRPr="24570D3B">
        <w:rPr>
          <w:b/>
          <w:bCs/>
        </w:rPr>
        <w:t xml:space="preserve"> 18</w:t>
      </w:r>
      <w:r w:rsidR="3A152351" w:rsidRPr="24570D3B">
        <w:rPr>
          <w:b/>
          <w:bCs/>
        </w:rPr>
        <w:t xml:space="preserve">, </w:t>
      </w:r>
      <w:r w:rsidR="7BAED650" w:rsidRPr="24570D3B">
        <w:rPr>
          <w:b/>
          <w:bCs/>
        </w:rPr>
        <w:t>19</w:t>
      </w:r>
      <w:r w:rsidR="00547BC1">
        <w:rPr>
          <w:b/>
          <w:bCs/>
        </w:rPr>
        <w:t xml:space="preserve"> and</w:t>
      </w:r>
      <w:r w:rsidR="6FF18221" w:rsidRPr="24570D3B">
        <w:rPr>
          <w:b/>
          <w:bCs/>
        </w:rPr>
        <w:t xml:space="preserve"> 24</w:t>
      </w:r>
      <w:r w:rsidR="7E6E3C87" w:rsidRPr="24570D3B">
        <w:rPr>
          <w:b/>
          <w:bCs/>
        </w:rPr>
        <w:t xml:space="preserve">: </w:t>
      </w:r>
      <w:r w:rsidR="00FA6E02">
        <w:t>T</w:t>
      </w:r>
      <w:r w:rsidR="2E13CCB5">
        <w:t xml:space="preserve">he Commission would like to point </w:t>
      </w:r>
      <w:r w:rsidR="501C994F">
        <w:t>out that</w:t>
      </w:r>
      <w:r w:rsidR="2E13CCB5">
        <w:t xml:space="preserve"> following the adoption of the </w:t>
      </w:r>
      <w:r w:rsidR="00AF395F">
        <w:t>NHCR</w:t>
      </w:r>
      <w:r w:rsidR="2E13CCB5">
        <w:t xml:space="preserve">, a Working Group </w:t>
      </w:r>
      <w:r w:rsidR="2C3E83AA">
        <w:t xml:space="preserve">comprised of </w:t>
      </w:r>
      <w:r w:rsidR="2E13CCB5">
        <w:t xml:space="preserve">experts </w:t>
      </w:r>
      <w:r w:rsidR="582C5F5A">
        <w:t xml:space="preserve">of the </w:t>
      </w:r>
      <w:r w:rsidR="2E13CCB5">
        <w:t xml:space="preserve">Member States </w:t>
      </w:r>
      <w:r w:rsidR="6028C01D">
        <w:t xml:space="preserve">and the Commission </w:t>
      </w:r>
      <w:r w:rsidR="2E13CCB5">
        <w:t xml:space="preserve">was </w:t>
      </w:r>
      <w:r w:rsidR="71E50E33">
        <w:t xml:space="preserve">established with the aim to </w:t>
      </w:r>
      <w:r w:rsidR="339C6E73">
        <w:t>assist in the implementation of the Regulation</w:t>
      </w:r>
      <w:r w:rsidR="58D33288">
        <w:t>.</w:t>
      </w:r>
      <w:r w:rsidR="3EF26E4D">
        <w:t xml:space="preserve"> This Working Group remains </w:t>
      </w:r>
      <w:r w:rsidR="009A5910">
        <w:t>active</w:t>
      </w:r>
      <w:r w:rsidR="3EF26E4D">
        <w:t xml:space="preserve"> to date, to specifically address any enforcement issues and ensure a harmonised implementation of the </w:t>
      </w:r>
      <w:r w:rsidR="00830A12">
        <w:t>NHCR</w:t>
      </w:r>
      <w:r w:rsidR="3EF26E4D">
        <w:t xml:space="preserve"> across the EU. In addition to the Working Group, Member State experts are exchang</w:t>
      </w:r>
      <w:r w:rsidR="59DA3D9E">
        <w:t>ing on a regular basis</w:t>
      </w:r>
      <w:r w:rsidR="3EF26E4D">
        <w:t xml:space="preserve"> on best practices as well as on interpretation and enforcement issues thus maintaining an open channel of communication.</w:t>
      </w:r>
    </w:p>
    <w:p w14:paraId="0D7D8FD0" w14:textId="69279DF9" w:rsidR="00207336" w:rsidRPr="008D458B" w:rsidRDefault="2DBA0A31" w:rsidP="007C5880">
      <w:pPr>
        <w:spacing w:after="120" w:line="240" w:lineRule="auto"/>
        <w:jc w:val="both"/>
      </w:pPr>
      <w:r>
        <w:t xml:space="preserve">It should also be noted that soon after the entry into </w:t>
      </w:r>
      <w:r w:rsidR="22C70ED8">
        <w:t xml:space="preserve">application </w:t>
      </w:r>
      <w:r>
        <w:t xml:space="preserve">of the </w:t>
      </w:r>
      <w:r w:rsidR="00AF395F">
        <w:t>NHCR</w:t>
      </w:r>
      <w:r>
        <w:t xml:space="preserve">, </w:t>
      </w:r>
      <w:r w:rsidR="0A11BE4A">
        <w:t xml:space="preserve">the </w:t>
      </w:r>
      <w:r w:rsidR="2E13CCB5">
        <w:t xml:space="preserve">Member States endorsed </w:t>
      </w:r>
      <w:r w:rsidR="75D14F08">
        <w:t xml:space="preserve">a </w:t>
      </w:r>
      <w:r w:rsidR="00F70DAB">
        <w:t>g</w:t>
      </w:r>
      <w:r w:rsidR="2E13CCB5">
        <w:t xml:space="preserve">uidance document on the implementation of the </w:t>
      </w:r>
      <w:r w:rsidR="00830A12">
        <w:t>NHCR</w:t>
      </w:r>
      <w:r w:rsidR="008C3EFA">
        <w:t xml:space="preserve"> </w:t>
      </w:r>
      <w:r w:rsidR="2E13CCB5">
        <w:t xml:space="preserve">on 14 December 2007, at the Standing Committee on the Food Chain and Animal Health. This guidance document </w:t>
      </w:r>
      <w:r w:rsidR="59505BEE">
        <w:t>aim</w:t>
      </w:r>
      <w:r w:rsidR="5B14BFAA">
        <w:t>s</w:t>
      </w:r>
      <w:r w:rsidR="59505BEE">
        <w:t xml:space="preserve"> </w:t>
      </w:r>
      <w:r w:rsidR="4F08E541">
        <w:t xml:space="preserve">in assisting </w:t>
      </w:r>
      <w:r w:rsidR="59505BEE">
        <w:t>interested stakeho</w:t>
      </w:r>
      <w:r w:rsidR="000C7D4D">
        <w:t>l</w:t>
      </w:r>
      <w:r w:rsidR="59505BEE">
        <w:t xml:space="preserve">ders </w:t>
      </w:r>
      <w:r w:rsidR="10F1B8EE">
        <w:t xml:space="preserve">to better understand and apply the </w:t>
      </w:r>
      <w:r w:rsidR="00547BC1">
        <w:t>r</w:t>
      </w:r>
      <w:r w:rsidR="008C3EFA">
        <w:t xml:space="preserve">egulation </w:t>
      </w:r>
      <w:r w:rsidR="10F1B8EE">
        <w:t>correctly and in a uniform way.</w:t>
      </w:r>
      <w:r w:rsidR="262C7D7F">
        <w:t xml:space="preserve"> </w:t>
      </w:r>
      <w:r w:rsidR="00AF395F">
        <w:t>S</w:t>
      </w:r>
      <w:r w:rsidR="262C7D7F">
        <w:t>ince its publication and until today,</w:t>
      </w:r>
      <w:r w:rsidR="6AB3C6F2">
        <w:t xml:space="preserve"> the Guidance document has proven to be very useful not only for stakeholders but also for Member State competent authorities in enforcing the </w:t>
      </w:r>
      <w:r w:rsidR="4423D549">
        <w:t>EU rules on claims</w:t>
      </w:r>
      <w:r w:rsidR="4419AB6E">
        <w:t xml:space="preserve">. Having considered the position expressed by the </w:t>
      </w:r>
      <w:r w:rsidR="00AF395F">
        <w:t xml:space="preserve">European </w:t>
      </w:r>
      <w:r w:rsidR="4419AB6E">
        <w:t xml:space="preserve">Parliament, the Commission would like to </w:t>
      </w:r>
      <w:r w:rsidR="53C476DF">
        <w:t xml:space="preserve">clarify that </w:t>
      </w:r>
      <w:r w:rsidR="24591F84">
        <w:t xml:space="preserve">the reason for which an update of the </w:t>
      </w:r>
      <w:r w:rsidR="7DDE5BB5">
        <w:t>g</w:t>
      </w:r>
      <w:r w:rsidR="24591F84">
        <w:t xml:space="preserve">uidance is not foreseen for the time being is because </w:t>
      </w:r>
      <w:r w:rsidR="009A5910">
        <w:t>the Guidance document remains relevant and up to date.</w:t>
      </w:r>
      <w:r w:rsidR="24591F84">
        <w:t xml:space="preserve"> </w:t>
      </w:r>
      <w:r w:rsidR="48CC3B8D">
        <w:t xml:space="preserve">Future updates may be considered </w:t>
      </w:r>
      <w:r w:rsidR="2E85448A">
        <w:t xml:space="preserve">further to </w:t>
      </w:r>
      <w:r w:rsidR="68ABC47D">
        <w:t>discuss</w:t>
      </w:r>
      <w:r w:rsidR="62783DB1">
        <w:t>ion</w:t>
      </w:r>
      <w:r w:rsidR="68ABC47D">
        <w:t xml:space="preserve"> and</w:t>
      </w:r>
      <w:r w:rsidR="48CC3B8D">
        <w:t xml:space="preserve"> agree</w:t>
      </w:r>
      <w:r w:rsidR="247C6E54">
        <w:t>ment</w:t>
      </w:r>
      <w:r w:rsidR="48CC3B8D">
        <w:t xml:space="preserve"> between Member States</w:t>
      </w:r>
      <w:r w:rsidR="0DD7B723">
        <w:t>.</w:t>
      </w:r>
      <w:r w:rsidR="001379B5">
        <w:t xml:space="preserve"> The Scientific and technical guidance for the preparation and presentation of a health claim application issued by EFSA is also publicly available and may be consulted by interested stakeholders.</w:t>
      </w:r>
    </w:p>
    <w:p w14:paraId="13EF0CD1" w14:textId="1CAD420E" w:rsidR="00AC7ABA" w:rsidRPr="0042442A" w:rsidRDefault="00AC7ABA" w:rsidP="007C5880">
      <w:pPr>
        <w:spacing w:after="120" w:line="240" w:lineRule="auto"/>
        <w:jc w:val="both"/>
        <w:rPr>
          <w:b/>
          <w:bCs/>
          <w:iCs/>
          <w:szCs w:val="24"/>
          <w:u w:val="single"/>
        </w:rPr>
      </w:pPr>
      <w:r w:rsidRPr="0042442A">
        <w:rPr>
          <w:b/>
          <w:bCs/>
          <w:iCs/>
          <w:szCs w:val="24"/>
          <w:u w:val="single"/>
        </w:rPr>
        <w:t>Health claims in online communications</w:t>
      </w:r>
    </w:p>
    <w:p w14:paraId="39AAE84A" w14:textId="2FE45B02" w:rsidR="00615FF1" w:rsidRDefault="41841E3F" w:rsidP="007C5880">
      <w:pPr>
        <w:spacing w:after="120" w:line="240" w:lineRule="auto"/>
        <w:jc w:val="both"/>
      </w:pPr>
      <w:r w:rsidRPr="24570D3B">
        <w:rPr>
          <w:b/>
          <w:bCs/>
        </w:rPr>
        <w:t>P</w:t>
      </w:r>
      <w:r w:rsidR="67175F89" w:rsidRPr="24570D3B">
        <w:rPr>
          <w:b/>
          <w:bCs/>
        </w:rPr>
        <w:t>aragraphs 21</w:t>
      </w:r>
      <w:r w:rsidR="24B2ABC0" w:rsidRPr="24570D3B">
        <w:rPr>
          <w:b/>
          <w:bCs/>
        </w:rPr>
        <w:t xml:space="preserve">, </w:t>
      </w:r>
      <w:r w:rsidR="67175F89" w:rsidRPr="24570D3B">
        <w:rPr>
          <w:b/>
          <w:bCs/>
        </w:rPr>
        <w:t>22</w:t>
      </w:r>
      <w:r w:rsidR="43AB3770" w:rsidRPr="24570D3B">
        <w:rPr>
          <w:b/>
          <w:bCs/>
        </w:rPr>
        <w:t xml:space="preserve"> and 23</w:t>
      </w:r>
      <w:r w:rsidR="5BB0755B" w:rsidRPr="24570D3B">
        <w:rPr>
          <w:b/>
          <w:bCs/>
        </w:rPr>
        <w:t xml:space="preserve">: </w:t>
      </w:r>
      <w:r w:rsidR="28615269">
        <w:t>T</w:t>
      </w:r>
      <w:r w:rsidR="67175F89">
        <w:t>he Commission would like to clarify that the</w:t>
      </w:r>
      <w:r w:rsidR="7E9C6CC4">
        <w:t xml:space="preserve"> </w:t>
      </w:r>
      <w:r w:rsidR="00AF395F">
        <w:t>NHC</w:t>
      </w:r>
      <w:r w:rsidR="00C70CF3">
        <w:t>R</w:t>
      </w:r>
      <w:r w:rsidR="28ADF70B">
        <w:t xml:space="preserve"> </w:t>
      </w:r>
      <w:r w:rsidR="6064B9ED">
        <w:t xml:space="preserve">applies to nutrition and health claims made in commercial communications, whether in the labelling, </w:t>
      </w:r>
      <w:proofErr w:type="gramStart"/>
      <w:r w:rsidR="6064B9ED">
        <w:t>presentation</w:t>
      </w:r>
      <w:proofErr w:type="gramEnd"/>
      <w:r w:rsidR="6064B9ED">
        <w:t xml:space="preserve"> or advertising of foods</w:t>
      </w:r>
      <w:r w:rsidR="67175F89">
        <w:t xml:space="preserve"> to be delivered as such to the final consumer</w:t>
      </w:r>
      <w:r w:rsidR="6064B9ED">
        <w:t>.</w:t>
      </w:r>
      <w:r w:rsidR="67175F89">
        <w:t xml:space="preserve"> For food products marketed in the EU, any information concerning a food made available to the final consumer by means of a label, other accompanying material or any other means including </w:t>
      </w:r>
      <w:r w:rsidR="67175F89">
        <w:lastRenderedPageBreak/>
        <w:t xml:space="preserve">modern technology tools or verbal communication, is governed by EU law </w:t>
      </w:r>
      <w:r w:rsidR="000D04E1">
        <w:t xml:space="preserve">rules </w:t>
      </w:r>
      <w:r w:rsidR="00E12090">
        <w:t>on the provision of food information to consumers,</w:t>
      </w:r>
      <w:r w:rsidR="67175F89">
        <w:t xml:space="preserve"> including rules of a general nature applicable to all foods. </w:t>
      </w:r>
      <w:r w:rsidR="009A5910">
        <w:t xml:space="preserve">The FIC </w:t>
      </w:r>
      <w:r w:rsidR="67175F89">
        <w:t>Regulation establishes the general principles, requirements and responsibilities governing food information, and in particular food labelling</w:t>
      </w:r>
      <w:r w:rsidR="003D435E">
        <w:t>,</w:t>
      </w:r>
      <w:r w:rsidR="67175F89">
        <w:t xml:space="preserve"> and it provides the basis for the assurance of a high level of consumer protection in relation to food information, providing that food information shall be accurate, </w:t>
      </w:r>
      <w:proofErr w:type="gramStart"/>
      <w:r w:rsidR="67175F89">
        <w:t>clear</w:t>
      </w:r>
      <w:proofErr w:type="gramEnd"/>
      <w:r w:rsidR="67175F89">
        <w:t xml:space="preserve"> and easy to understand for the consumer.</w:t>
      </w:r>
      <w:r w:rsidR="73880121">
        <w:t xml:space="preserve"> The </w:t>
      </w:r>
      <w:r w:rsidR="46B03B0D">
        <w:t xml:space="preserve">Commission </w:t>
      </w:r>
      <w:r w:rsidR="1FE5CF1A">
        <w:t xml:space="preserve">shares the concerns raised by the </w:t>
      </w:r>
      <w:r w:rsidR="00AF395F">
        <w:t xml:space="preserve">European </w:t>
      </w:r>
      <w:r w:rsidR="1FE5CF1A">
        <w:t xml:space="preserve">Parliament in its resolution and </w:t>
      </w:r>
      <w:r w:rsidR="3BF4F125">
        <w:t>considers that online communication through social media</w:t>
      </w:r>
      <w:r w:rsidR="007C3A99">
        <w:t xml:space="preserve"> is an issue that requires broader</w:t>
      </w:r>
      <w:r w:rsidR="7DC604FB">
        <w:t xml:space="preserve"> reflection/action</w:t>
      </w:r>
      <w:r w:rsidR="007C3A99">
        <w:t xml:space="preserve"> as it concerns all possible </w:t>
      </w:r>
      <w:r w:rsidR="008C3EFA">
        <w:t>advertisement</w:t>
      </w:r>
      <w:r w:rsidR="00C21B24">
        <w:t>s</w:t>
      </w:r>
      <w:r w:rsidR="008C3EFA">
        <w:t>,</w:t>
      </w:r>
      <w:r w:rsidR="007C3A99">
        <w:t xml:space="preserve"> and it is not limited to food.</w:t>
      </w:r>
    </w:p>
    <w:p w14:paraId="23585D54" w14:textId="4FD37BBB" w:rsidR="00BA3380" w:rsidRPr="003E63F4" w:rsidRDefault="00516202" w:rsidP="007C5880">
      <w:pPr>
        <w:spacing w:after="120" w:line="240" w:lineRule="auto"/>
        <w:jc w:val="both"/>
      </w:pPr>
      <w:r>
        <w:t>T</w:t>
      </w:r>
      <w:r w:rsidR="6EF4B787">
        <w:t>he</w:t>
      </w:r>
      <w:r w:rsidR="00773E83">
        <w:t xml:space="preserve"> </w:t>
      </w:r>
      <w:r w:rsidR="6EF4B787">
        <w:t xml:space="preserve">Digital Services Act </w:t>
      </w:r>
      <w:r w:rsidR="00615FF1">
        <w:t xml:space="preserve">(DSA) </w:t>
      </w:r>
      <w:r w:rsidR="2A38B6D0">
        <w:t>aims</w:t>
      </w:r>
      <w:r w:rsidR="6EF4B787">
        <w:t xml:space="preserve"> to contribute to the proper functioning of the internal market for intermediary services by setting out harmonised rules for a safe, </w:t>
      </w:r>
      <w:proofErr w:type="gramStart"/>
      <w:r w:rsidR="6EF4B787">
        <w:t>predictable</w:t>
      </w:r>
      <w:proofErr w:type="gramEnd"/>
      <w:r w:rsidR="6EF4B787">
        <w:t xml:space="preserve"> and trusted online environment that facilitates innovation and in which fundamental rights enshrined in the Charter, including the principle of consumer protection, are effectively protected</w:t>
      </w:r>
      <w:r w:rsidR="3867F236">
        <w:t xml:space="preserve">. The protection of minors is an important policy objective of the Union. As required by the </w:t>
      </w:r>
      <w:r w:rsidR="00615FF1">
        <w:t>DSA</w:t>
      </w:r>
      <w:r w:rsidR="3867F236">
        <w:t xml:space="preserve">, providers of online platforms used by minors </w:t>
      </w:r>
      <w:r w:rsidR="00615FF1">
        <w:t>shall</w:t>
      </w:r>
      <w:r w:rsidR="3867F236">
        <w:t xml:space="preserve"> take appropriate and proportionate measures to protect minors, for example by designing their online interfaces or parts thereof with the highest level of privacy, </w:t>
      </w:r>
      <w:proofErr w:type="gramStart"/>
      <w:r w:rsidR="3867F236">
        <w:t>safety</w:t>
      </w:r>
      <w:proofErr w:type="gramEnd"/>
      <w:r w:rsidR="3867F236">
        <w:t xml:space="preserve"> and security. </w:t>
      </w:r>
      <w:r w:rsidR="001E7036">
        <w:t xml:space="preserve">The </w:t>
      </w:r>
      <w:r w:rsidR="00615FF1">
        <w:t>DSA</w:t>
      </w:r>
      <w:r w:rsidR="001E7036" w:rsidDel="001E7036">
        <w:t xml:space="preserve"> </w:t>
      </w:r>
      <w:r w:rsidR="3867F236">
        <w:t xml:space="preserve">states that providers of online platforms </w:t>
      </w:r>
      <w:r w:rsidR="00615FF1">
        <w:t>shall</w:t>
      </w:r>
      <w:r w:rsidR="3867F236">
        <w:t xml:space="preserve"> not present advertisements based on profiling since advertisements based on targeting techniques optimised to match the interests and potentially appeal to the </w:t>
      </w:r>
      <w:r w:rsidR="3867F236" w:rsidRPr="00615FF1">
        <w:t>vulnerabilities of the recipients, can have particularly serious negative effects.</w:t>
      </w:r>
      <w:r w:rsidR="00451C70" w:rsidRPr="00615FF1">
        <w:t xml:space="preserve"> Furthermore, </w:t>
      </w:r>
      <w:r w:rsidR="00615FF1" w:rsidRPr="00615FF1">
        <w:t xml:space="preserve">the DSA is without prejudice to the rules laid down in </w:t>
      </w:r>
      <w:r w:rsidR="00451C70" w:rsidRPr="00615FF1">
        <w:t>the Audiovisual Media Services Directive</w:t>
      </w:r>
      <w:r w:rsidR="00A22A4C" w:rsidRPr="00615FF1">
        <w:t xml:space="preserve"> </w:t>
      </w:r>
      <w:r w:rsidR="00615FF1" w:rsidRPr="00615FF1">
        <w:rPr>
          <w:rStyle w:val="normaltextrun"/>
          <w:shd w:val="clear" w:color="auto" w:fill="FFFFFF"/>
        </w:rPr>
        <w:t xml:space="preserve">(AVMSD) insofar as it regulates other aspects of the provision of intermediary services in the internal market or specifies and complements the DSA. The </w:t>
      </w:r>
      <w:r w:rsidR="00615FF1" w:rsidRPr="00F371B7">
        <w:rPr>
          <w:rStyle w:val="normaltextrun"/>
          <w:shd w:val="clear" w:color="auto" w:fill="FFFFFF"/>
        </w:rPr>
        <w:t xml:space="preserve">AVMSD includes specific provisions mandating Member States to take appropriate measures to ensure that audiovisual media services provided by media service providers under their jurisdiction protect minors from content that may impair their physical, </w:t>
      </w:r>
      <w:proofErr w:type="gramStart"/>
      <w:r w:rsidR="00615FF1" w:rsidRPr="00F371B7">
        <w:rPr>
          <w:rStyle w:val="normaltextrun"/>
          <w:shd w:val="clear" w:color="auto" w:fill="FFFFFF"/>
        </w:rPr>
        <w:t>mental</w:t>
      </w:r>
      <w:proofErr w:type="gramEnd"/>
      <w:r w:rsidR="00615FF1" w:rsidRPr="00F371B7">
        <w:rPr>
          <w:rStyle w:val="normaltextrun"/>
          <w:shd w:val="clear" w:color="auto" w:fill="FFFFFF"/>
        </w:rPr>
        <w:t xml:space="preserve"> or moral development. The directive also requires Member States to ensure that video sharing platforms providers under their jurisdiction take appropriate detailed measures to protect minors from programmes, user-generated videos and audiovisual commercial communications which may impair their physical, </w:t>
      </w:r>
      <w:proofErr w:type="gramStart"/>
      <w:r w:rsidR="00615FF1" w:rsidRPr="00F371B7">
        <w:rPr>
          <w:rStyle w:val="normaltextrun"/>
          <w:shd w:val="clear" w:color="auto" w:fill="FFFFFF"/>
        </w:rPr>
        <w:t>mental</w:t>
      </w:r>
      <w:proofErr w:type="gramEnd"/>
      <w:r w:rsidR="00615FF1" w:rsidRPr="00F371B7">
        <w:rPr>
          <w:rStyle w:val="normaltextrun"/>
          <w:shd w:val="clear" w:color="auto" w:fill="FFFFFF"/>
        </w:rPr>
        <w:t xml:space="preserve"> or moral development, including, as appropriate, through age verification, parental control, flagging and reporting mechanisms, and systems to rate the content by the users. The AVMSD also states that Member States shall encourage codes of conduct aiming to effectively reduce the exposure of children to audiovisual commercial communications for foods and beverages high in fat, trans-fatty acids, salt or sodium and sugars.</w:t>
      </w:r>
    </w:p>
    <w:sectPr w:rsidR="00BA3380" w:rsidRPr="003E63F4" w:rsidSect="005D60A2">
      <w:headerReference w:type="default" r:id="rId12"/>
      <w:footerReference w:type="default" r:id="rId13"/>
      <w:footnotePr>
        <w:numRestart w:val="eachSect"/>
      </w:footnotePr>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25481" w14:textId="77777777" w:rsidR="004B27B5" w:rsidRDefault="004B27B5" w:rsidP="00302387">
      <w:pPr>
        <w:spacing w:after="0" w:line="240" w:lineRule="auto"/>
      </w:pPr>
      <w:r>
        <w:separator/>
      </w:r>
    </w:p>
  </w:endnote>
  <w:endnote w:type="continuationSeparator" w:id="0">
    <w:p w14:paraId="1C911490" w14:textId="77777777" w:rsidR="004B27B5" w:rsidRDefault="004B27B5" w:rsidP="00302387">
      <w:pPr>
        <w:spacing w:after="0" w:line="240" w:lineRule="auto"/>
      </w:pPr>
      <w:r>
        <w:continuationSeparator/>
      </w:r>
    </w:p>
  </w:endnote>
  <w:endnote w:type="continuationNotice" w:id="1">
    <w:p w14:paraId="070B8590" w14:textId="77777777" w:rsidR="004B27B5" w:rsidRDefault="004B27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85B5" w14:textId="77777777" w:rsidR="007C43DE" w:rsidRDefault="007C43DE" w:rsidP="0077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AFF5" w14:textId="77777777" w:rsidR="004B27B5" w:rsidRDefault="004B27B5" w:rsidP="00302387">
      <w:pPr>
        <w:spacing w:after="0" w:line="240" w:lineRule="auto"/>
      </w:pPr>
      <w:r>
        <w:separator/>
      </w:r>
    </w:p>
  </w:footnote>
  <w:footnote w:type="continuationSeparator" w:id="0">
    <w:p w14:paraId="75B06D09" w14:textId="77777777" w:rsidR="004B27B5" w:rsidRDefault="004B27B5" w:rsidP="00302387">
      <w:pPr>
        <w:spacing w:after="0" w:line="240" w:lineRule="auto"/>
      </w:pPr>
      <w:r>
        <w:continuationSeparator/>
      </w:r>
    </w:p>
  </w:footnote>
  <w:footnote w:type="continuationNotice" w:id="1">
    <w:p w14:paraId="08EC1BEA" w14:textId="77777777" w:rsidR="004B27B5" w:rsidRDefault="004B27B5">
      <w:pPr>
        <w:spacing w:after="0" w:line="240" w:lineRule="auto"/>
      </w:pPr>
    </w:p>
  </w:footnote>
  <w:footnote w:id="2">
    <w:p w14:paraId="71B0510B" w14:textId="3533A91A" w:rsidR="00FA2A4A" w:rsidRPr="001354C5" w:rsidRDefault="00FA2A4A" w:rsidP="007C5880">
      <w:pPr>
        <w:pStyle w:val="FootnoteText"/>
        <w:ind w:left="357" w:hanging="357"/>
        <w:jc w:val="both"/>
        <w:rPr>
          <w:lang w:val="en-IE"/>
        </w:rPr>
      </w:pPr>
      <w:r>
        <w:rPr>
          <w:rStyle w:val="FootnoteReference"/>
        </w:rPr>
        <w:footnoteRef/>
      </w:r>
      <w:r>
        <w:t xml:space="preserve"> </w:t>
      </w:r>
      <w:r w:rsidR="007C5880">
        <w:tab/>
      </w:r>
      <w:hyperlink r:id="rId1" w:history="1">
        <w:r w:rsidR="001354C5">
          <w:rPr>
            <w:rStyle w:val="Hyperlink"/>
          </w:rPr>
          <w:t>Scientific advice related to nutrient profiling for the development of harmonised mandatory front‐of‐pack nutrition labelling and the setting of nutrient profiles for restricting nutrition and health claims on foods | EFSA (europa.eu)</w:t>
        </w:r>
      </w:hyperlink>
    </w:p>
  </w:footnote>
  <w:footnote w:id="3">
    <w:p w14:paraId="4AF8FA9C" w14:textId="527D87A5" w:rsidR="001354C5" w:rsidRPr="001354C5" w:rsidRDefault="001354C5" w:rsidP="007C5880">
      <w:pPr>
        <w:pStyle w:val="FootnoteText"/>
        <w:ind w:left="357" w:hanging="357"/>
        <w:rPr>
          <w:lang w:val="en-IE"/>
        </w:rPr>
      </w:pPr>
      <w:r>
        <w:rPr>
          <w:rStyle w:val="FootnoteReference"/>
        </w:rPr>
        <w:footnoteRef/>
      </w:r>
      <w:r>
        <w:t xml:space="preserve"> </w:t>
      </w:r>
      <w:r w:rsidR="007C5880">
        <w:tab/>
      </w:r>
      <w:hyperlink r:id="rId2" w:history="1">
        <w:r w:rsidR="007C5880" w:rsidRPr="008C1938">
          <w:rPr>
            <w:rStyle w:val="Hyperlink"/>
            <w:rFonts w:eastAsia="Times New Roman" w:cs="Times New Roman"/>
          </w:rPr>
          <w:t>https://publications.jrc.ec.europa.eu/repository/handle/JRC130125</w:t>
        </w:r>
      </w:hyperlink>
      <w:r>
        <w:rPr>
          <w:rFonts w:eastAsia="Times New Roman" w:cs="Times New Roman"/>
        </w:rPr>
        <w:t xml:space="preserve"> </w:t>
      </w:r>
    </w:p>
  </w:footnote>
  <w:footnote w:id="4">
    <w:p w14:paraId="18D3D830" w14:textId="57DF6AD7" w:rsidR="00703A28" w:rsidRPr="00703A28" w:rsidRDefault="00703A28" w:rsidP="007C5880">
      <w:pPr>
        <w:pStyle w:val="FootnoteText"/>
        <w:ind w:left="357" w:hanging="357"/>
        <w:rPr>
          <w:lang w:val="en-IE"/>
        </w:rPr>
      </w:pPr>
      <w:r>
        <w:rPr>
          <w:rStyle w:val="FootnoteReference"/>
        </w:rPr>
        <w:footnoteRef/>
      </w:r>
      <w:r>
        <w:t xml:space="preserve"> </w:t>
      </w:r>
      <w:r w:rsidR="007C5880">
        <w:tab/>
      </w:r>
      <w:hyperlink r:id="rId3" w:history="1">
        <w:r w:rsidR="007C5880" w:rsidRPr="008C1938">
          <w:rPr>
            <w:rStyle w:val="Hyperlink"/>
          </w:rPr>
          <w:t>https://food-labels-explorer.jrc.ec.europa.eu/en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D62E" w14:textId="77777777" w:rsidR="007C43DE" w:rsidRDefault="007C43DE" w:rsidP="0077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28A2C13"/>
    <w:multiLevelType w:val="hybridMultilevel"/>
    <w:tmpl w:val="24C61696"/>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398673206">
    <w:abstractNumId w:val="0"/>
  </w:num>
  <w:num w:numId="2" w16cid:durableId="201527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02387"/>
    <w:rsid w:val="00016860"/>
    <w:rsid w:val="00024522"/>
    <w:rsid w:val="0007028A"/>
    <w:rsid w:val="000A3B02"/>
    <w:rsid w:val="000A4B27"/>
    <w:rsid w:val="000B50B0"/>
    <w:rsid w:val="000C7D4D"/>
    <w:rsid w:val="000C7DC6"/>
    <w:rsid w:val="000D04E1"/>
    <w:rsid w:val="000E48A5"/>
    <w:rsid w:val="000F15F1"/>
    <w:rsid w:val="000F1AFA"/>
    <w:rsid w:val="000F4574"/>
    <w:rsid w:val="00101CA5"/>
    <w:rsid w:val="001054B6"/>
    <w:rsid w:val="001143CB"/>
    <w:rsid w:val="00120980"/>
    <w:rsid w:val="00124CE6"/>
    <w:rsid w:val="001354C5"/>
    <w:rsid w:val="00135F1F"/>
    <w:rsid w:val="001379B5"/>
    <w:rsid w:val="00156ABD"/>
    <w:rsid w:val="00161841"/>
    <w:rsid w:val="00170E1F"/>
    <w:rsid w:val="00194444"/>
    <w:rsid w:val="001B4F4B"/>
    <w:rsid w:val="001E37D4"/>
    <w:rsid w:val="001E7036"/>
    <w:rsid w:val="001F5609"/>
    <w:rsid w:val="00203C40"/>
    <w:rsid w:val="00205516"/>
    <w:rsid w:val="00207336"/>
    <w:rsid w:val="002417D7"/>
    <w:rsid w:val="0025141C"/>
    <w:rsid w:val="002574EE"/>
    <w:rsid w:val="00277F65"/>
    <w:rsid w:val="002802A1"/>
    <w:rsid w:val="00286DBD"/>
    <w:rsid w:val="002979A6"/>
    <w:rsid w:val="002A727E"/>
    <w:rsid w:val="002B711D"/>
    <w:rsid w:val="002C592F"/>
    <w:rsid w:val="002D2BF2"/>
    <w:rsid w:val="002E2614"/>
    <w:rsid w:val="002F79BA"/>
    <w:rsid w:val="00302387"/>
    <w:rsid w:val="00322C7E"/>
    <w:rsid w:val="00323002"/>
    <w:rsid w:val="003254B4"/>
    <w:rsid w:val="00366D85"/>
    <w:rsid w:val="003832E0"/>
    <w:rsid w:val="0038333D"/>
    <w:rsid w:val="003B6A93"/>
    <w:rsid w:val="003C50C3"/>
    <w:rsid w:val="003D31EC"/>
    <w:rsid w:val="003D435E"/>
    <w:rsid w:val="003E63F4"/>
    <w:rsid w:val="00410E68"/>
    <w:rsid w:val="0041474A"/>
    <w:rsid w:val="0042442A"/>
    <w:rsid w:val="00426ABE"/>
    <w:rsid w:val="00440313"/>
    <w:rsid w:val="00440CDE"/>
    <w:rsid w:val="00441006"/>
    <w:rsid w:val="00451C70"/>
    <w:rsid w:val="00462732"/>
    <w:rsid w:val="00463995"/>
    <w:rsid w:val="00463BCA"/>
    <w:rsid w:val="004873DD"/>
    <w:rsid w:val="00490C59"/>
    <w:rsid w:val="00491FE9"/>
    <w:rsid w:val="004A0106"/>
    <w:rsid w:val="004B27B5"/>
    <w:rsid w:val="004B2DB6"/>
    <w:rsid w:val="004C0A34"/>
    <w:rsid w:val="004E62A2"/>
    <w:rsid w:val="00504259"/>
    <w:rsid w:val="00512EE8"/>
    <w:rsid w:val="00516202"/>
    <w:rsid w:val="0053050F"/>
    <w:rsid w:val="00547BC1"/>
    <w:rsid w:val="00555066"/>
    <w:rsid w:val="005629FD"/>
    <w:rsid w:val="00570387"/>
    <w:rsid w:val="005707C5"/>
    <w:rsid w:val="0057493E"/>
    <w:rsid w:val="00574F96"/>
    <w:rsid w:val="00576B72"/>
    <w:rsid w:val="00615FF1"/>
    <w:rsid w:val="00621FC4"/>
    <w:rsid w:val="0062489C"/>
    <w:rsid w:val="00640854"/>
    <w:rsid w:val="00643130"/>
    <w:rsid w:val="0065050D"/>
    <w:rsid w:val="0065079D"/>
    <w:rsid w:val="0065281F"/>
    <w:rsid w:val="00685A6E"/>
    <w:rsid w:val="006BC28F"/>
    <w:rsid w:val="006E6812"/>
    <w:rsid w:val="007015CB"/>
    <w:rsid w:val="00703A28"/>
    <w:rsid w:val="00707E3C"/>
    <w:rsid w:val="0072667A"/>
    <w:rsid w:val="00735149"/>
    <w:rsid w:val="007510FD"/>
    <w:rsid w:val="0076069D"/>
    <w:rsid w:val="00773E83"/>
    <w:rsid w:val="0078255F"/>
    <w:rsid w:val="0079063C"/>
    <w:rsid w:val="00796BA5"/>
    <w:rsid w:val="007B4CD5"/>
    <w:rsid w:val="007C3A99"/>
    <w:rsid w:val="007C43DE"/>
    <w:rsid w:val="007C5880"/>
    <w:rsid w:val="007D1CB4"/>
    <w:rsid w:val="007E5123"/>
    <w:rsid w:val="007E5935"/>
    <w:rsid w:val="007F4C00"/>
    <w:rsid w:val="0080381D"/>
    <w:rsid w:val="00815B75"/>
    <w:rsid w:val="00816A2B"/>
    <w:rsid w:val="00824A9C"/>
    <w:rsid w:val="00830A12"/>
    <w:rsid w:val="008342CE"/>
    <w:rsid w:val="00847BD9"/>
    <w:rsid w:val="00860EBF"/>
    <w:rsid w:val="008C3EFA"/>
    <w:rsid w:val="008D0717"/>
    <w:rsid w:val="008D458B"/>
    <w:rsid w:val="008F2F04"/>
    <w:rsid w:val="00901550"/>
    <w:rsid w:val="009104D2"/>
    <w:rsid w:val="00917C1D"/>
    <w:rsid w:val="00923949"/>
    <w:rsid w:val="00925CD3"/>
    <w:rsid w:val="009352F1"/>
    <w:rsid w:val="009436A5"/>
    <w:rsid w:val="0095007F"/>
    <w:rsid w:val="0095347B"/>
    <w:rsid w:val="00962A4C"/>
    <w:rsid w:val="0097423A"/>
    <w:rsid w:val="00981B51"/>
    <w:rsid w:val="0098201A"/>
    <w:rsid w:val="0099030A"/>
    <w:rsid w:val="009A5910"/>
    <w:rsid w:val="009C2C9E"/>
    <w:rsid w:val="009D17D0"/>
    <w:rsid w:val="009E701C"/>
    <w:rsid w:val="009F192F"/>
    <w:rsid w:val="009F400C"/>
    <w:rsid w:val="009F7D1D"/>
    <w:rsid w:val="00A22A4C"/>
    <w:rsid w:val="00A25C31"/>
    <w:rsid w:val="00A275CB"/>
    <w:rsid w:val="00A47510"/>
    <w:rsid w:val="00A6416D"/>
    <w:rsid w:val="00A91B2F"/>
    <w:rsid w:val="00AA05E8"/>
    <w:rsid w:val="00AB0937"/>
    <w:rsid w:val="00AC7ABA"/>
    <w:rsid w:val="00AE2B3E"/>
    <w:rsid w:val="00AF0B9F"/>
    <w:rsid w:val="00AF395F"/>
    <w:rsid w:val="00B11AC7"/>
    <w:rsid w:val="00B14FB1"/>
    <w:rsid w:val="00B15D2E"/>
    <w:rsid w:val="00B40CF6"/>
    <w:rsid w:val="00B55483"/>
    <w:rsid w:val="00B612C9"/>
    <w:rsid w:val="00B75CC4"/>
    <w:rsid w:val="00BA3380"/>
    <w:rsid w:val="00BC5C80"/>
    <w:rsid w:val="00BD1FE5"/>
    <w:rsid w:val="00BD3A52"/>
    <w:rsid w:val="00BE2819"/>
    <w:rsid w:val="00BE62D1"/>
    <w:rsid w:val="00C06468"/>
    <w:rsid w:val="00C20B50"/>
    <w:rsid w:val="00C21B24"/>
    <w:rsid w:val="00C30D2F"/>
    <w:rsid w:val="00C3704C"/>
    <w:rsid w:val="00C408CF"/>
    <w:rsid w:val="00C70CF3"/>
    <w:rsid w:val="00C70E83"/>
    <w:rsid w:val="00CA2E7E"/>
    <w:rsid w:val="00CF32D5"/>
    <w:rsid w:val="00CF5B44"/>
    <w:rsid w:val="00D01140"/>
    <w:rsid w:val="00D01D79"/>
    <w:rsid w:val="00D1568F"/>
    <w:rsid w:val="00D2032D"/>
    <w:rsid w:val="00D2312C"/>
    <w:rsid w:val="00D2693D"/>
    <w:rsid w:val="00D3753C"/>
    <w:rsid w:val="00D6094B"/>
    <w:rsid w:val="00D9124C"/>
    <w:rsid w:val="00DA75CA"/>
    <w:rsid w:val="00DB2C03"/>
    <w:rsid w:val="00DB3576"/>
    <w:rsid w:val="00DC1C41"/>
    <w:rsid w:val="00E12090"/>
    <w:rsid w:val="00E33371"/>
    <w:rsid w:val="00E43AF7"/>
    <w:rsid w:val="00E44C1D"/>
    <w:rsid w:val="00E7784B"/>
    <w:rsid w:val="00E8631F"/>
    <w:rsid w:val="00EA3A9A"/>
    <w:rsid w:val="00ED471A"/>
    <w:rsid w:val="00EE1F4B"/>
    <w:rsid w:val="00EE7985"/>
    <w:rsid w:val="00EF1DA5"/>
    <w:rsid w:val="00EF3885"/>
    <w:rsid w:val="00F07DD9"/>
    <w:rsid w:val="00F2561F"/>
    <w:rsid w:val="00F32D76"/>
    <w:rsid w:val="00F333EE"/>
    <w:rsid w:val="00F36993"/>
    <w:rsid w:val="00F371B7"/>
    <w:rsid w:val="00F511AC"/>
    <w:rsid w:val="00F70DAB"/>
    <w:rsid w:val="00F831E1"/>
    <w:rsid w:val="00F8719C"/>
    <w:rsid w:val="00FA2A4A"/>
    <w:rsid w:val="00FA6E02"/>
    <w:rsid w:val="00FB145A"/>
    <w:rsid w:val="00FC4FBD"/>
    <w:rsid w:val="00FD6DD3"/>
    <w:rsid w:val="00FE0641"/>
    <w:rsid w:val="00FE7DFC"/>
    <w:rsid w:val="00FF0619"/>
    <w:rsid w:val="00FF2654"/>
    <w:rsid w:val="00FF3EB2"/>
    <w:rsid w:val="00FF5C73"/>
    <w:rsid w:val="013E1656"/>
    <w:rsid w:val="01AAEB5B"/>
    <w:rsid w:val="01B7D014"/>
    <w:rsid w:val="01EB0A19"/>
    <w:rsid w:val="01EF4D81"/>
    <w:rsid w:val="020543C5"/>
    <w:rsid w:val="02198171"/>
    <w:rsid w:val="0228CC44"/>
    <w:rsid w:val="02401FC3"/>
    <w:rsid w:val="027A98B0"/>
    <w:rsid w:val="02B10D58"/>
    <w:rsid w:val="03123656"/>
    <w:rsid w:val="0346BBBC"/>
    <w:rsid w:val="0354346D"/>
    <w:rsid w:val="03C6A8A1"/>
    <w:rsid w:val="03EBB761"/>
    <w:rsid w:val="040B8639"/>
    <w:rsid w:val="04374935"/>
    <w:rsid w:val="046B9653"/>
    <w:rsid w:val="04D8F50A"/>
    <w:rsid w:val="04E8ED55"/>
    <w:rsid w:val="055B3E4B"/>
    <w:rsid w:val="057B09E0"/>
    <w:rsid w:val="058787C2"/>
    <w:rsid w:val="05CB588D"/>
    <w:rsid w:val="05D38548"/>
    <w:rsid w:val="0615AE1D"/>
    <w:rsid w:val="0647C8AF"/>
    <w:rsid w:val="0683B12B"/>
    <w:rsid w:val="06DB12C8"/>
    <w:rsid w:val="070F2AD1"/>
    <w:rsid w:val="072AB078"/>
    <w:rsid w:val="073434BD"/>
    <w:rsid w:val="07379D82"/>
    <w:rsid w:val="077389D8"/>
    <w:rsid w:val="078EB7D5"/>
    <w:rsid w:val="07C26AD1"/>
    <w:rsid w:val="080D99F9"/>
    <w:rsid w:val="084D1242"/>
    <w:rsid w:val="08944A7E"/>
    <w:rsid w:val="093BAE8B"/>
    <w:rsid w:val="09D162B8"/>
    <w:rsid w:val="0A11BE4A"/>
    <w:rsid w:val="0A60BD7C"/>
    <w:rsid w:val="0ABA2A8C"/>
    <w:rsid w:val="0AF04DEC"/>
    <w:rsid w:val="0B04189D"/>
    <w:rsid w:val="0B2D3C23"/>
    <w:rsid w:val="0B40E49D"/>
    <w:rsid w:val="0B9D6132"/>
    <w:rsid w:val="0BAC467A"/>
    <w:rsid w:val="0BBDFED5"/>
    <w:rsid w:val="0BE70209"/>
    <w:rsid w:val="0C085299"/>
    <w:rsid w:val="0C49D14A"/>
    <w:rsid w:val="0CA1549D"/>
    <w:rsid w:val="0CCDB86A"/>
    <w:rsid w:val="0D027041"/>
    <w:rsid w:val="0D59CF36"/>
    <w:rsid w:val="0D691116"/>
    <w:rsid w:val="0DBEF2BB"/>
    <w:rsid w:val="0DCDA415"/>
    <w:rsid w:val="0DD7B723"/>
    <w:rsid w:val="0DDA203C"/>
    <w:rsid w:val="0E9B828B"/>
    <w:rsid w:val="0F1EA2CB"/>
    <w:rsid w:val="0F95B073"/>
    <w:rsid w:val="0FBF6351"/>
    <w:rsid w:val="0FCFDE60"/>
    <w:rsid w:val="103A1103"/>
    <w:rsid w:val="10454005"/>
    <w:rsid w:val="104F3C56"/>
    <w:rsid w:val="106C8B57"/>
    <w:rsid w:val="10F1B8EE"/>
    <w:rsid w:val="123FC180"/>
    <w:rsid w:val="12550308"/>
    <w:rsid w:val="1293E78C"/>
    <w:rsid w:val="13B39752"/>
    <w:rsid w:val="13B8F94D"/>
    <w:rsid w:val="13FCF82D"/>
    <w:rsid w:val="140754A6"/>
    <w:rsid w:val="144992B5"/>
    <w:rsid w:val="147E56C5"/>
    <w:rsid w:val="1491D286"/>
    <w:rsid w:val="14D9655C"/>
    <w:rsid w:val="153BCEA6"/>
    <w:rsid w:val="157F9DD5"/>
    <w:rsid w:val="15D34A7D"/>
    <w:rsid w:val="168C4C3D"/>
    <w:rsid w:val="1709F94D"/>
    <w:rsid w:val="173EF568"/>
    <w:rsid w:val="174AC44B"/>
    <w:rsid w:val="176E08B4"/>
    <w:rsid w:val="17CAF55F"/>
    <w:rsid w:val="17DE6501"/>
    <w:rsid w:val="17EB26E9"/>
    <w:rsid w:val="18DAC5C9"/>
    <w:rsid w:val="192A9DA0"/>
    <w:rsid w:val="19A981AF"/>
    <w:rsid w:val="19AFE6E4"/>
    <w:rsid w:val="19C7CAEC"/>
    <w:rsid w:val="19EE59EC"/>
    <w:rsid w:val="19FEB058"/>
    <w:rsid w:val="1A403FC4"/>
    <w:rsid w:val="1A419A0F"/>
    <w:rsid w:val="1AAFF311"/>
    <w:rsid w:val="1B0BE9E9"/>
    <w:rsid w:val="1BB76B16"/>
    <w:rsid w:val="1BCC0E02"/>
    <w:rsid w:val="1BDD6A70"/>
    <w:rsid w:val="1BEA8306"/>
    <w:rsid w:val="1C832612"/>
    <w:rsid w:val="1CBE980C"/>
    <w:rsid w:val="1CD91B37"/>
    <w:rsid w:val="1E7390CA"/>
    <w:rsid w:val="1ECD6C04"/>
    <w:rsid w:val="1F72CF74"/>
    <w:rsid w:val="1FE5CF1A"/>
    <w:rsid w:val="200F612B"/>
    <w:rsid w:val="202E176D"/>
    <w:rsid w:val="2032943F"/>
    <w:rsid w:val="206A4675"/>
    <w:rsid w:val="2094E3BB"/>
    <w:rsid w:val="20E9FBC1"/>
    <w:rsid w:val="20EBB599"/>
    <w:rsid w:val="210FD8F2"/>
    <w:rsid w:val="212D0241"/>
    <w:rsid w:val="21421240"/>
    <w:rsid w:val="2172B36E"/>
    <w:rsid w:val="2191C548"/>
    <w:rsid w:val="21A1D06C"/>
    <w:rsid w:val="21FCF3D2"/>
    <w:rsid w:val="22325BC3"/>
    <w:rsid w:val="223F5B88"/>
    <w:rsid w:val="224CEA69"/>
    <w:rsid w:val="2298F7F6"/>
    <w:rsid w:val="22AA7036"/>
    <w:rsid w:val="22C70ED8"/>
    <w:rsid w:val="234701ED"/>
    <w:rsid w:val="24570D3B"/>
    <w:rsid w:val="24591F84"/>
    <w:rsid w:val="245F3C37"/>
    <w:rsid w:val="247C6E54"/>
    <w:rsid w:val="2494EA79"/>
    <w:rsid w:val="24B2ABC0"/>
    <w:rsid w:val="24C9A9F1"/>
    <w:rsid w:val="24D3D828"/>
    <w:rsid w:val="2556B042"/>
    <w:rsid w:val="25848B2B"/>
    <w:rsid w:val="258602B9"/>
    <w:rsid w:val="25B6D9DE"/>
    <w:rsid w:val="25D098B8"/>
    <w:rsid w:val="262C7D7F"/>
    <w:rsid w:val="262CCB7E"/>
    <w:rsid w:val="2655675B"/>
    <w:rsid w:val="268040DE"/>
    <w:rsid w:val="26B4CEB3"/>
    <w:rsid w:val="270564B2"/>
    <w:rsid w:val="2789FDBE"/>
    <w:rsid w:val="2820F8A0"/>
    <w:rsid w:val="2835399C"/>
    <w:rsid w:val="28509F14"/>
    <w:rsid w:val="28615269"/>
    <w:rsid w:val="28ADF70B"/>
    <w:rsid w:val="28C16D8F"/>
    <w:rsid w:val="29500F6F"/>
    <w:rsid w:val="2A24A8F2"/>
    <w:rsid w:val="2A38B6D0"/>
    <w:rsid w:val="2A57CEEC"/>
    <w:rsid w:val="2AA99E98"/>
    <w:rsid w:val="2AD4E2A9"/>
    <w:rsid w:val="2B05CB27"/>
    <w:rsid w:val="2B05F9A6"/>
    <w:rsid w:val="2BC1E817"/>
    <w:rsid w:val="2BC881C4"/>
    <w:rsid w:val="2C3E83AA"/>
    <w:rsid w:val="2CBAF5BB"/>
    <w:rsid w:val="2CD9566E"/>
    <w:rsid w:val="2D23F5EF"/>
    <w:rsid w:val="2D4D9122"/>
    <w:rsid w:val="2D99CD66"/>
    <w:rsid w:val="2DBA0A31"/>
    <w:rsid w:val="2E13CCB5"/>
    <w:rsid w:val="2E48C615"/>
    <w:rsid w:val="2E7879BD"/>
    <w:rsid w:val="2E85448A"/>
    <w:rsid w:val="2E92E018"/>
    <w:rsid w:val="2EC4DD11"/>
    <w:rsid w:val="2ED0B889"/>
    <w:rsid w:val="2F91730E"/>
    <w:rsid w:val="2FD09860"/>
    <w:rsid w:val="305EF753"/>
    <w:rsid w:val="306CF0B8"/>
    <w:rsid w:val="310FCA22"/>
    <w:rsid w:val="31188FAF"/>
    <w:rsid w:val="31280AC4"/>
    <w:rsid w:val="315C62A0"/>
    <w:rsid w:val="318CDB74"/>
    <w:rsid w:val="3193A198"/>
    <w:rsid w:val="31A199F3"/>
    <w:rsid w:val="321F52EE"/>
    <w:rsid w:val="32562773"/>
    <w:rsid w:val="328E7712"/>
    <w:rsid w:val="32AB9A83"/>
    <w:rsid w:val="32DD7B03"/>
    <w:rsid w:val="33282739"/>
    <w:rsid w:val="334BEAE0"/>
    <w:rsid w:val="338B25F8"/>
    <w:rsid w:val="339C6E73"/>
    <w:rsid w:val="33F7BA4B"/>
    <w:rsid w:val="33FB2015"/>
    <w:rsid w:val="3405CCE9"/>
    <w:rsid w:val="3469A099"/>
    <w:rsid w:val="34794B64"/>
    <w:rsid w:val="34A06FAD"/>
    <w:rsid w:val="34C5BE61"/>
    <w:rsid w:val="34D7E06A"/>
    <w:rsid w:val="350C6061"/>
    <w:rsid w:val="35A88FCD"/>
    <w:rsid w:val="3639F758"/>
    <w:rsid w:val="3673B0CB"/>
    <w:rsid w:val="3688E9A8"/>
    <w:rsid w:val="36DE0AA8"/>
    <w:rsid w:val="37345661"/>
    <w:rsid w:val="3796BD12"/>
    <w:rsid w:val="379DAD7E"/>
    <w:rsid w:val="37EA9C8B"/>
    <w:rsid w:val="3867F236"/>
    <w:rsid w:val="387CA9D6"/>
    <w:rsid w:val="3893A618"/>
    <w:rsid w:val="38A40EB5"/>
    <w:rsid w:val="392CB037"/>
    <w:rsid w:val="39C1985F"/>
    <w:rsid w:val="3A152351"/>
    <w:rsid w:val="3A187267"/>
    <w:rsid w:val="3A4A3136"/>
    <w:rsid w:val="3A7B8512"/>
    <w:rsid w:val="3AB6C90E"/>
    <w:rsid w:val="3ACA07B6"/>
    <w:rsid w:val="3B40FEED"/>
    <w:rsid w:val="3BF4F125"/>
    <w:rsid w:val="3C447061"/>
    <w:rsid w:val="3C980AA1"/>
    <w:rsid w:val="3D501AF9"/>
    <w:rsid w:val="3DB9A75E"/>
    <w:rsid w:val="3EEBEB5A"/>
    <w:rsid w:val="3EF26E4D"/>
    <w:rsid w:val="3EF97572"/>
    <w:rsid w:val="3EFD966B"/>
    <w:rsid w:val="3F2E58C8"/>
    <w:rsid w:val="3F8A6785"/>
    <w:rsid w:val="3F93469B"/>
    <w:rsid w:val="3F958C84"/>
    <w:rsid w:val="3F977C8F"/>
    <w:rsid w:val="40132663"/>
    <w:rsid w:val="409966CC"/>
    <w:rsid w:val="40C85B80"/>
    <w:rsid w:val="40CA2929"/>
    <w:rsid w:val="40E521C0"/>
    <w:rsid w:val="41183452"/>
    <w:rsid w:val="41841E3F"/>
    <w:rsid w:val="421CDE88"/>
    <w:rsid w:val="4234E28D"/>
    <w:rsid w:val="42416463"/>
    <w:rsid w:val="4265F98A"/>
    <w:rsid w:val="428C4C78"/>
    <w:rsid w:val="42CCDA42"/>
    <w:rsid w:val="4339A57C"/>
    <w:rsid w:val="43861B46"/>
    <w:rsid w:val="43AB3770"/>
    <w:rsid w:val="43EDF354"/>
    <w:rsid w:val="4419AB6E"/>
    <w:rsid w:val="4423D549"/>
    <w:rsid w:val="4468AAA3"/>
    <w:rsid w:val="448E92B1"/>
    <w:rsid w:val="44D661F9"/>
    <w:rsid w:val="4532F59C"/>
    <w:rsid w:val="455C6D96"/>
    <w:rsid w:val="45624F0F"/>
    <w:rsid w:val="4584B981"/>
    <w:rsid w:val="4593B4BD"/>
    <w:rsid w:val="45CE4FDC"/>
    <w:rsid w:val="46186F09"/>
    <w:rsid w:val="46B03B0D"/>
    <w:rsid w:val="47B81BD3"/>
    <w:rsid w:val="47D1B2C3"/>
    <w:rsid w:val="48CC3B8D"/>
    <w:rsid w:val="48D99483"/>
    <w:rsid w:val="48E840B0"/>
    <w:rsid w:val="49101A63"/>
    <w:rsid w:val="491FE029"/>
    <w:rsid w:val="493F4BD5"/>
    <w:rsid w:val="4953EC34"/>
    <w:rsid w:val="49641E84"/>
    <w:rsid w:val="49C309B4"/>
    <w:rsid w:val="4A808B71"/>
    <w:rsid w:val="4AE5F88F"/>
    <w:rsid w:val="4AF92CB0"/>
    <w:rsid w:val="4BAAADE0"/>
    <w:rsid w:val="4BB8B328"/>
    <w:rsid w:val="4CAEF50E"/>
    <w:rsid w:val="4CC15A30"/>
    <w:rsid w:val="4CF87C00"/>
    <w:rsid w:val="4D4DD50B"/>
    <w:rsid w:val="4E3FF9C2"/>
    <w:rsid w:val="4E6C25C4"/>
    <w:rsid w:val="4EA91CD0"/>
    <w:rsid w:val="4EDE473E"/>
    <w:rsid w:val="4EE6D63A"/>
    <w:rsid w:val="4EFBF28D"/>
    <w:rsid w:val="4F08E541"/>
    <w:rsid w:val="4F09FCAA"/>
    <w:rsid w:val="4F2602F3"/>
    <w:rsid w:val="4F981761"/>
    <w:rsid w:val="4FDA8519"/>
    <w:rsid w:val="4FE0CCF6"/>
    <w:rsid w:val="501C994F"/>
    <w:rsid w:val="50222791"/>
    <w:rsid w:val="5037E89D"/>
    <w:rsid w:val="50A5CD0B"/>
    <w:rsid w:val="510B5171"/>
    <w:rsid w:val="5174AF2F"/>
    <w:rsid w:val="5233934F"/>
    <w:rsid w:val="52A84343"/>
    <w:rsid w:val="532B537B"/>
    <w:rsid w:val="53595672"/>
    <w:rsid w:val="535B89F1"/>
    <w:rsid w:val="53C476DF"/>
    <w:rsid w:val="53DE32B8"/>
    <w:rsid w:val="549F8F7F"/>
    <w:rsid w:val="54A36F2A"/>
    <w:rsid w:val="54CB10F8"/>
    <w:rsid w:val="5536BFBE"/>
    <w:rsid w:val="56039453"/>
    <w:rsid w:val="5612AA07"/>
    <w:rsid w:val="5635FC98"/>
    <w:rsid w:val="565D964F"/>
    <w:rsid w:val="56FD78BD"/>
    <w:rsid w:val="5721D442"/>
    <w:rsid w:val="5735375F"/>
    <w:rsid w:val="57D39893"/>
    <w:rsid w:val="57FCF5DE"/>
    <w:rsid w:val="582C5F5A"/>
    <w:rsid w:val="589109C5"/>
    <w:rsid w:val="58D33288"/>
    <w:rsid w:val="58F7ADEF"/>
    <w:rsid w:val="5905F010"/>
    <w:rsid w:val="590D15D0"/>
    <w:rsid w:val="59505BEE"/>
    <w:rsid w:val="59C6B82A"/>
    <w:rsid w:val="59DA3D9E"/>
    <w:rsid w:val="5A7426B9"/>
    <w:rsid w:val="5ACCF071"/>
    <w:rsid w:val="5B14BFAA"/>
    <w:rsid w:val="5B911DF0"/>
    <w:rsid w:val="5B9CA924"/>
    <w:rsid w:val="5BB0755B"/>
    <w:rsid w:val="5BBEB1B6"/>
    <w:rsid w:val="5BF65C27"/>
    <w:rsid w:val="5C2FE38E"/>
    <w:rsid w:val="5C8C4804"/>
    <w:rsid w:val="5CA994DF"/>
    <w:rsid w:val="5D1D24EF"/>
    <w:rsid w:val="5D557F60"/>
    <w:rsid w:val="5DA28BE7"/>
    <w:rsid w:val="5E32C728"/>
    <w:rsid w:val="5E5E5CBD"/>
    <w:rsid w:val="5E5E8345"/>
    <w:rsid w:val="5E70BCF8"/>
    <w:rsid w:val="5EDD2DCD"/>
    <w:rsid w:val="5F873937"/>
    <w:rsid w:val="5FD28854"/>
    <w:rsid w:val="5FD51CF1"/>
    <w:rsid w:val="5FFA2D1E"/>
    <w:rsid w:val="602211AF"/>
    <w:rsid w:val="6028C01D"/>
    <w:rsid w:val="60399467"/>
    <w:rsid w:val="6064B9ED"/>
    <w:rsid w:val="611827B5"/>
    <w:rsid w:val="617B3EDC"/>
    <w:rsid w:val="61C822A9"/>
    <w:rsid w:val="62783DB1"/>
    <w:rsid w:val="62AC5066"/>
    <w:rsid w:val="62CB2835"/>
    <w:rsid w:val="62CC2A59"/>
    <w:rsid w:val="630DD352"/>
    <w:rsid w:val="6349EE8B"/>
    <w:rsid w:val="63593124"/>
    <w:rsid w:val="6363F30A"/>
    <w:rsid w:val="63A7D09A"/>
    <w:rsid w:val="645AAA5A"/>
    <w:rsid w:val="64AD17EF"/>
    <w:rsid w:val="64AE5702"/>
    <w:rsid w:val="64F18154"/>
    <w:rsid w:val="65A0772B"/>
    <w:rsid w:val="65AA3B42"/>
    <w:rsid w:val="65C6E642"/>
    <w:rsid w:val="65EB98D8"/>
    <w:rsid w:val="661B8AAB"/>
    <w:rsid w:val="66DF506D"/>
    <w:rsid w:val="67175F89"/>
    <w:rsid w:val="671C748B"/>
    <w:rsid w:val="673ABDC0"/>
    <w:rsid w:val="67B16B1D"/>
    <w:rsid w:val="67B89E6D"/>
    <w:rsid w:val="67D262CB"/>
    <w:rsid w:val="680D6B9F"/>
    <w:rsid w:val="685828E6"/>
    <w:rsid w:val="68ABC47D"/>
    <w:rsid w:val="68AE3803"/>
    <w:rsid w:val="69A7CF06"/>
    <w:rsid w:val="69D363C3"/>
    <w:rsid w:val="69E40ABE"/>
    <w:rsid w:val="6A26C3CA"/>
    <w:rsid w:val="6A8A0024"/>
    <w:rsid w:val="6AB32025"/>
    <w:rsid w:val="6AB3C6F2"/>
    <w:rsid w:val="6AF1426D"/>
    <w:rsid w:val="6B1A98CB"/>
    <w:rsid w:val="6B726D36"/>
    <w:rsid w:val="6B7FDB1F"/>
    <w:rsid w:val="6C744A37"/>
    <w:rsid w:val="6C876D02"/>
    <w:rsid w:val="6C96BFA2"/>
    <w:rsid w:val="6CB66484"/>
    <w:rsid w:val="6CB6692C"/>
    <w:rsid w:val="6CEA9483"/>
    <w:rsid w:val="6DB4EEAF"/>
    <w:rsid w:val="6DD6BCC1"/>
    <w:rsid w:val="6DDED354"/>
    <w:rsid w:val="6DF6AABD"/>
    <w:rsid w:val="6E3F6BE5"/>
    <w:rsid w:val="6E504BE7"/>
    <w:rsid w:val="6E5D78A1"/>
    <w:rsid w:val="6E76289D"/>
    <w:rsid w:val="6E8664E4"/>
    <w:rsid w:val="6EBD5064"/>
    <w:rsid w:val="6ED38369"/>
    <w:rsid w:val="6EF4B787"/>
    <w:rsid w:val="6F5FBB18"/>
    <w:rsid w:val="6F6E0B74"/>
    <w:rsid w:val="6F8F5249"/>
    <w:rsid w:val="6FE29329"/>
    <w:rsid w:val="6FF18221"/>
    <w:rsid w:val="6FF7B677"/>
    <w:rsid w:val="7007203D"/>
    <w:rsid w:val="704DBFF3"/>
    <w:rsid w:val="7082C7A1"/>
    <w:rsid w:val="70AB814C"/>
    <w:rsid w:val="70DFA0D7"/>
    <w:rsid w:val="71807B34"/>
    <w:rsid w:val="71820BC1"/>
    <w:rsid w:val="71E50E33"/>
    <w:rsid w:val="71F750B3"/>
    <w:rsid w:val="7231D5AF"/>
    <w:rsid w:val="723D27CC"/>
    <w:rsid w:val="7385BB32"/>
    <w:rsid w:val="73880121"/>
    <w:rsid w:val="74282FB7"/>
    <w:rsid w:val="74B434F6"/>
    <w:rsid w:val="74EDC19C"/>
    <w:rsid w:val="7526069B"/>
    <w:rsid w:val="75697671"/>
    <w:rsid w:val="75D0BCDC"/>
    <w:rsid w:val="75D14F08"/>
    <w:rsid w:val="75FB6811"/>
    <w:rsid w:val="763449CA"/>
    <w:rsid w:val="77D5CB5C"/>
    <w:rsid w:val="77FC1B8E"/>
    <w:rsid w:val="7846831A"/>
    <w:rsid w:val="78914FF6"/>
    <w:rsid w:val="79325DEA"/>
    <w:rsid w:val="794A36EB"/>
    <w:rsid w:val="794F4D4F"/>
    <w:rsid w:val="79E683F8"/>
    <w:rsid w:val="7A47EAED"/>
    <w:rsid w:val="7A774AE1"/>
    <w:rsid w:val="7A9967B6"/>
    <w:rsid w:val="7AD68845"/>
    <w:rsid w:val="7B7DBCAB"/>
    <w:rsid w:val="7B9652F8"/>
    <w:rsid w:val="7BAED650"/>
    <w:rsid w:val="7C27AF0F"/>
    <w:rsid w:val="7C2837E6"/>
    <w:rsid w:val="7C3EDA61"/>
    <w:rsid w:val="7C7258A6"/>
    <w:rsid w:val="7D1B5086"/>
    <w:rsid w:val="7DC604FB"/>
    <w:rsid w:val="7DD0F40E"/>
    <w:rsid w:val="7DDE5BB5"/>
    <w:rsid w:val="7DF3E7CA"/>
    <w:rsid w:val="7E3B5A27"/>
    <w:rsid w:val="7E6E3C87"/>
    <w:rsid w:val="7E9C6CC4"/>
    <w:rsid w:val="7EB76666"/>
    <w:rsid w:val="7EF5EF80"/>
    <w:rsid w:val="7F1C4F74"/>
    <w:rsid w:val="7F2F664A"/>
    <w:rsid w:val="7F632431"/>
    <w:rsid w:val="7FA338C8"/>
    <w:rsid w:val="7FC705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5856"/>
  <w15:chartTrackingRefBased/>
  <w15:docId w15:val="{BED6837F-8640-4C34-B690-20850697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238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387"/>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302387"/>
    <w:rPr>
      <w:vertAlign w:val="superscript"/>
    </w:rPr>
  </w:style>
  <w:style w:type="character" w:styleId="Hyperlink">
    <w:name w:val="Hyperlink"/>
    <w:aliases w:val="Char1"/>
    <w:rsid w:val="00302387"/>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302387"/>
    <w:pPr>
      <w:spacing w:line="240" w:lineRule="exact"/>
    </w:pPr>
    <w:rPr>
      <w:vertAlign w:val="superscript"/>
    </w:rPr>
  </w:style>
  <w:style w:type="paragraph" w:customStyle="1" w:styleId="doc-ti">
    <w:name w:val="doc-ti"/>
    <w:basedOn w:val="Normal"/>
    <w:rsid w:val="00302387"/>
    <w:pPr>
      <w:spacing w:before="100" w:beforeAutospacing="1" w:after="100" w:afterAutospacing="1" w:line="240" w:lineRule="auto"/>
    </w:pPr>
    <w:rPr>
      <w:rFonts w:eastAsia="Times New Roman" w:cs="Times New Roman"/>
      <w:szCs w:val="24"/>
      <w:lang w:eastAsia="en-GB"/>
    </w:rPr>
  </w:style>
  <w:style w:type="character" w:styleId="CommentReference">
    <w:name w:val="annotation reference"/>
    <w:basedOn w:val="DefaultParagraphFont"/>
    <w:uiPriority w:val="99"/>
    <w:semiHidden/>
    <w:unhideWhenUsed/>
    <w:rsid w:val="001054B6"/>
    <w:rPr>
      <w:sz w:val="16"/>
      <w:szCs w:val="16"/>
    </w:rPr>
  </w:style>
  <w:style w:type="paragraph" w:styleId="CommentText">
    <w:name w:val="annotation text"/>
    <w:basedOn w:val="Normal"/>
    <w:link w:val="CommentTextChar"/>
    <w:uiPriority w:val="99"/>
    <w:unhideWhenUsed/>
    <w:rsid w:val="001054B6"/>
    <w:pPr>
      <w:spacing w:line="240" w:lineRule="auto"/>
    </w:pPr>
    <w:rPr>
      <w:sz w:val="20"/>
      <w:szCs w:val="20"/>
    </w:rPr>
  </w:style>
  <w:style w:type="character" w:customStyle="1" w:styleId="CommentTextChar">
    <w:name w:val="Comment Text Char"/>
    <w:basedOn w:val="DefaultParagraphFont"/>
    <w:link w:val="CommentText"/>
    <w:uiPriority w:val="99"/>
    <w:rsid w:val="001054B6"/>
    <w:rPr>
      <w:sz w:val="20"/>
      <w:szCs w:val="20"/>
    </w:rPr>
  </w:style>
  <w:style w:type="paragraph" w:styleId="CommentSubject">
    <w:name w:val="annotation subject"/>
    <w:basedOn w:val="CommentText"/>
    <w:next w:val="CommentText"/>
    <w:link w:val="CommentSubjectChar"/>
    <w:uiPriority w:val="99"/>
    <w:semiHidden/>
    <w:unhideWhenUsed/>
    <w:rsid w:val="001054B6"/>
    <w:rPr>
      <w:b/>
      <w:bCs/>
    </w:rPr>
  </w:style>
  <w:style w:type="character" w:customStyle="1" w:styleId="CommentSubjectChar">
    <w:name w:val="Comment Subject Char"/>
    <w:basedOn w:val="CommentTextChar"/>
    <w:link w:val="CommentSubject"/>
    <w:uiPriority w:val="99"/>
    <w:semiHidden/>
    <w:rsid w:val="001054B6"/>
    <w:rPr>
      <w:b/>
      <w:bCs/>
      <w:sz w:val="20"/>
      <w:szCs w:val="20"/>
    </w:rPr>
  </w:style>
  <w:style w:type="character" w:styleId="UnresolvedMention">
    <w:name w:val="Unresolved Mention"/>
    <w:basedOn w:val="DefaultParagraphFont"/>
    <w:uiPriority w:val="99"/>
    <w:semiHidden/>
    <w:unhideWhenUsed/>
    <w:rsid w:val="00FF5C73"/>
    <w:rPr>
      <w:color w:val="605E5C"/>
      <w:shd w:val="clear" w:color="auto" w:fill="E1DFDD"/>
    </w:rPr>
  </w:style>
  <w:style w:type="paragraph" w:styleId="Revision">
    <w:name w:val="Revision"/>
    <w:hidden/>
    <w:uiPriority w:val="99"/>
    <w:semiHidden/>
    <w:rsid w:val="00DA75CA"/>
    <w:pPr>
      <w:spacing w:after="0" w:line="240" w:lineRule="auto"/>
    </w:pPr>
  </w:style>
  <w:style w:type="character" w:styleId="Mention">
    <w:name w:val="Mention"/>
    <w:basedOn w:val="DefaultParagraphFont"/>
    <w:uiPriority w:val="99"/>
    <w:unhideWhenUsed/>
    <w:rPr>
      <w:color w:val="2B579A"/>
      <w:shd w:val="clear" w:color="auto" w:fill="E6E6E6"/>
    </w:rPr>
  </w:style>
  <w:style w:type="paragraph" w:customStyle="1" w:styleId="title-bold">
    <w:name w:val="title-bold"/>
    <w:basedOn w:val="Normal"/>
    <w:rsid w:val="00463995"/>
    <w:pPr>
      <w:spacing w:before="100" w:beforeAutospacing="1" w:after="100" w:afterAutospacing="1" w:line="240" w:lineRule="auto"/>
    </w:pPr>
    <w:rPr>
      <w:rFonts w:eastAsia="Times New Roman" w:cs="Times New Roman"/>
      <w:szCs w:val="24"/>
      <w:lang w:val="en-IE" w:eastAsia="en-IE"/>
    </w:rPr>
  </w:style>
  <w:style w:type="paragraph" w:styleId="NormalWeb">
    <w:name w:val="Normal (Web)"/>
    <w:basedOn w:val="Normal"/>
    <w:uiPriority w:val="99"/>
    <w:unhideWhenUsed/>
    <w:rsid w:val="00463995"/>
    <w:pPr>
      <w:spacing w:before="100" w:beforeAutospacing="1" w:after="100" w:afterAutospacing="1" w:line="240" w:lineRule="auto"/>
    </w:pPr>
    <w:rPr>
      <w:rFonts w:eastAsia="Times New Roman" w:cs="Times New Roman"/>
      <w:szCs w:val="24"/>
      <w:lang w:val="en-IE" w:eastAsia="en-IE"/>
    </w:rPr>
  </w:style>
  <w:style w:type="character" w:styleId="Emphasis">
    <w:name w:val="Emphasis"/>
    <w:basedOn w:val="DefaultParagraphFont"/>
    <w:uiPriority w:val="20"/>
    <w:qFormat/>
    <w:rsid w:val="00463995"/>
    <w:rPr>
      <w:i/>
      <w:iCs/>
    </w:rPr>
  </w:style>
  <w:style w:type="paragraph" w:customStyle="1" w:styleId="norm">
    <w:name w:val="norm"/>
    <w:basedOn w:val="Normal"/>
    <w:rsid w:val="00A6416D"/>
    <w:pPr>
      <w:spacing w:before="100" w:beforeAutospacing="1" w:after="100" w:afterAutospacing="1" w:line="240" w:lineRule="auto"/>
    </w:pPr>
    <w:rPr>
      <w:rFonts w:eastAsia="Times New Roman" w:cs="Times New Roman"/>
      <w:szCs w:val="24"/>
      <w:lang w:val="en-IE" w:eastAsia="en-IE"/>
    </w:rPr>
  </w:style>
  <w:style w:type="character" w:customStyle="1" w:styleId="italics">
    <w:name w:val="italics"/>
    <w:basedOn w:val="DefaultParagraphFont"/>
    <w:rsid w:val="00A6416D"/>
  </w:style>
  <w:style w:type="character" w:customStyle="1" w:styleId="boldface">
    <w:name w:val="boldface"/>
    <w:basedOn w:val="DefaultParagraphFont"/>
    <w:rsid w:val="00796BA5"/>
  </w:style>
  <w:style w:type="character" w:customStyle="1" w:styleId="UnresolvedMention1">
    <w:name w:val="Unresolved Mention1"/>
    <w:basedOn w:val="DefaultParagraphFont"/>
    <w:uiPriority w:val="99"/>
    <w:semiHidden/>
    <w:unhideWhenUsed/>
    <w:rsid w:val="007C43DE"/>
    <w:rPr>
      <w:color w:val="605E5C"/>
      <w:shd w:val="clear" w:color="auto" w:fill="E1DFDD"/>
    </w:rPr>
  </w:style>
  <w:style w:type="character" w:customStyle="1" w:styleId="Mention1">
    <w:name w:val="Mention1"/>
    <w:basedOn w:val="DefaultParagraphFont"/>
    <w:uiPriority w:val="99"/>
    <w:unhideWhenUsed/>
    <w:rsid w:val="007C43DE"/>
    <w:rPr>
      <w:color w:val="2B579A"/>
      <w:shd w:val="clear" w:color="auto" w:fill="E6E6E6"/>
    </w:rPr>
  </w:style>
  <w:style w:type="paragraph" w:styleId="BalloonText">
    <w:name w:val="Balloon Text"/>
    <w:basedOn w:val="Normal"/>
    <w:link w:val="BalloonTextChar"/>
    <w:uiPriority w:val="99"/>
    <w:semiHidden/>
    <w:unhideWhenUsed/>
    <w:rsid w:val="007C4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DE"/>
    <w:rPr>
      <w:rFonts w:ascii="Segoe UI" w:hAnsi="Segoe UI" w:cs="Segoe UI"/>
      <w:sz w:val="18"/>
      <w:szCs w:val="18"/>
    </w:rPr>
  </w:style>
  <w:style w:type="paragraph" w:styleId="Header">
    <w:name w:val="header"/>
    <w:basedOn w:val="Normal"/>
    <w:link w:val="HeaderChar"/>
    <w:uiPriority w:val="99"/>
    <w:unhideWhenUsed/>
    <w:rsid w:val="007C4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3DE"/>
  </w:style>
  <w:style w:type="paragraph" w:styleId="Footer">
    <w:name w:val="footer"/>
    <w:basedOn w:val="Normal"/>
    <w:link w:val="FooterChar"/>
    <w:uiPriority w:val="99"/>
    <w:unhideWhenUsed/>
    <w:rsid w:val="007C4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3DE"/>
  </w:style>
  <w:style w:type="character" w:customStyle="1" w:styleId="normaltextrun">
    <w:name w:val="normaltextrun"/>
    <w:basedOn w:val="DefaultParagraphFont"/>
    <w:rsid w:val="00A25C31"/>
  </w:style>
  <w:style w:type="character" w:customStyle="1" w:styleId="findhit">
    <w:name w:val="findhit"/>
    <w:basedOn w:val="DefaultParagraphFont"/>
    <w:rsid w:val="00A25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190">
      <w:bodyDiv w:val="1"/>
      <w:marLeft w:val="0"/>
      <w:marRight w:val="0"/>
      <w:marTop w:val="0"/>
      <w:marBottom w:val="0"/>
      <w:divBdr>
        <w:top w:val="none" w:sz="0" w:space="0" w:color="auto"/>
        <w:left w:val="none" w:sz="0" w:space="0" w:color="auto"/>
        <w:bottom w:val="none" w:sz="0" w:space="0" w:color="auto"/>
        <w:right w:val="none" w:sz="0" w:space="0" w:color="auto"/>
      </w:divBdr>
    </w:div>
    <w:div w:id="817186683">
      <w:bodyDiv w:val="1"/>
      <w:marLeft w:val="0"/>
      <w:marRight w:val="0"/>
      <w:marTop w:val="0"/>
      <w:marBottom w:val="0"/>
      <w:divBdr>
        <w:top w:val="none" w:sz="0" w:space="0" w:color="auto"/>
        <w:left w:val="none" w:sz="0" w:space="0" w:color="auto"/>
        <w:bottom w:val="none" w:sz="0" w:space="0" w:color="auto"/>
        <w:right w:val="none" w:sz="0" w:space="0" w:color="auto"/>
      </w:divBdr>
    </w:div>
    <w:div w:id="944768726">
      <w:bodyDiv w:val="1"/>
      <w:marLeft w:val="0"/>
      <w:marRight w:val="0"/>
      <w:marTop w:val="0"/>
      <w:marBottom w:val="0"/>
      <w:divBdr>
        <w:top w:val="none" w:sz="0" w:space="0" w:color="auto"/>
        <w:left w:val="none" w:sz="0" w:space="0" w:color="auto"/>
        <w:bottom w:val="none" w:sz="0" w:space="0" w:color="auto"/>
        <w:right w:val="none" w:sz="0" w:space="0" w:color="auto"/>
      </w:divBdr>
    </w:div>
    <w:div w:id="1136221676">
      <w:bodyDiv w:val="1"/>
      <w:marLeft w:val="0"/>
      <w:marRight w:val="0"/>
      <w:marTop w:val="0"/>
      <w:marBottom w:val="0"/>
      <w:divBdr>
        <w:top w:val="none" w:sz="0" w:space="0" w:color="auto"/>
        <w:left w:val="none" w:sz="0" w:space="0" w:color="auto"/>
        <w:bottom w:val="none" w:sz="0" w:space="0" w:color="auto"/>
        <w:right w:val="none" w:sz="0" w:space="0" w:color="auto"/>
      </w:divBdr>
    </w:div>
    <w:div w:id="1479223420">
      <w:bodyDiv w:val="1"/>
      <w:marLeft w:val="0"/>
      <w:marRight w:val="0"/>
      <w:marTop w:val="0"/>
      <w:marBottom w:val="0"/>
      <w:divBdr>
        <w:top w:val="none" w:sz="0" w:space="0" w:color="auto"/>
        <w:left w:val="none" w:sz="0" w:space="0" w:color="auto"/>
        <w:bottom w:val="none" w:sz="0" w:space="0" w:color="auto"/>
        <w:right w:val="none" w:sz="0" w:space="0" w:color="auto"/>
      </w:divBdr>
    </w:div>
    <w:div w:id="1811554142">
      <w:bodyDiv w:val="1"/>
      <w:marLeft w:val="0"/>
      <w:marRight w:val="0"/>
      <w:marTop w:val="0"/>
      <w:marBottom w:val="0"/>
      <w:divBdr>
        <w:top w:val="none" w:sz="0" w:space="0" w:color="auto"/>
        <w:left w:val="none" w:sz="0" w:space="0" w:color="auto"/>
        <w:bottom w:val="none" w:sz="0" w:space="0" w:color="auto"/>
        <w:right w:val="none" w:sz="0" w:space="0" w:color="auto"/>
      </w:divBdr>
    </w:div>
    <w:div w:id="1939634821">
      <w:bodyDiv w:val="1"/>
      <w:marLeft w:val="0"/>
      <w:marRight w:val="0"/>
      <w:marTop w:val="0"/>
      <w:marBottom w:val="0"/>
      <w:divBdr>
        <w:top w:val="none" w:sz="0" w:space="0" w:color="auto"/>
        <w:left w:val="none" w:sz="0" w:space="0" w:color="auto"/>
        <w:bottom w:val="none" w:sz="0" w:space="0" w:color="auto"/>
        <w:right w:val="none" w:sz="0" w:space="0" w:color="auto"/>
      </w:divBdr>
    </w:div>
    <w:div w:id="2046366181">
      <w:bodyDiv w:val="1"/>
      <w:marLeft w:val="0"/>
      <w:marRight w:val="0"/>
      <w:marTop w:val="0"/>
      <w:marBottom w:val="0"/>
      <w:divBdr>
        <w:top w:val="none" w:sz="0" w:space="0" w:color="auto"/>
        <w:left w:val="none" w:sz="0" w:space="0" w:color="auto"/>
        <w:bottom w:val="none" w:sz="0" w:space="0" w:color="auto"/>
        <w:right w:val="none" w:sz="0" w:space="0" w:color="auto"/>
      </w:divBdr>
    </w:div>
    <w:div w:id="206270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food-labels-explorer.jrc.ec.europa.eu/en" TargetMode="External"/><Relationship Id="rId2" Type="http://schemas.openxmlformats.org/officeDocument/2006/relationships/hyperlink" Target="https://publications.jrc.ec.europa.eu/repository/handle/JRC130125" TargetMode="External"/><Relationship Id="rId1" Type="http://schemas.openxmlformats.org/officeDocument/2006/relationships/hyperlink" Target="https://www.efsa.europa.eu/en/efsajournal/pub/7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C2F05394DCE044693DCAA726179B598" ma:contentTypeVersion="10" ma:contentTypeDescription="Create a new document." ma:contentTypeScope="" ma:versionID="5b8e22628ba94ffde0d76a570d15bbf7">
  <xsd:schema xmlns:xsd="http://www.w3.org/2001/XMLSchema" xmlns:xs="http://www.w3.org/2001/XMLSchema" xmlns:p="http://schemas.microsoft.com/office/2006/metadata/properties" xmlns:ns3="71fe9c91-5602-4bdb-b72c-69451971f681" xmlns:ns4="ccf8ecc5-ce9f-4cc1-bb60-062c62b05209" targetNamespace="http://schemas.microsoft.com/office/2006/metadata/properties" ma:root="true" ma:fieldsID="8cda2f0ccc6930f2a9c4488bf0deb0e0" ns3:_="" ns4:_="">
    <xsd:import namespace="71fe9c91-5602-4bdb-b72c-69451971f681"/>
    <xsd:import namespace="ccf8ecc5-ce9f-4cc1-bb60-062c62b052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e9c91-5602-4bdb-b72c-69451971f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8ecc5-ce9f-4cc1-bb60-062c62b052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84981D676F7469FB7985B8196FE05" ma:contentTypeVersion="4" ma:contentTypeDescription="Create a new document." ma:contentTypeScope="" ma:versionID="e3e2704358ec97a188a6c64ed94a5e3f">
  <xsd:schema xmlns:xsd="http://www.w3.org/2001/XMLSchema" xmlns:xs="http://www.w3.org/2001/XMLSchema" xmlns:p="http://schemas.microsoft.com/office/2006/metadata/properties" xmlns:ns2="e0fb9e4e-9a17-43c4-891a-079bfb0a02bd" targetNamespace="http://schemas.microsoft.com/office/2006/metadata/properties" ma:root="true" ma:fieldsID="14edf4f1999f4e865d47b0c06e7b7c69" ns2:_="">
    <xsd:import namespace="e0fb9e4e-9a17-43c4-891a-079bfb0a02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b9e4e-9a17-43c4-891a-079bfb0a0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38BEB-5E49-4C70-BE38-C75ADDD35C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427D5F-6C61-4C32-80B4-E01CB2E5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e9c91-5602-4bdb-b72c-69451971f681"/>
    <ds:schemaRef ds:uri="ccf8ecc5-ce9f-4cc1-bb60-062c62b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64EE8A-0531-47CF-A4F7-A7A3636EE216}">
  <ds:schemaRefs>
    <ds:schemaRef ds:uri="http://schemas.microsoft.com/sharepoint/v3/contenttype/forms"/>
  </ds:schemaRefs>
</ds:datastoreItem>
</file>

<file path=customXml/itemProps4.xml><?xml version="1.0" encoding="utf-8"?>
<ds:datastoreItem xmlns:ds="http://schemas.openxmlformats.org/officeDocument/2006/customXml" ds:itemID="{FF0B9189-E539-4CB3-92F8-6EE05433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b9e4e-9a17-43c4-891a-079bfb0a0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5B4FA0-B7B4-4323-9CE0-8BF9F67C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2696</Words>
  <Characters>14834</Characters>
  <Application>Microsoft Office Word</Application>
  <DocSecurity>0</DocSecurity>
  <Lines>211</Lines>
  <Paragraphs>38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ALMEIDA Maria Jose (SG)</cp:lastModifiedBy>
  <cp:revision>6</cp:revision>
  <cp:lastPrinted>2024-02-14T09:18:00Z</cp:lastPrinted>
  <dcterms:created xsi:type="dcterms:W3CDTF">2024-03-22T13:51:00Z</dcterms:created>
  <dcterms:modified xsi:type="dcterms:W3CDTF">2024-04-02T06:09:00Z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2024-01-31T13:30:58Z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ee80922f-8116-41ce-b727-ad4fc58683e1</vt:lpwstr>
  </property>
  <property fmtid="{D5CDD505-2E9C-101B-9397-08002B2CF9AE}" pid="8" name="MSIP_Label_6bd9ddd1-4d20-43f6-abfa-fc3c07406f94_ContentBits">
    <vt:lpwstr>0</vt:lpwstr>
  </property>
  <property fmtid="{D5CDD505-2E9C-101B-9397-08002B2CF9AE}" pid="9" name="ContentTypeId">
    <vt:lpwstr>0x01010093484981D676F7469FB7985B8196FE05</vt:lpwstr>
  </property>
  <property fmtid="{D5CDD505-2E9C-101B-9397-08002B2CF9AE}" pid="10" name="MediaServiceImageTags">
    <vt:lpwstr/>
  </property>
  <property fmtid="{D5CDD505-2E9C-101B-9397-08002B2CF9AE}" pid="11" name="JiveCategories">
    <vt:lpwstr/>
  </property>
  <property fmtid="{D5CDD505-2E9C-101B-9397-08002B2CF9AE}" pid="12" name="JiveTags">
    <vt:lpwstr/>
  </property>
</Properties>
</file>