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93BB" w14:textId="322D3D3B" w:rsidR="00302387" w:rsidRPr="00302387" w:rsidRDefault="00302387" w:rsidP="00302387">
      <w:pPr>
        <w:spacing w:after="600" w:line="240" w:lineRule="auto"/>
        <w:jc w:val="center"/>
        <w:rPr>
          <w:rFonts w:eastAsia="Times New Roman" w:cs="Times New Roman"/>
          <w:b/>
          <w:bCs/>
          <w:szCs w:val="24"/>
        </w:rPr>
      </w:pPr>
      <w:bookmarkStart w:id="0" w:name="humanitarian"/>
      <w:bookmarkStart w:id="1" w:name="Cancer"/>
      <w:r>
        <w:rPr>
          <w:b/>
        </w:rPr>
        <w:t>Suite donnée à la résolution non législative du Parlement européen</w:t>
      </w:r>
      <w:bookmarkEnd w:id="0"/>
      <w:bookmarkEnd w:id="1"/>
      <w:r>
        <w:t xml:space="preserve"> </w:t>
      </w:r>
      <w:r>
        <w:rPr>
          <w:b/>
        </w:rPr>
        <w:t>sur la mise en œuvre du règlement (CE) n° 1924/2006 concernant les allégations nutritionnelles et de santé portant sur les denrées alimentaires</w:t>
      </w:r>
    </w:p>
    <w:p w14:paraId="31143CE2" w14:textId="2A8E45F9" w:rsidR="00302387" w:rsidRPr="00E7784B" w:rsidRDefault="00302387" w:rsidP="00302387">
      <w:pPr>
        <w:spacing w:after="240" w:line="240" w:lineRule="auto"/>
        <w:jc w:val="both"/>
        <w:rPr>
          <w:rFonts w:eastAsia="Times New Roman" w:cs="Times New Roman"/>
          <w:i/>
          <w:szCs w:val="24"/>
        </w:rPr>
      </w:pPr>
      <w:r>
        <w:rPr>
          <w:b/>
        </w:rPr>
        <w:t>1.</w:t>
      </w:r>
      <w:r>
        <w:rPr>
          <w:b/>
        </w:rPr>
        <w:tab/>
      </w:r>
      <w:proofErr w:type="gramStart"/>
      <w:r>
        <w:rPr>
          <w:b/>
        </w:rPr>
        <w:t>Rapporteure:</w:t>
      </w:r>
      <w:proofErr w:type="gramEnd"/>
      <w:r>
        <w:t xml:space="preserve"> </w:t>
      </w:r>
      <w:r>
        <w:rPr>
          <w:color w:val="1E1E1F"/>
          <w:shd w:val="clear" w:color="auto" w:fill="FFFFFF"/>
        </w:rPr>
        <w:t>Tilly METZ (Verts/ALE/LU)</w:t>
      </w:r>
    </w:p>
    <w:p w14:paraId="70707CAB" w14:textId="7087F44C" w:rsidR="00302387" w:rsidRPr="00462732" w:rsidRDefault="00302387" w:rsidP="00302387">
      <w:pPr>
        <w:spacing w:after="240" w:line="240" w:lineRule="auto"/>
        <w:jc w:val="both"/>
        <w:rPr>
          <w:rFonts w:eastAsia="Times New Roman" w:cs="Times New Roman"/>
          <w:b/>
          <w:bCs/>
          <w:i/>
          <w:szCs w:val="24"/>
        </w:rPr>
      </w:pPr>
      <w:r>
        <w:rPr>
          <w:b/>
        </w:rPr>
        <w:t>2.</w:t>
      </w:r>
      <w:r>
        <w:rPr>
          <w:b/>
        </w:rPr>
        <w:tab/>
        <w:t xml:space="preserve">Numéros de </w:t>
      </w:r>
      <w:proofErr w:type="gramStart"/>
      <w:r>
        <w:rPr>
          <w:b/>
        </w:rPr>
        <w:t>référence:</w:t>
      </w:r>
      <w:proofErr w:type="gramEnd"/>
      <w:r>
        <w:rPr>
          <w:b/>
        </w:rPr>
        <w:t xml:space="preserve"> </w:t>
      </w:r>
      <w:r>
        <w:t xml:space="preserve">2023/2081 (INI) </w:t>
      </w:r>
      <w:r>
        <w:rPr>
          <w:b/>
        </w:rPr>
        <w:t>/</w:t>
      </w:r>
      <w:r>
        <w:t xml:space="preserve"> A9-0416/2023 </w:t>
      </w:r>
      <w:r>
        <w:rPr>
          <w:b/>
        </w:rPr>
        <w:t>/</w:t>
      </w:r>
      <w:r>
        <w:t xml:space="preserve"> P9_TA(2024)0040</w:t>
      </w:r>
    </w:p>
    <w:p w14:paraId="266BB2C5" w14:textId="1289FBAE" w:rsidR="00302387" w:rsidRPr="00302387" w:rsidRDefault="00302387" w:rsidP="00302387">
      <w:pPr>
        <w:spacing w:after="240" w:line="240" w:lineRule="auto"/>
        <w:jc w:val="both"/>
        <w:rPr>
          <w:rFonts w:eastAsia="Times New Roman" w:cs="Times New Roman"/>
          <w:szCs w:val="24"/>
        </w:rPr>
      </w:pPr>
      <w:r>
        <w:rPr>
          <w:b/>
        </w:rPr>
        <w:t>3.</w:t>
      </w:r>
      <w:r>
        <w:rPr>
          <w:b/>
        </w:rPr>
        <w:tab/>
        <w:t xml:space="preserve">Date d'adoption de la </w:t>
      </w:r>
      <w:proofErr w:type="gramStart"/>
      <w:r>
        <w:rPr>
          <w:b/>
        </w:rPr>
        <w:t>résolution:</w:t>
      </w:r>
      <w:proofErr w:type="gramEnd"/>
      <w:r>
        <w:t xml:space="preserve"> 18 janvier 2024</w:t>
      </w:r>
    </w:p>
    <w:p w14:paraId="0CB5F2C8" w14:textId="77777777" w:rsidR="00302387" w:rsidRPr="00302387" w:rsidRDefault="00302387" w:rsidP="00302387">
      <w:pPr>
        <w:spacing w:after="240" w:line="240" w:lineRule="auto"/>
        <w:ind w:left="720" w:hanging="720"/>
        <w:jc w:val="both"/>
        <w:rPr>
          <w:rFonts w:eastAsia="Times New Roman" w:cs="Times New Roman"/>
          <w:i/>
          <w:szCs w:val="24"/>
        </w:rPr>
      </w:pPr>
      <w:r>
        <w:rPr>
          <w:b/>
        </w:rPr>
        <w:t>4.</w:t>
      </w:r>
      <w:r>
        <w:rPr>
          <w:b/>
        </w:rPr>
        <w:tab/>
        <w:t xml:space="preserve">Commission parlementaire </w:t>
      </w:r>
      <w:proofErr w:type="gramStart"/>
      <w:r>
        <w:rPr>
          <w:b/>
        </w:rPr>
        <w:t>compétente:</w:t>
      </w:r>
      <w:proofErr w:type="gramEnd"/>
      <w:r>
        <w:rPr>
          <w:b/>
        </w:rPr>
        <w:t xml:space="preserve"> </w:t>
      </w:r>
      <w:r>
        <w:t>Sous-commission de la santé publique (SANT)</w:t>
      </w:r>
    </w:p>
    <w:p w14:paraId="2B3ACC8D" w14:textId="3B4FB958" w:rsidR="00462732" w:rsidRDefault="00302387" w:rsidP="00302387">
      <w:pPr>
        <w:widowControl w:val="0"/>
        <w:spacing w:after="240" w:line="240" w:lineRule="auto"/>
        <w:jc w:val="both"/>
        <w:rPr>
          <w:rFonts w:eastAsia="Times New Roman" w:cs="Times New Roman"/>
          <w:b/>
          <w:szCs w:val="24"/>
        </w:rPr>
      </w:pPr>
      <w:r>
        <w:rPr>
          <w:b/>
        </w:rPr>
        <w:t>5.</w:t>
      </w:r>
      <w:r>
        <w:rPr>
          <w:b/>
        </w:rPr>
        <w:tab/>
        <w:t xml:space="preserve">Analyse/évaluation succincte de la résolution et des demandes qu’elle </w:t>
      </w:r>
      <w:proofErr w:type="gramStart"/>
      <w:r>
        <w:rPr>
          <w:b/>
        </w:rPr>
        <w:t>contient:</w:t>
      </w:r>
      <w:proofErr w:type="gramEnd"/>
    </w:p>
    <w:p w14:paraId="2B399AB6" w14:textId="03F7C114" w:rsidR="0072667A" w:rsidRDefault="00BD1FE5" w:rsidP="007C5880">
      <w:pPr>
        <w:widowControl w:val="0"/>
        <w:spacing w:after="120" w:line="240" w:lineRule="auto"/>
        <w:jc w:val="both"/>
        <w:rPr>
          <w:rFonts w:eastAsia="Times New Roman" w:cs="Times New Roman"/>
        </w:rPr>
      </w:pPr>
      <w:r>
        <w:t>La résolution note que le principal objectif du règlement (CE) n° 1924/2006 concernant les allégations nutritionnelles et de santé portant sur les denrées alimentaires (le «règlement (CE) nº 1924/2006») est de veiller à ce que les allégations portant sur les denrées alimentaires reposent sur des preuves scientifiques généralement admises et soient comprises par le consommateur moyen, mais souligne que, dans la pratique, des allégations trompeuses sur les denrées alimentaires sont toujours signalées (</w:t>
      </w:r>
      <w:r>
        <w:rPr>
          <w:b/>
        </w:rPr>
        <w:t>paragraphe 1</w:t>
      </w:r>
      <w:r>
        <w:t>). Elle souligne également l’intérêt croissant des consommateurs pour les informations sur les denrées alimentaires, qui doivent être précises, utiles et fondées sur des données scientifiques (</w:t>
      </w:r>
      <w:r>
        <w:rPr>
          <w:b/>
        </w:rPr>
        <w:t>paragraphe 2</w:t>
      </w:r>
      <w:r>
        <w:t>).</w:t>
      </w:r>
    </w:p>
    <w:p w14:paraId="44CB40E1" w14:textId="2EB8150C" w:rsidR="00BD1FE5" w:rsidRDefault="0072667A" w:rsidP="007C5880">
      <w:pPr>
        <w:widowControl w:val="0"/>
        <w:spacing w:after="120" w:line="240" w:lineRule="auto"/>
        <w:jc w:val="both"/>
        <w:rPr>
          <w:rFonts w:eastAsia="Times New Roman" w:cs="Times New Roman"/>
        </w:rPr>
      </w:pPr>
      <w:r>
        <w:t>La résolution rappelle que la Commission aurait dû établir des profils nutritionnels au plus tard le 19 janvier 2009 et regrette que la proposition de la Commission n’ait pas encore été présentée, bien qu’elle soit prévue pour 2022. Elle note que la fixation de profils nutritionnels assortis de seuils nutritionnels spécifiques pour l’utilisation des allégations nutritionnelles et de santé reste pertinente et nécessaire pour atteindre les objectifs du règlement (CE) nº</w:t>
      </w:r>
      <w:r w:rsidR="00256DE4">
        <w:t> </w:t>
      </w:r>
      <w:r>
        <w:t>1924/2006 et qu’en l’absence de profils nutritionnels, les allégations peuvent mettre l’accent sur un aspect positif d’un produit globalement malsain (</w:t>
      </w:r>
      <w:r>
        <w:rPr>
          <w:b/>
        </w:rPr>
        <w:t>paragraphes 4 et 5</w:t>
      </w:r>
      <w:r>
        <w:t>). La résolution estime que la Commission et les États membres devraient investir davantage dans l’éducation à l’alimentation et à la nutrition afin d’enseigner aux enfants les principes d’une alimentation saine et équilibrée (</w:t>
      </w:r>
      <w:r>
        <w:rPr>
          <w:b/>
        </w:rPr>
        <w:t>paragraphe 6</w:t>
      </w:r>
      <w:r>
        <w:t>). La résolution préconise l’inclusion de seuils sur les étiquettes alimentaires portant des allégations de santé (</w:t>
      </w:r>
      <w:r>
        <w:rPr>
          <w:b/>
        </w:rPr>
        <w:t>paragraphe 7</w:t>
      </w:r>
      <w:r>
        <w:t>) et déplore le retard pris dans la proposition de révision du règlement (UE) n° 1169/2011 concernant l’information des consommateurs sur les denrées alimentaires (le «règlement INCO») en ce qui concerne l’élaboration d’étiquettes nutritionnelles sur la face avant des emballages afin d’aider les consommateurs à faire des choix alimentaires éclairés, sains et durables (</w:t>
      </w:r>
      <w:r>
        <w:rPr>
          <w:b/>
        </w:rPr>
        <w:t>paragraphe 8</w:t>
      </w:r>
      <w:r>
        <w:t>).</w:t>
      </w:r>
    </w:p>
    <w:p w14:paraId="39D54BC8" w14:textId="5DD6EC59" w:rsidR="00491FE9" w:rsidRDefault="6CB66484" w:rsidP="007C5880">
      <w:pPr>
        <w:widowControl w:val="0"/>
        <w:spacing w:after="120" w:line="240" w:lineRule="auto"/>
        <w:jc w:val="both"/>
        <w:rPr>
          <w:rFonts w:eastAsia="Times New Roman" w:cs="Times New Roman"/>
        </w:rPr>
      </w:pPr>
      <w:r>
        <w:t>La résolution invite la Commission à examiner l</w:t>
      </w:r>
      <w:r w:rsidR="00D73E3C">
        <w:t>a</w:t>
      </w:r>
      <w:r>
        <w:t xml:space="preserve"> possibilité législative d’étendre le mandat de l’Autorité européenne de sécurité des aliments (EFSA) afin d’inclure, outre la justification scientifique des allégations de santé, l’évaluation de la pertinence de leur utilisation (</w:t>
      </w:r>
      <w:r>
        <w:rPr>
          <w:b/>
        </w:rPr>
        <w:t>paragraphe 9</w:t>
      </w:r>
      <w:r>
        <w:t>). Elle invite également la Commission à étudier la possibilité de limiter l’utilisation de l’allégation nutritionnelle</w:t>
      </w:r>
      <w:proofErr w:type="gramStart"/>
      <w:r>
        <w:t xml:space="preserve"> «sans</w:t>
      </w:r>
      <w:proofErr w:type="gramEnd"/>
      <w:r>
        <w:t xml:space="preserve"> sucres ajoutés» pour les produits contenant des édulcorants ou des niveaux élevés de sucre à assimilation rapide (</w:t>
      </w:r>
      <w:r>
        <w:rPr>
          <w:b/>
        </w:rPr>
        <w:t>paragraphe 10</w:t>
      </w:r>
      <w:r>
        <w:t>).</w:t>
      </w:r>
    </w:p>
    <w:p w14:paraId="163CCCE1" w14:textId="15B6F4FD" w:rsidR="00925CD3" w:rsidRDefault="00925CD3" w:rsidP="007C5880">
      <w:pPr>
        <w:widowControl w:val="0"/>
        <w:spacing w:after="120" w:line="240" w:lineRule="auto"/>
        <w:jc w:val="both"/>
        <w:rPr>
          <w:rFonts w:eastAsia="Times New Roman" w:cs="Times New Roman"/>
          <w:bCs/>
          <w:szCs w:val="24"/>
        </w:rPr>
      </w:pPr>
      <w:r>
        <w:t>La résolution désapprouve le maintien de la suspension de l’évaluation des allégations relatives aux substances botaniques et souligne la nécessité de s’occuper de la problématique de la liste des allégations</w:t>
      </w:r>
      <w:proofErr w:type="gramStart"/>
      <w:r>
        <w:t xml:space="preserve"> «en</w:t>
      </w:r>
      <w:proofErr w:type="gramEnd"/>
      <w:r>
        <w:t xml:space="preserve"> suspens». Elle invite la Commission à rejeter les allégations qui </w:t>
      </w:r>
      <w:r>
        <w:lastRenderedPageBreak/>
        <w:t>ont déjà fait l’objet d’une évaluation négative et à établir une liste négative au niveau de l’UE des substances botaniques utilisées dans les denrées alimentaires (</w:t>
      </w:r>
      <w:r>
        <w:rPr>
          <w:b/>
        </w:rPr>
        <w:t>paragraphes 15, 16 et 17</w:t>
      </w:r>
      <w:r>
        <w:t>). La résolution invite également la Commission à fournir des orientations actualisées sur la manière de traiter les pratiques commerciales utilisées pour contourner le règlement (CE) nº</w:t>
      </w:r>
      <w:r w:rsidR="00256DE4">
        <w:t> </w:t>
      </w:r>
      <w:r>
        <w:t>1924/2006 et demande à la Commission et aux États membres de mettre en place un réseau de connaissances destiné à soutenir le groupe de travail sur les allégations nutritionnelles et de santé, y compris en ce qui concerne l’application en ligne du règlement (CE) nº 1924/2006 (</w:t>
      </w:r>
      <w:r>
        <w:rPr>
          <w:b/>
        </w:rPr>
        <w:t>paragraphes 18, 19 et 24</w:t>
      </w:r>
      <w:r>
        <w:t>).</w:t>
      </w:r>
    </w:p>
    <w:p w14:paraId="657C1F89" w14:textId="627583A7" w:rsidR="00F333EE" w:rsidRPr="00BD1FE5" w:rsidRDefault="004873DD" w:rsidP="007C5880">
      <w:pPr>
        <w:widowControl w:val="0"/>
        <w:spacing w:after="120" w:line="240" w:lineRule="auto"/>
        <w:jc w:val="both"/>
        <w:rPr>
          <w:rFonts w:eastAsia="Times New Roman" w:cs="Times New Roman"/>
          <w:bCs/>
          <w:szCs w:val="24"/>
        </w:rPr>
      </w:pPr>
      <w:r>
        <w:t>Enfin, la résolution souligne la nécessité de veiller à ce que le règlement (CE) nº 1924/2006 reste pertinent dans l’environnement en ligne, notamment parce que certains groupes vulnérables peuvent être particulièrement sensibles aux informations alimentaires partagées sur les réseaux sociaux (</w:t>
      </w:r>
      <w:r>
        <w:rPr>
          <w:b/>
        </w:rPr>
        <w:t>paragraphe 21</w:t>
      </w:r>
      <w:r>
        <w:t>). Elle demande qu’une attention renouvelée soit accordée à la mise en place d’une approche efficace et à l’échelle de l’Union pour lutter contre l’exposition des enfants et des adolescents à la publicité et à la commercialisation d’aliments transformés à forte teneur en graisses, en sucre et en sel sur les médias audiovisuels et numériques. Et elle invite la Commission à élaborer des lignes directrices détaillées pour l’application en ligne du règlement (CE) nº 1924/2006 (</w:t>
      </w:r>
      <w:r>
        <w:rPr>
          <w:b/>
        </w:rPr>
        <w:t>paragraphes 22 et 23</w:t>
      </w:r>
      <w:r>
        <w:t>).</w:t>
      </w:r>
    </w:p>
    <w:p w14:paraId="09C60D66" w14:textId="77777777" w:rsidR="00302387" w:rsidRPr="00302387" w:rsidRDefault="00302387" w:rsidP="007C5880">
      <w:pPr>
        <w:widowControl w:val="0"/>
        <w:spacing w:after="240" w:line="240" w:lineRule="auto"/>
        <w:ind w:left="720" w:hanging="720"/>
        <w:jc w:val="both"/>
        <w:rPr>
          <w:rFonts w:eastAsia="Times New Roman" w:cs="Times New Roman"/>
          <w:b/>
          <w:szCs w:val="24"/>
        </w:rPr>
      </w:pPr>
      <w:r>
        <w:rPr>
          <w:b/>
        </w:rPr>
        <w:t>6.</w:t>
      </w:r>
      <w:r>
        <w:rPr>
          <w:b/>
        </w:rPr>
        <w:tab/>
        <w:t xml:space="preserve">Réponse aux demandes et aperçu des mesures que la Commission a prises ou envisage de </w:t>
      </w:r>
      <w:proofErr w:type="gramStart"/>
      <w:r>
        <w:rPr>
          <w:b/>
        </w:rPr>
        <w:t>prendre:</w:t>
      </w:r>
      <w:proofErr w:type="gramEnd"/>
    </w:p>
    <w:p w14:paraId="45426A28" w14:textId="63974F89" w:rsidR="00BC5C80" w:rsidRDefault="000C7DC6" w:rsidP="007C5880">
      <w:pPr>
        <w:widowControl w:val="0"/>
        <w:spacing w:after="120" w:line="240" w:lineRule="auto"/>
        <w:jc w:val="both"/>
        <w:rPr>
          <w:rFonts w:eastAsia="Times New Roman" w:cs="Times New Roman"/>
          <w:szCs w:val="24"/>
        </w:rPr>
      </w:pPr>
      <w:r>
        <w:rPr>
          <w:b/>
        </w:rPr>
        <w:t>Paragraphe </w:t>
      </w:r>
      <w:proofErr w:type="gramStart"/>
      <w:r>
        <w:rPr>
          <w:b/>
        </w:rPr>
        <w:t>2:</w:t>
      </w:r>
      <w:proofErr w:type="gramEnd"/>
      <w:r>
        <w:t xml:space="preserve"> La Commission tient à rappeler que le règlement (CE) nº 1924/2006 prévoit que les allégations nutritionnelles et de santé ne peuvent être formulées que si elles sont conformes aux principes généralement admis en matière de nutrition et de santé et qu’elles doivent être véridiques, claires, fiables et utiles au consommateur pour l’aider à choisir une alimentation saine. La Commission tient à préciser que les seules allégations nutritionnelles autorisées sur les produits alimentaires commercialisés dans l’UE sont celles énumérées à l’annexe du règlement (CE) nº 1924/2006, conformément aux conditions d’utilisation qui les accompagnent et aux dispositions dudit règlement. En ce qui concerne les allégations de santé, elles sont interdites, sauf si leur utilisation dans l’UE est autorisée au terme d’une évaluation scientifique réalisée par l’EFSA. Une liste de toutes les allégations de santé autorisées et rejetées est disponible dans le registre de l’UE des allégations nutritionnelles et de santé. Cette liste est régulièrement mise à jour sur la base des nouvelles demandes soumises par les parties prenantes, qui seront évaluées par l’EFSA en tenant compte des données scientifiques les plus récentes. Les demandes sont ensuite autorisées ou rejetées par la Commission. Les États membres sont responsables de l’application de l’interdiction d’utilisation des allégations de santé qui n’ont pas été autorisées.</w:t>
      </w:r>
    </w:p>
    <w:p w14:paraId="563007E5" w14:textId="0342DB9E" w:rsidR="53595672" w:rsidRPr="00FD6DD3" w:rsidRDefault="53595672" w:rsidP="007C5880">
      <w:pPr>
        <w:spacing w:after="120" w:line="240" w:lineRule="auto"/>
        <w:jc w:val="both"/>
        <w:rPr>
          <w:b/>
          <w:bCs/>
          <w:u w:val="single"/>
        </w:rPr>
      </w:pPr>
      <w:r>
        <w:rPr>
          <w:b/>
          <w:u w:val="single"/>
        </w:rPr>
        <w:t>Prise en compte des profils nutritionnels dans les évaluations des allégations de santé et information des consommateurs</w:t>
      </w:r>
    </w:p>
    <w:p w14:paraId="04A2FEA1" w14:textId="45D8532B" w:rsidR="00C408CF" w:rsidRDefault="53595672" w:rsidP="007C5880">
      <w:pPr>
        <w:spacing w:after="120" w:line="240" w:lineRule="auto"/>
        <w:jc w:val="both"/>
      </w:pPr>
      <w:r>
        <w:rPr>
          <w:b/>
        </w:rPr>
        <w:t>Paragraphes 4, 5 et </w:t>
      </w:r>
      <w:proofErr w:type="gramStart"/>
      <w:r>
        <w:rPr>
          <w:b/>
        </w:rPr>
        <w:t>8</w:t>
      </w:r>
      <w:r>
        <w:t>:</w:t>
      </w:r>
      <w:proofErr w:type="gramEnd"/>
      <w:r>
        <w:t xml:space="preserve"> La Commission tient à souligner que les travaux de révision du règlement INCO, y compris en ce qui concerne l’étiquetage nutritionnel sur la face avant des emballages et les profils nutritionnels, sont en cours. La Commission se concentre sur la collecte de données et de preuves solides, notamment en ce qui concerne les incidences de l’étiquetage des denrées alimentaires sur le comportement des consommateurs, compte tenu de l’objectif de donner aux consommateurs les moyens de faire des choix alimentaires éclairés, sains et durables.</w:t>
      </w:r>
    </w:p>
    <w:p w14:paraId="0854475B" w14:textId="0724E355" w:rsidR="7FA338C8" w:rsidRDefault="7FA338C8" w:rsidP="007C5880">
      <w:pPr>
        <w:spacing w:after="120" w:line="240" w:lineRule="auto"/>
        <w:jc w:val="both"/>
        <w:rPr>
          <w:rFonts w:eastAsia="Times New Roman" w:cs="Times New Roman"/>
          <w:szCs w:val="24"/>
        </w:rPr>
      </w:pPr>
      <w:r>
        <w:t xml:space="preserve">La Commission a demandé à l’EFSA de fournir des avis scientifiques en vue de l’élaboration d’un étiquetage nutritionnel obligatoire harmonisé sur la face avant des emballages et de </w:t>
      </w:r>
      <w:r>
        <w:lastRenderedPageBreak/>
        <w:t>l’établissement de profils nutritionnels pour limiter les allégations nutritionnelles et de santé portant sur les denrées alimentaires. À la suite de son adoption le 24 mars 2022, l’avis scientifique de l’EFSA a été publié au Journal de l’EFSA le 19 avril 2022</w:t>
      </w:r>
      <w:r w:rsidR="00FA2A4A">
        <w:rPr>
          <w:rStyle w:val="FootnoteReference"/>
          <w:rFonts w:eastAsia="Times New Roman" w:cs="Times New Roman"/>
          <w:szCs w:val="24"/>
        </w:rPr>
        <w:footnoteReference w:id="2"/>
      </w:r>
      <w:r>
        <w:t>.</w:t>
      </w:r>
    </w:p>
    <w:p w14:paraId="6AE9E515" w14:textId="4B7EDBDD" w:rsidR="2094E3BB" w:rsidRDefault="2094E3BB" w:rsidP="007C5880">
      <w:pPr>
        <w:spacing w:after="120" w:line="240" w:lineRule="auto"/>
        <w:jc w:val="both"/>
        <w:rPr>
          <w:rFonts w:eastAsia="Times New Roman" w:cs="Times New Roman"/>
          <w:szCs w:val="24"/>
        </w:rPr>
      </w:pPr>
      <w:r>
        <w:t>Le 9 septembre 2022, le Centre commun de recherche (JRC) de la Commission a publié une analyse documentaire actualisée qui résume les données scientifiques actuelles concernant les effets de l’étiquetage nutritionnel sur la face avant des emballages sur la compréhension des consommateurs, les achats alimentaires, l’alimentation et la santé, ainsi que la reformulation des aliments</w:t>
      </w:r>
      <w:r w:rsidR="001354C5">
        <w:rPr>
          <w:rStyle w:val="FootnoteReference"/>
          <w:rFonts w:eastAsiaTheme="minorEastAsia"/>
          <w:szCs w:val="24"/>
        </w:rPr>
        <w:footnoteReference w:id="3"/>
      </w:r>
      <w:r>
        <w:t>.</w:t>
      </w:r>
    </w:p>
    <w:p w14:paraId="4D0968EF" w14:textId="5760C0BC" w:rsidR="0FBF6351" w:rsidRPr="00BD3A52" w:rsidRDefault="0FBF6351" w:rsidP="007C5880">
      <w:pPr>
        <w:spacing w:after="120" w:line="240" w:lineRule="auto"/>
        <w:jc w:val="both"/>
      </w:pPr>
      <w:r>
        <w:rPr>
          <w:b/>
        </w:rPr>
        <w:t>Paragraphe </w:t>
      </w:r>
      <w:proofErr w:type="gramStart"/>
      <w:r>
        <w:rPr>
          <w:b/>
        </w:rPr>
        <w:t>6</w:t>
      </w:r>
      <w:r>
        <w:t>:</w:t>
      </w:r>
      <w:proofErr w:type="gramEnd"/>
      <w:r>
        <w:t xml:space="preserve"> Conformément à la stratégie «De la ferme à la table», la Commission élabore actuellement des actions visant à créer un environnement alimentaire favorable. Le code de conduite de l’UE pour des pratiques entrepreneuriales et commerciales responsables dans le secteur alimentaire, lancé en juillet 2021, comprend un ensemble de sept objectifs ambitieux, assortis chacun d’objectifs spécifiques et d’une liste d’actions indicatives, tangibles et mesurables, qui visent à contribuer à un environnement alimentaire facilitant des choix alimentaires sains et durables. La surveillance de l’environnement alimentaire est essentielle. Le JRC a lancé l’explorateur de l’étiquetage des denrées alimentaires et des boissons Explorer (Food and Beverages Labels Explorer - FABLE) en septembre 2023 afin de surveiller la composition des denrées alimentaires emballées en Europe et le succès des initiatives de reformulation des denrées alimentaires dans les États membres</w:t>
      </w:r>
      <w:r w:rsidR="00703A28">
        <w:rPr>
          <w:rStyle w:val="FootnoteReference"/>
        </w:rPr>
        <w:footnoteReference w:id="4"/>
      </w:r>
      <w:r>
        <w:t>. La Commission prépare également des actions visant à soutenir les marchés publics durables pour l’alimentation et les services de restauration, en y incluant des critères en faveur de régimes alimentaires sains dans les écoles et les institutions publiques.</w:t>
      </w:r>
    </w:p>
    <w:p w14:paraId="6F25E85D" w14:textId="7417D9EB" w:rsidR="00E33371" w:rsidRPr="00703A28" w:rsidRDefault="6E76289D" w:rsidP="007C5880">
      <w:pPr>
        <w:spacing w:after="120" w:line="240" w:lineRule="auto"/>
        <w:jc w:val="both"/>
      </w:pPr>
      <w:r>
        <w:t>La Commission réexamine également le programme de l’UE à destination des écoles, notamment dans le but de souligner les messages éducatifs sur l’importance d’une alimentation saine et de renforcer la contribution du programme à une consommation alimentaire saine et durable. Le groupe d’experts informel de la Commission sur le soutien au bien-être à l’école élabore actuellement des lignes directrices sur le bien-être à l’école qui comprendront des recommandations sur l’éducation des enfants à faire des choix sains.</w:t>
      </w:r>
      <w:r>
        <w:rPr>
          <w:color w:val="000000"/>
        </w:rPr>
        <w:t xml:space="preserve"> Elles devraient être publiées d’ici l’été 2024 (date exacte non disponible).</w:t>
      </w:r>
    </w:p>
    <w:p w14:paraId="6C608035" w14:textId="4D602DE8" w:rsidR="6E76289D" w:rsidRDefault="6E76289D" w:rsidP="007C5880">
      <w:pPr>
        <w:spacing w:after="120" w:line="240" w:lineRule="auto"/>
        <w:jc w:val="both"/>
        <w:rPr>
          <w:rFonts w:eastAsia="Times New Roman" w:cs="Times New Roman"/>
          <w:szCs w:val="24"/>
        </w:rPr>
      </w:pPr>
      <w:r>
        <w:t>Si les recommandations nutritionnelles et l’éducation relève en premier lieu de la responsabilité des États membres, la Commission, quant à elle, aide les États membres à atteindre les objectifs de l’Organisation mondiale de la santé (OMS) en matière de maladies non transmissibles en leur apportant un soutien financier et administratif pour mettre en œuvre les bonnes pratiques évaluées. La Commission tient à souligner l’affectation d’un financement de l’UE de 76 millions d’euros au titre du programme de travail</w:t>
      </w:r>
      <w:proofErr w:type="gramStart"/>
      <w:r>
        <w:t xml:space="preserve"> «L’UE</w:t>
      </w:r>
      <w:proofErr w:type="gramEnd"/>
      <w:r>
        <w:t xml:space="preserve"> pour la santé» (EU4Health) à l’action conjointe des États membres visant à lutter contre les déterminants de la santé des maladies non transmissibles, y compris ceux liés à l’alimentation (JAPreventNCD). Grâce à cette action, les États membres coopéreront pour améliorer leurs capacités à planifier et à mettre en œuvre des politiques et des activités de prévention aux niveaux national, régional et local. JAPreventNCD s’appuiera également sur les travaux et les résultats de l’</w:t>
      </w:r>
      <w:r>
        <w:rPr>
          <w:b/>
          <w:bCs/>
        </w:rPr>
        <w:t>action conjointe Best-ReMaP</w:t>
      </w:r>
      <w:r>
        <w:t xml:space="preserve"> (</w:t>
      </w:r>
      <w:r>
        <w:rPr>
          <w:i/>
          <w:iCs/>
        </w:rPr>
        <w:t>Best practices in food Reformulation, Marketing and Public procurement</w:t>
      </w:r>
      <w:r>
        <w:t xml:space="preserve">, bonnes pratiques en matière de reformulation des aliments, de </w:t>
      </w:r>
      <w:r>
        <w:lastRenderedPageBreak/>
        <w:t>commercialisation et de marchés publics) sur les outils et la méthodologie liés aux politiques susceptibles d’influencer les denrées alimentaires consommées par les enfants, y compris la reformulation des aliments, la réduction de la commercialisation des denrées alimentaires néfastes pour la santé et les marchés publics de denrées alimentaires.</w:t>
      </w:r>
    </w:p>
    <w:p w14:paraId="63E66355" w14:textId="7DCDFD09" w:rsidR="00BA3380" w:rsidRDefault="53595672" w:rsidP="007C5880">
      <w:pPr>
        <w:pStyle w:val="norm"/>
        <w:shd w:val="clear" w:color="auto" w:fill="FFFFFF"/>
        <w:spacing w:before="120" w:beforeAutospacing="0" w:after="120" w:afterAutospacing="0"/>
        <w:jc w:val="both"/>
      </w:pPr>
      <w:r>
        <w:rPr>
          <w:b/>
        </w:rPr>
        <w:t>Paragraphe </w:t>
      </w:r>
      <w:proofErr w:type="gramStart"/>
      <w:r>
        <w:rPr>
          <w:b/>
        </w:rPr>
        <w:t>7:</w:t>
      </w:r>
      <w:proofErr w:type="gramEnd"/>
      <w:r>
        <w:t xml:space="preserve"> La Commission travaille actuellement à la fixation de quantités maximales de vitamines et de minéraux dans les compléments alimentaires et les aliments enrichis, conformément à l’article 5 de la directive 2002/46/CE concernant les compléments alimentaires et à l’article 6 du règlement (CE) n° 1925/2006 concernant l’adjonction de vitamines, de minéraux et de certaines autres substances aux denrées alimentaires.</w:t>
      </w:r>
    </w:p>
    <w:p w14:paraId="38BC82FA" w14:textId="4EA972DF" w:rsidR="00BA3380" w:rsidRPr="00FD6DD3" w:rsidRDefault="00BA3380" w:rsidP="007C5880">
      <w:pPr>
        <w:spacing w:after="120" w:line="240" w:lineRule="auto"/>
        <w:rPr>
          <w:b/>
          <w:bCs/>
          <w:iCs/>
          <w:szCs w:val="24"/>
          <w:u w:val="single"/>
        </w:rPr>
      </w:pPr>
      <w:r>
        <w:rPr>
          <w:b/>
          <w:u w:val="single"/>
        </w:rPr>
        <w:t>Pertinence des allégations</w:t>
      </w:r>
    </w:p>
    <w:p w14:paraId="01290F80" w14:textId="5F718081" w:rsidR="009F7D1D" w:rsidRDefault="0683B12B" w:rsidP="007C5880">
      <w:pPr>
        <w:spacing w:after="120" w:line="240" w:lineRule="auto"/>
        <w:jc w:val="both"/>
        <w:rPr>
          <w:iCs/>
          <w:szCs w:val="24"/>
        </w:rPr>
      </w:pPr>
      <w:r>
        <w:rPr>
          <w:b/>
        </w:rPr>
        <w:t>Paragraphe </w:t>
      </w:r>
      <w:proofErr w:type="gramStart"/>
      <w:r>
        <w:rPr>
          <w:b/>
        </w:rPr>
        <w:t>9:</w:t>
      </w:r>
      <w:proofErr w:type="gramEnd"/>
      <w:r>
        <w:t xml:space="preserve"> La Commission tient à souligner que les allégations de santé doivent être étayées par des données scientifiques pour prouver leur efficacité, et l’EFSA a été chargée de procéder à la justification scientifique des demandes d’allégations de santé soumises et de vérifier les preuves scientifiques. Le règlement (CE) nº 1924/2006 précise les éléments que l’EFSA doit prendre en considération dans son évaluation. Lors de l’adoption du règlement (CE) nº 1924/2006, les colégislateurs avaient l’intention de faire en sorte que les allégations portant sur les denrées alimentaires soient véridiques, scientifiquement fondées, claires et fiables et non fausses, ambiguës ou trompeuses. Toute évaluation future du règlement (CE) nº</w:t>
      </w:r>
      <w:r w:rsidR="00256DE4">
        <w:t> </w:t>
      </w:r>
      <w:r>
        <w:t>1924/2006 viserait à déterminer si les objectifs du règlement ont été atteints ou non.</w:t>
      </w:r>
    </w:p>
    <w:p w14:paraId="0836C5F4" w14:textId="653293A6" w:rsidR="00BA3380" w:rsidRPr="008C3EFA" w:rsidRDefault="68AE3803" w:rsidP="007C5880">
      <w:pPr>
        <w:spacing w:after="120" w:line="240" w:lineRule="auto"/>
        <w:jc w:val="both"/>
      </w:pPr>
      <w:r>
        <w:rPr>
          <w:b/>
        </w:rPr>
        <w:t>Paragraphe </w:t>
      </w:r>
      <w:proofErr w:type="gramStart"/>
      <w:r>
        <w:rPr>
          <w:b/>
        </w:rPr>
        <w:t>10:</w:t>
      </w:r>
      <w:proofErr w:type="gramEnd"/>
      <w:r>
        <w:t xml:space="preserve"> L’allégation nutritionnelle autorisée portant sur la mention «</w:t>
      </w:r>
      <w:bookmarkStart w:id="2" w:name="_Hlk158625805"/>
      <w:r>
        <w:t>sans sucres ajoutés</w:t>
      </w:r>
      <w:bookmarkEnd w:id="2"/>
      <w:r>
        <w:t xml:space="preserve">» doit être utilisée conformément aux conditions fixées à l’annexe du règlement (CE) nº 1924/2006, c’est-à-dire sur les denrées alimentaires qui ne contiennent pas de monoaccharides ou disaccharides ajoutés ou toute autre denrée alimentaire utilisée pour ses propriétés édulcorantes. Les édulcorants sont des denrées alimentaires ajoutées à des produits alimentaires en raison de leurs propriétés édulcorantes. Si l’allégation nutritionnelle spécifique est utilisée dans une denrée alimentaire où des sucres sont naturellement présents, la denrée alimentaire doit en outre porter la mention </w:t>
      </w:r>
      <w:proofErr w:type="gramStart"/>
      <w:r>
        <w:t>suivante:</w:t>
      </w:r>
      <w:proofErr w:type="gramEnd"/>
      <w:r>
        <w:t xml:space="preserve"> «contient des sucres naturels». Cette mention informe les consommateurs qu’un produit portant l’allégation nutritionnelle</w:t>
      </w:r>
      <w:proofErr w:type="gramStart"/>
      <w:r>
        <w:t xml:space="preserve"> «sans</w:t>
      </w:r>
      <w:proofErr w:type="gramEnd"/>
      <w:r>
        <w:t xml:space="preserve"> sucres ajoutés» contient néanmoins des sucres naturellement présents dans une denrée alimentaire.</w:t>
      </w:r>
    </w:p>
    <w:p w14:paraId="440000DF" w14:textId="627147B7" w:rsidR="00570387" w:rsidRPr="00FD6DD3" w:rsidRDefault="00570387" w:rsidP="007C5880">
      <w:pPr>
        <w:spacing w:after="120" w:line="240" w:lineRule="auto"/>
        <w:jc w:val="both"/>
        <w:rPr>
          <w:b/>
          <w:bCs/>
          <w:iCs/>
          <w:szCs w:val="24"/>
          <w:u w:val="single"/>
        </w:rPr>
      </w:pPr>
      <w:r>
        <w:rPr>
          <w:b/>
          <w:u w:val="single"/>
        </w:rPr>
        <w:t>Substances botaniques</w:t>
      </w:r>
    </w:p>
    <w:p w14:paraId="1FA3575E" w14:textId="7BD37852" w:rsidR="0097423A" w:rsidRDefault="144992B5" w:rsidP="007C5880">
      <w:pPr>
        <w:spacing w:after="120" w:line="240" w:lineRule="auto"/>
        <w:jc w:val="both"/>
        <w:rPr>
          <w:iCs/>
          <w:szCs w:val="24"/>
        </w:rPr>
      </w:pPr>
      <w:r>
        <w:rPr>
          <w:b/>
        </w:rPr>
        <w:t xml:space="preserve">Paragraphes 15, 16 et </w:t>
      </w:r>
      <w:proofErr w:type="gramStart"/>
      <w:r>
        <w:rPr>
          <w:b/>
        </w:rPr>
        <w:t>17:</w:t>
      </w:r>
      <w:proofErr w:type="gramEnd"/>
      <w:r>
        <w:t xml:space="preserve"> Pour résoudre le problème de la liste «en suspens» relative aux substances botaniques, la Commission a lancé une évaluation du règlement (CE) nº</w:t>
      </w:r>
      <w:r w:rsidR="00256DE4">
        <w:t> </w:t>
      </w:r>
      <w:r>
        <w:t>1924/2006, axée, entre autres, sur les allégations de santé botaniques. Le rapport d’évaluation finalisé en 2020 a conclu qu’il pourrait être opportun d’examiner la notion d</w:t>
      </w:r>
      <w:proofErr w:type="gramStart"/>
      <w:r>
        <w:t>’«emploi</w:t>
      </w:r>
      <w:proofErr w:type="gramEnd"/>
      <w:r>
        <w:t xml:space="preserve"> habituel» lors de l’évaluation de l’efficacité des allégations de santé ainsi que les conséquences de la coexistence, sur le marché de l’UE, des produits médicinaux traditionnels à base de plantes sur les mêmes espèces botaniques. En outre, le rapport d’évaluation a conclu qu’il était utile d’étudier plus avant l’éventuelle harmonisation au niveau de l’UE dans le domaine des substances botaniques, y compris en ce qui concerne la sécurité, et d’améliorer le fonctionnement du marché intérieur. Les prochaines étapes qui suivront l’évaluation seront guidées par les priorités de la prochaine Commission.</w:t>
      </w:r>
    </w:p>
    <w:p w14:paraId="09803F55" w14:textId="3CAB1857" w:rsidR="00E43AF7" w:rsidRPr="009436A5" w:rsidRDefault="00830A12" w:rsidP="007C5880">
      <w:pPr>
        <w:spacing w:after="120" w:line="240" w:lineRule="auto"/>
        <w:jc w:val="both"/>
        <w:rPr>
          <w:iCs/>
          <w:szCs w:val="24"/>
        </w:rPr>
      </w:pPr>
      <w:r>
        <w:t xml:space="preserve">La Commission tient à souligner qu’en ce qui concerne la sécurité des denrées alimentaires contenant des plantes, l’évaluation a conclu qu’elle est prise en compte adéquatement par le cadre juridique de l’UE applicable aux denrées alimentaires, les règles nationales existantes et l’utilisation de la procédure prévue à l’article 8 du règlement (CE) n° 1925/2006, qui évalue la sécurité de certaines substances dans les denrées alimentaires. À ce jour, la procédure de </w:t>
      </w:r>
      <w:r>
        <w:lastRenderedPageBreak/>
        <w:t xml:space="preserve">l’article 8 a été utilisée par la Commission pour restreindre ou interdire l’utilisation de substances botaniques sur le marché de l’UE pour des raisons de sécurité, et elle est </w:t>
      </w:r>
      <w:proofErr w:type="gramStart"/>
      <w:r>
        <w:t>actuellement en cours</w:t>
      </w:r>
      <w:proofErr w:type="gramEnd"/>
      <w:r>
        <w:t xml:space="preserve"> pour plusieurs substances.</w:t>
      </w:r>
    </w:p>
    <w:p w14:paraId="60F1B371" w14:textId="4934CBEE" w:rsidR="0038333D" w:rsidRPr="0042442A" w:rsidRDefault="535B89F1" w:rsidP="007C5880">
      <w:pPr>
        <w:spacing w:after="120" w:line="240" w:lineRule="auto"/>
        <w:jc w:val="both"/>
        <w:rPr>
          <w:b/>
          <w:bCs/>
          <w:u w:val="single"/>
        </w:rPr>
      </w:pPr>
      <w:r>
        <w:rPr>
          <w:b/>
          <w:u w:val="single"/>
        </w:rPr>
        <w:t>Application</w:t>
      </w:r>
    </w:p>
    <w:p w14:paraId="64A5F42D" w14:textId="23F1A631" w:rsidR="00207336" w:rsidRPr="008D458B" w:rsidRDefault="12550308" w:rsidP="007C5880">
      <w:pPr>
        <w:spacing w:after="120" w:line="240" w:lineRule="auto"/>
        <w:jc w:val="both"/>
      </w:pPr>
      <w:r>
        <w:rPr>
          <w:b/>
        </w:rPr>
        <w:t>Paragraphes 18, 19 et </w:t>
      </w:r>
      <w:proofErr w:type="gramStart"/>
      <w:r>
        <w:rPr>
          <w:b/>
        </w:rPr>
        <w:t>24:</w:t>
      </w:r>
      <w:proofErr w:type="gramEnd"/>
      <w:r>
        <w:rPr>
          <w:b/>
        </w:rPr>
        <w:t xml:space="preserve"> </w:t>
      </w:r>
      <w:r>
        <w:t>La Commission tient à souligner qu’à la suite de l’adoption du règlement (CE) nº 1924/2006, un groupe de travail composé d’experts des États membres et de la Commission a été créé dans le but d’aider à la mise en œuvre du règlement. Ce groupe de travail reste actif à ce jour, afin d’aborder spécifiquement toute question d’application et de garantir une mise en œuvre harmonisée du règlement dans l’ensemble de l’UE. Outre le groupe de travail, les experts des États membres procèdent régulièrement à des échanges sur les bonnes pratiques ainsi que sur les questions d’interprétation et d’application, ce qui maintient un canal de communication ouvert.</w:t>
      </w:r>
    </w:p>
    <w:p w14:paraId="0D7D8FD0" w14:textId="69279DF9" w:rsidR="00207336" w:rsidRPr="008D458B" w:rsidRDefault="2DBA0A31" w:rsidP="007C5880">
      <w:pPr>
        <w:spacing w:after="120" w:line="240" w:lineRule="auto"/>
        <w:jc w:val="both"/>
      </w:pPr>
      <w:r>
        <w:t>Il convient également de noter que, peu après l’entrée en application du règlement, les États membres ont approuvé, le 14 décembre 2007, lors de la réunion du comité permanent de la chaîne alimentaire et de la santé animale, un document d’orientation sur la mise en œuvre du règlement. Le présent document d’orientation vise à aider les parties intéressées à mieux comprendre et appliquer le règlement de manière correcte et uniforme. Depuis sa publication et jusqu’à aujourd’hui, le document d’orientation s’est avéré très utile non seulement pour les parties prenantes, mais aussi pour les autorités compétentes des États membres pour faire respecter les règles de l’UE en matière d’allégations. Après avoir examiné la position exprimée par le Parlement européen, la Commission tient à préciser que la raison pour laquelle une mise à jour des orientations n’est pas prévue pour le moment est que le document d’orientation reste pertinent et à jour. Les futures mises à jour pourront être envisagées à la suite de discussions et d’un accord entre les États membres. Les orientations scientifiques et techniques pour la préparation et la présentation d’une demande d’allégation de santé publiées par l’EFSA sont également accessibles au public et peuvent être consultées par les parties intéressées.</w:t>
      </w:r>
    </w:p>
    <w:p w14:paraId="13EF0CD1" w14:textId="1CAD420E" w:rsidR="00AC7ABA" w:rsidRPr="0042442A" w:rsidRDefault="00AC7ABA" w:rsidP="007C5880">
      <w:pPr>
        <w:spacing w:after="120" w:line="240" w:lineRule="auto"/>
        <w:jc w:val="both"/>
        <w:rPr>
          <w:b/>
          <w:bCs/>
          <w:iCs/>
          <w:szCs w:val="24"/>
          <w:u w:val="single"/>
        </w:rPr>
      </w:pPr>
      <w:r>
        <w:rPr>
          <w:b/>
          <w:u w:val="single"/>
        </w:rPr>
        <w:t>Allégations de santé dans les communications en ligne</w:t>
      </w:r>
    </w:p>
    <w:p w14:paraId="39AAE84A" w14:textId="21F5A5D3" w:rsidR="00615FF1" w:rsidRDefault="41841E3F" w:rsidP="007C5880">
      <w:pPr>
        <w:spacing w:after="120" w:line="240" w:lineRule="auto"/>
        <w:jc w:val="both"/>
      </w:pPr>
      <w:r>
        <w:rPr>
          <w:b/>
        </w:rPr>
        <w:t>Paragraphes 21, 22 et </w:t>
      </w:r>
      <w:proofErr w:type="gramStart"/>
      <w:r>
        <w:rPr>
          <w:b/>
        </w:rPr>
        <w:t>23:</w:t>
      </w:r>
      <w:proofErr w:type="gramEnd"/>
      <w:r>
        <w:rPr>
          <w:b/>
        </w:rPr>
        <w:t xml:space="preserve"> </w:t>
      </w:r>
      <w:r>
        <w:t>La Commission tient à préciser que le règlement (CE) nº</w:t>
      </w:r>
      <w:r w:rsidR="00256DE4">
        <w:t> </w:t>
      </w:r>
      <w:r>
        <w:t xml:space="preserve">1924/2006 s’applique aux allégations nutritionnelles et de santé formulées dans les communications à caractère commercial, qu’elles apparaissent dans l’étiquetage, la présentation des denrées alimentaires ou la publicité faite à leur égard, dès lors que les denrées alimentaires en question sont destinées à être fournies en tant que telles au consommateur final. Pour les produits alimentaires commercialisés dans l’UE, toute information concernant une denrée alimentaire transmise au consommateur final sur une étiquette, dans d’autres documents accompagnant cette denrée ou de tout autre moyen, y compris les outils de la technologique moderne ou la communication verbale, est régie par les règles du droit de l’Union relatives à l’information des consommateurs sur les denrées alimentaires, y compris les règles de nature générale applicables à toutes les denrées alimentaires. Le règlement INCO établit les principes généraux, les exigences et les responsabilités régissant l’information sur les denrées alimentaires, et en particulier l’étiquetage des denrées alimentaires, et constitue la base permettant d’assurer un niveau élevé de protection des consommateurs en ce qui concerne l’information sur les denrées alimentaires, à condition que ces informations soient précises, claires et faciles à comprendre pour le consommateur. La Commission partage les préoccupations exprimées par le Parlement européen dans sa résolution et estime que la communication en ligne par l’intermédiaire des réseaux sociaux est une question qui nécessite une réflexion/une action </w:t>
      </w:r>
      <w:r>
        <w:lastRenderedPageBreak/>
        <w:t>plus large, étant donné qu’elle concerne toutes les publicités possibles, et qu’elle ne se limite pas à l’alimentation.</w:t>
      </w:r>
    </w:p>
    <w:p w14:paraId="23585D54" w14:textId="4FD37BBB" w:rsidR="00BA3380" w:rsidRPr="003E63F4" w:rsidRDefault="00516202" w:rsidP="007C5880">
      <w:pPr>
        <w:spacing w:after="120" w:line="240" w:lineRule="auto"/>
        <w:jc w:val="both"/>
      </w:pPr>
      <w:r>
        <w:t>Le règlement sur les services numériques a pour objectif de contribuer au bon fonctionnement du marché intérieur des services intermédiaires en établissant des règles harmonisées pour un environnement en ligne sûr, prévisible et fiable qui facilite l’innovation et dans lequel les droits fondamentaux consacrés par la Charte, y compris le principe de protection des consommateurs, sont efficacement protégés. La protection des mineurs est un objectif stratégique important de l’Union. Comme l’exige le règlement sur les services numériques, les fournisseurs de plateformes en ligne utilisées par des mineurs prennent des mesures appropriées et proportionnées pour protéger les mineurs, par exemple en concevant leurs interfaces en ligne ou des parties de celles-ci avec le niveau le plus élevé de protection de la vie privée, de sûreté et de sécurité. Le règlement sur les services numériques dispose que les fournisseurs de plateformes en ligne ne présentent pas de publicités basées sur le profilage, étant donné que les publicités fondées sur des techniques de ciblage optimisées pour répondre aux centres d’intérêt et potentiellement exploiter les vulnérabilités des bénéficiaires peuvent avoir des effets négatifs particulièrement graves. En outre, ce règlement est sans préjudice des règles énoncées dans la directive</w:t>
      </w:r>
      <w:proofErr w:type="gramStart"/>
      <w:r>
        <w:t xml:space="preserve"> «Services</w:t>
      </w:r>
      <w:proofErr w:type="gramEnd"/>
      <w:r>
        <w:t xml:space="preserve"> de médias audiovisuels» </w:t>
      </w:r>
      <w:r>
        <w:rPr>
          <w:rStyle w:val="normaltextrun"/>
          <w:shd w:val="clear" w:color="auto" w:fill="FFFFFF"/>
        </w:rPr>
        <w:t>dans la mesure où elle régit d’autres aspects de la fourniture de services intermédiaires dans le marché intérieur ou précise et complète la législation sur les services numériques</w:t>
      </w:r>
      <w:r>
        <w:t>.</w:t>
      </w:r>
      <w:r>
        <w:rPr>
          <w:rStyle w:val="normaltextrun"/>
          <w:shd w:val="clear" w:color="auto" w:fill="FFFFFF"/>
        </w:rPr>
        <w:t xml:space="preserve"> La directive</w:t>
      </w:r>
      <w:proofErr w:type="gramStart"/>
      <w:r>
        <w:rPr>
          <w:rStyle w:val="normaltextrun"/>
          <w:shd w:val="clear" w:color="auto" w:fill="FFFFFF"/>
        </w:rPr>
        <w:t xml:space="preserve"> «Services</w:t>
      </w:r>
      <w:proofErr w:type="gramEnd"/>
      <w:r>
        <w:rPr>
          <w:rStyle w:val="normaltextrun"/>
          <w:shd w:val="clear" w:color="auto" w:fill="FFFFFF"/>
        </w:rPr>
        <w:t xml:space="preserve"> de médias audiovisuels» comprend des dispositions spécifiques obligeant les États membres à prendre des mesures appropriées pour veiller à ce que les services de médias audiovisuels fournis par les fournisseurs de services de médias relevant de leur compétence protègent les mineurs contre les contenus susceptibles de nuire à leur épanouissement physique, mental ou moral. La directive impose également aux États membres de veiller à ce que les fournisseurs de plateformes de partage de vidéos relevant de leur compétence prennent des mesures détaillées et appropriées pour protéger les mineurs contre les programmes, les vidéos créées par les utilisateurs et les communications commerciales audiovisuelles susceptibles de nuire à leur épanouissement physique, mental ou moral, y compris, le cas échéant, par la vérification de l’âge, le contrôle parental, les mécanismes d’indication et de signalement, ainsi que des systèmes de notation des contenus par les utilisateurs. La directive</w:t>
      </w:r>
      <w:proofErr w:type="gramStart"/>
      <w:r>
        <w:rPr>
          <w:rStyle w:val="normaltextrun"/>
          <w:shd w:val="clear" w:color="auto" w:fill="FFFFFF"/>
        </w:rPr>
        <w:t xml:space="preserve"> «Services</w:t>
      </w:r>
      <w:proofErr w:type="gramEnd"/>
      <w:r>
        <w:rPr>
          <w:rStyle w:val="normaltextrun"/>
          <w:shd w:val="clear" w:color="auto" w:fill="FFFFFF"/>
        </w:rPr>
        <w:t xml:space="preserve"> de médias audiovisuels» dispose également que les États membres encouragent les codes de conduite visant à réduire efficacement l’exposition des enfants aux communications commerciales audiovisuelles relatives aux denrées alimentaires et aux boissons riches en matières grasses, en acides gras trans, en sel ou en sodium et en sucres.</w:t>
      </w:r>
    </w:p>
    <w:sectPr w:rsidR="00BA3380" w:rsidRPr="003E63F4" w:rsidSect="005D60A2">
      <w:headerReference w:type="default" r:id="rId12"/>
      <w:footerReference w:type="default" r:id="rId13"/>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5481" w14:textId="77777777" w:rsidR="004B27B5" w:rsidRDefault="004B27B5" w:rsidP="00302387">
      <w:pPr>
        <w:spacing w:after="0" w:line="240" w:lineRule="auto"/>
      </w:pPr>
      <w:r>
        <w:separator/>
      </w:r>
    </w:p>
  </w:endnote>
  <w:endnote w:type="continuationSeparator" w:id="0">
    <w:p w14:paraId="1C911490" w14:textId="77777777" w:rsidR="004B27B5" w:rsidRDefault="004B27B5" w:rsidP="00302387">
      <w:pPr>
        <w:spacing w:after="0" w:line="240" w:lineRule="auto"/>
      </w:pPr>
      <w:r>
        <w:continuationSeparator/>
      </w:r>
    </w:p>
  </w:endnote>
  <w:endnote w:type="continuationNotice" w:id="1">
    <w:p w14:paraId="070B8590" w14:textId="77777777" w:rsidR="004B27B5" w:rsidRDefault="004B2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85B5" w14:textId="77777777" w:rsidR="007C43DE" w:rsidRDefault="007C43DE" w:rsidP="0077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FF5" w14:textId="77777777" w:rsidR="004B27B5" w:rsidRDefault="004B27B5" w:rsidP="00302387">
      <w:pPr>
        <w:spacing w:after="0" w:line="240" w:lineRule="auto"/>
      </w:pPr>
      <w:r>
        <w:separator/>
      </w:r>
    </w:p>
  </w:footnote>
  <w:footnote w:type="continuationSeparator" w:id="0">
    <w:p w14:paraId="75B06D09" w14:textId="77777777" w:rsidR="004B27B5" w:rsidRDefault="004B27B5" w:rsidP="00302387">
      <w:pPr>
        <w:spacing w:after="0" w:line="240" w:lineRule="auto"/>
      </w:pPr>
      <w:r>
        <w:continuationSeparator/>
      </w:r>
    </w:p>
  </w:footnote>
  <w:footnote w:type="continuationNotice" w:id="1">
    <w:p w14:paraId="08EC1BEA" w14:textId="77777777" w:rsidR="004B27B5" w:rsidRDefault="004B27B5">
      <w:pPr>
        <w:spacing w:after="0" w:line="240" w:lineRule="auto"/>
      </w:pPr>
    </w:p>
  </w:footnote>
  <w:footnote w:id="2">
    <w:p w14:paraId="71B0510B" w14:textId="3533A91A" w:rsidR="00FA2A4A" w:rsidRPr="001354C5" w:rsidRDefault="00FA2A4A" w:rsidP="007C5880">
      <w:pPr>
        <w:pStyle w:val="FootnoteText"/>
        <w:ind w:left="357" w:hanging="357"/>
        <w:jc w:val="both"/>
      </w:pPr>
      <w:r>
        <w:rPr>
          <w:rStyle w:val="FootnoteReference"/>
        </w:rPr>
        <w:footnoteRef/>
      </w:r>
      <w:r>
        <w:tab/>
      </w:r>
      <w:hyperlink r:id="rId1" w:history="1">
        <w:r>
          <w:rPr>
            <w:rStyle w:val="Hyperlink"/>
          </w:rPr>
          <w:t>Avis scientifique en vue de l’élaboration d’un profilage nutritionnel pour la mise au point d’un étiquetage nutritionnel obligatoire harmonisé sur la face avant des emballages et l’établissement de profils nutritionnels pour limiter les allégations nutritionnelles et de santé portant sur les denrées alimentaires</w:t>
        </w:r>
      </w:hyperlink>
      <w:r>
        <w:t>.</w:t>
      </w:r>
      <w:hyperlink r:id="rId2" w:history="1">
        <w:r>
          <w:rPr>
            <w:rStyle w:val="Hyperlink"/>
          </w:rPr>
          <w:t xml:space="preserve"> EFSA (europa.eu)</w:t>
        </w:r>
      </w:hyperlink>
    </w:p>
  </w:footnote>
  <w:footnote w:id="3">
    <w:p w14:paraId="4AF8FA9C" w14:textId="527D87A5" w:rsidR="001354C5" w:rsidRPr="001354C5" w:rsidRDefault="001354C5" w:rsidP="007C5880">
      <w:pPr>
        <w:pStyle w:val="FootnoteText"/>
        <w:ind w:left="357" w:hanging="357"/>
      </w:pPr>
      <w:r>
        <w:rPr>
          <w:rStyle w:val="FootnoteReference"/>
        </w:rPr>
        <w:footnoteRef/>
      </w:r>
      <w:r>
        <w:t xml:space="preserve"> </w:t>
      </w:r>
      <w:r>
        <w:tab/>
      </w:r>
      <w:hyperlink r:id="rId3" w:history="1">
        <w:r>
          <w:rPr>
            <w:rStyle w:val="Hyperlink"/>
          </w:rPr>
          <w:t>https://publications.jrc.ec.europa.eu/repository/handle/JRC130125</w:t>
        </w:r>
      </w:hyperlink>
      <w:r>
        <w:t xml:space="preserve"> </w:t>
      </w:r>
    </w:p>
  </w:footnote>
  <w:footnote w:id="4">
    <w:p w14:paraId="18D3D830" w14:textId="57DF6AD7" w:rsidR="00703A28" w:rsidRPr="00703A28" w:rsidRDefault="00703A28" w:rsidP="007C5880">
      <w:pPr>
        <w:pStyle w:val="FootnoteText"/>
        <w:ind w:left="357" w:hanging="357"/>
      </w:pPr>
      <w:r>
        <w:rPr>
          <w:rStyle w:val="FootnoteReference"/>
        </w:rPr>
        <w:footnoteRef/>
      </w:r>
      <w:r>
        <w:t xml:space="preserve"> </w:t>
      </w:r>
      <w:r>
        <w:tab/>
      </w:r>
      <w:hyperlink w:history="1">
        <w:r>
          <w:rPr>
            <w:rStyle w:val="Hyperlink"/>
          </w:rPr>
          <w:t>https://food-labels-explorer.jrc.ec.europa.eu/en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D62E" w14:textId="77777777" w:rsidR="007C43DE" w:rsidRDefault="007C43DE" w:rsidP="0077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8A2C13"/>
    <w:multiLevelType w:val="hybridMultilevel"/>
    <w:tmpl w:val="24C6169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98673206">
    <w:abstractNumId w:val="0"/>
  </w:num>
  <w:num w:numId="2" w16cid:durableId="20152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02387"/>
    <w:rsid w:val="00016860"/>
    <w:rsid w:val="00024522"/>
    <w:rsid w:val="0007028A"/>
    <w:rsid w:val="000A3B02"/>
    <w:rsid w:val="000A4B27"/>
    <w:rsid w:val="000B50B0"/>
    <w:rsid w:val="000C7D4D"/>
    <w:rsid w:val="000C7DC6"/>
    <w:rsid w:val="000D04E1"/>
    <w:rsid w:val="000E48A5"/>
    <w:rsid w:val="000F15F1"/>
    <w:rsid w:val="000F1AFA"/>
    <w:rsid w:val="000F4574"/>
    <w:rsid w:val="00101CA5"/>
    <w:rsid w:val="001054B6"/>
    <w:rsid w:val="001143CB"/>
    <w:rsid w:val="00120980"/>
    <w:rsid w:val="00124CE6"/>
    <w:rsid w:val="001354C5"/>
    <w:rsid w:val="00135F1F"/>
    <w:rsid w:val="001379B5"/>
    <w:rsid w:val="00156ABD"/>
    <w:rsid w:val="00161841"/>
    <w:rsid w:val="00170E1F"/>
    <w:rsid w:val="00194444"/>
    <w:rsid w:val="001B4F4B"/>
    <w:rsid w:val="001E37D4"/>
    <w:rsid w:val="001E7036"/>
    <w:rsid w:val="001F5609"/>
    <w:rsid w:val="00203C40"/>
    <w:rsid w:val="00205516"/>
    <w:rsid w:val="00207336"/>
    <w:rsid w:val="002417D7"/>
    <w:rsid w:val="0025141C"/>
    <w:rsid w:val="00256DE4"/>
    <w:rsid w:val="002574EE"/>
    <w:rsid w:val="00277F65"/>
    <w:rsid w:val="002802A1"/>
    <w:rsid w:val="00286DBD"/>
    <w:rsid w:val="002979A6"/>
    <w:rsid w:val="002A727E"/>
    <w:rsid w:val="002B711D"/>
    <w:rsid w:val="002C592F"/>
    <w:rsid w:val="002D2BF2"/>
    <w:rsid w:val="002E2614"/>
    <w:rsid w:val="002F79BA"/>
    <w:rsid w:val="00302387"/>
    <w:rsid w:val="00322C7E"/>
    <w:rsid w:val="00323002"/>
    <w:rsid w:val="003254B4"/>
    <w:rsid w:val="00366D85"/>
    <w:rsid w:val="003832E0"/>
    <w:rsid w:val="0038333D"/>
    <w:rsid w:val="003B6A93"/>
    <w:rsid w:val="003C50C3"/>
    <w:rsid w:val="003D31EC"/>
    <w:rsid w:val="003D435E"/>
    <w:rsid w:val="003E63F4"/>
    <w:rsid w:val="00410E68"/>
    <w:rsid w:val="0041474A"/>
    <w:rsid w:val="0042442A"/>
    <w:rsid w:val="00426ABE"/>
    <w:rsid w:val="00440313"/>
    <w:rsid w:val="00440CDE"/>
    <w:rsid w:val="00441006"/>
    <w:rsid w:val="00451C70"/>
    <w:rsid w:val="00462732"/>
    <w:rsid w:val="00463995"/>
    <w:rsid w:val="00463BCA"/>
    <w:rsid w:val="004873DD"/>
    <w:rsid w:val="00490C59"/>
    <w:rsid w:val="00491FE9"/>
    <w:rsid w:val="004A0106"/>
    <w:rsid w:val="004B27B5"/>
    <w:rsid w:val="004B2DB6"/>
    <w:rsid w:val="004C0A34"/>
    <w:rsid w:val="004E62A2"/>
    <w:rsid w:val="00504259"/>
    <w:rsid w:val="00512EE8"/>
    <w:rsid w:val="00516202"/>
    <w:rsid w:val="0053050F"/>
    <w:rsid w:val="00547BC1"/>
    <w:rsid w:val="00555066"/>
    <w:rsid w:val="005629FD"/>
    <w:rsid w:val="00570387"/>
    <w:rsid w:val="005707C5"/>
    <w:rsid w:val="0057493E"/>
    <w:rsid w:val="00574F96"/>
    <w:rsid w:val="00576B72"/>
    <w:rsid w:val="00615FF1"/>
    <w:rsid w:val="00621FC4"/>
    <w:rsid w:val="0062489C"/>
    <w:rsid w:val="00640854"/>
    <w:rsid w:val="00643130"/>
    <w:rsid w:val="0065050D"/>
    <w:rsid w:val="0065079D"/>
    <w:rsid w:val="0065281F"/>
    <w:rsid w:val="00685A6E"/>
    <w:rsid w:val="006BC28F"/>
    <w:rsid w:val="006E6812"/>
    <w:rsid w:val="007015CB"/>
    <w:rsid w:val="00703A28"/>
    <w:rsid w:val="00707E3C"/>
    <w:rsid w:val="0072667A"/>
    <w:rsid w:val="00735149"/>
    <w:rsid w:val="007510FD"/>
    <w:rsid w:val="0076069D"/>
    <w:rsid w:val="00773E83"/>
    <w:rsid w:val="0078255F"/>
    <w:rsid w:val="0079063C"/>
    <w:rsid w:val="00796BA5"/>
    <w:rsid w:val="007B4CD5"/>
    <w:rsid w:val="007C3A99"/>
    <w:rsid w:val="007C43DE"/>
    <w:rsid w:val="007C5880"/>
    <w:rsid w:val="007D1CB4"/>
    <w:rsid w:val="007E5123"/>
    <w:rsid w:val="007E5935"/>
    <w:rsid w:val="007F4C00"/>
    <w:rsid w:val="0080381D"/>
    <w:rsid w:val="00815B75"/>
    <w:rsid w:val="00816A2B"/>
    <w:rsid w:val="00824A9C"/>
    <w:rsid w:val="00830A12"/>
    <w:rsid w:val="008342CE"/>
    <w:rsid w:val="00847BD9"/>
    <w:rsid w:val="00860EBF"/>
    <w:rsid w:val="008C3EFA"/>
    <w:rsid w:val="008D0717"/>
    <w:rsid w:val="008D458B"/>
    <w:rsid w:val="008F2F04"/>
    <w:rsid w:val="00901550"/>
    <w:rsid w:val="009104D2"/>
    <w:rsid w:val="00917C1D"/>
    <w:rsid w:val="00923949"/>
    <w:rsid w:val="00925CD3"/>
    <w:rsid w:val="009352F1"/>
    <w:rsid w:val="009436A5"/>
    <w:rsid w:val="0095007F"/>
    <w:rsid w:val="0095347B"/>
    <w:rsid w:val="00962A4C"/>
    <w:rsid w:val="0097423A"/>
    <w:rsid w:val="00981B51"/>
    <w:rsid w:val="0098201A"/>
    <w:rsid w:val="0099030A"/>
    <w:rsid w:val="009A5910"/>
    <w:rsid w:val="009C2C9E"/>
    <w:rsid w:val="009D17D0"/>
    <w:rsid w:val="009E701C"/>
    <w:rsid w:val="009F192F"/>
    <w:rsid w:val="009F400C"/>
    <w:rsid w:val="009F7D1D"/>
    <w:rsid w:val="00A22A4C"/>
    <w:rsid w:val="00A25C31"/>
    <w:rsid w:val="00A275CB"/>
    <w:rsid w:val="00A47510"/>
    <w:rsid w:val="00A6416D"/>
    <w:rsid w:val="00A91B2F"/>
    <w:rsid w:val="00AA05E8"/>
    <w:rsid w:val="00AB0937"/>
    <w:rsid w:val="00AC7ABA"/>
    <w:rsid w:val="00AE2B3E"/>
    <w:rsid w:val="00AF0B9F"/>
    <w:rsid w:val="00AF395F"/>
    <w:rsid w:val="00B11AC7"/>
    <w:rsid w:val="00B14FB1"/>
    <w:rsid w:val="00B15D2E"/>
    <w:rsid w:val="00B40CF6"/>
    <w:rsid w:val="00B55483"/>
    <w:rsid w:val="00B612C9"/>
    <w:rsid w:val="00B75CC4"/>
    <w:rsid w:val="00BA3380"/>
    <w:rsid w:val="00BC5C80"/>
    <w:rsid w:val="00BD1FE5"/>
    <w:rsid w:val="00BD3A52"/>
    <w:rsid w:val="00BE2819"/>
    <w:rsid w:val="00BE62D1"/>
    <w:rsid w:val="00C06468"/>
    <w:rsid w:val="00C20B50"/>
    <w:rsid w:val="00C21B24"/>
    <w:rsid w:val="00C30D2F"/>
    <w:rsid w:val="00C3704C"/>
    <w:rsid w:val="00C408CF"/>
    <w:rsid w:val="00C70CF3"/>
    <w:rsid w:val="00C70E83"/>
    <w:rsid w:val="00CA2E7E"/>
    <w:rsid w:val="00CF32D5"/>
    <w:rsid w:val="00CF5B44"/>
    <w:rsid w:val="00D01140"/>
    <w:rsid w:val="00D01D79"/>
    <w:rsid w:val="00D1568F"/>
    <w:rsid w:val="00D2032D"/>
    <w:rsid w:val="00D2312C"/>
    <w:rsid w:val="00D2693D"/>
    <w:rsid w:val="00D3753C"/>
    <w:rsid w:val="00D6094B"/>
    <w:rsid w:val="00D73E3C"/>
    <w:rsid w:val="00D9124C"/>
    <w:rsid w:val="00DA75CA"/>
    <w:rsid w:val="00DB2C03"/>
    <w:rsid w:val="00DB3576"/>
    <w:rsid w:val="00DC1C41"/>
    <w:rsid w:val="00E12090"/>
    <w:rsid w:val="00E33371"/>
    <w:rsid w:val="00E43AF7"/>
    <w:rsid w:val="00E44C1D"/>
    <w:rsid w:val="00E7784B"/>
    <w:rsid w:val="00E8631F"/>
    <w:rsid w:val="00EA3A9A"/>
    <w:rsid w:val="00ED471A"/>
    <w:rsid w:val="00EE1F4B"/>
    <w:rsid w:val="00EE7985"/>
    <w:rsid w:val="00EF1DA5"/>
    <w:rsid w:val="00EF3885"/>
    <w:rsid w:val="00F07DD9"/>
    <w:rsid w:val="00F2561F"/>
    <w:rsid w:val="00F32D76"/>
    <w:rsid w:val="00F333EE"/>
    <w:rsid w:val="00F36993"/>
    <w:rsid w:val="00F371B7"/>
    <w:rsid w:val="00F511AC"/>
    <w:rsid w:val="00F70DAB"/>
    <w:rsid w:val="00F831E1"/>
    <w:rsid w:val="00F8719C"/>
    <w:rsid w:val="00FA2A4A"/>
    <w:rsid w:val="00FA6E02"/>
    <w:rsid w:val="00FB145A"/>
    <w:rsid w:val="00FC4FBD"/>
    <w:rsid w:val="00FD6DD3"/>
    <w:rsid w:val="00FE0641"/>
    <w:rsid w:val="00FE7DFC"/>
    <w:rsid w:val="00FF0619"/>
    <w:rsid w:val="00FF2654"/>
    <w:rsid w:val="00FF3EB2"/>
    <w:rsid w:val="00FF5C73"/>
    <w:rsid w:val="013E1656"/>
    <w:rsid w:val="01AAEB5B"/>
    <w:rsid w:val="01B7D014"/>
    <w:rsid w:val="01EB0A19"/>
    <w:rsid w:val="01EF4D81"/>
    <w:rsid w:val="020543C5"/>
    <w:rsid w:val="02198171"/>
    <w:rsid w:val="0228CC44"/>
    <w:rsid w:val="02401FC3"/>
    <w:rsid w:val="027A98B0"/>
    <w:rsid w:val="02B10D58"/>
    <w:rsid w:val="03123656"/>
    <w:rsid w:val="0346BBBC"/>
    <w:rsid w:val="0354346D"/>
    <w:rsid w:val="03C6A8A1"/>
    <w:rsid w:val="03EBB761"/>
    <w:rsid w:val="040B8639"/>
    <w:rsid w:val="04374935"/>
    <w:rsid w:val="046B9653"/>
    <w:rsid w:val="04D8F50A"/>
    <w:rsid w:val="04E8ED55"/>
    <w:rsid w:val="055B3E4B"/>
    <w:rsid w:val="057B09E0"/>
    <w:rsid w:val="058787C2"/>
    <w:rsid w:val="05CB588D"/>
    <w:rsid w:val="05D38548"/>
    <w:rsid w:val="0615AE1D"/>
    <w:rsid w:val="0647C8AF"/>
    <w:rsid w:val="0683B12B"/>
    <w:rsid w:val="06DB12C8"/>
    <w:rsid w:val="070F2AD1"/>
    <w:rsid w:val="072AB078"/>
    <w:rsid w:val="073434BD"/>
    <w:rsid w:val="07379D82"/>
    <w:rsid w:val="077389D8"/>
    <w:rsid w:val="078EB7D5"/>
    <w:rsid w:val="07C26AD1"/>
    <w:rsid w:val="080D99F9"/>
    <w:rsid w:val="084D1242"/>
    <w:rsid w:val="08944A7E"/>
    <w:rsid w:val="093BAE8B"/>
    <w:rsid w:val="09D162B8"/>
    <w:rsid w:val="0A11BE4A"/>
    <w:rsid w:val="0A60BD7C"/>
    <w:rsid w:val="0ABA2A8C"/>
    <w:rsid w:val="0AF04DEC"/>
    <w:rsid w:val="0B04189D"/>
    <w:rsid w:val="0B2D3C23"/>
    <w:rsid w:val="0B40E49D"/>
    <w:rsid w:val="0B9D6132"/>
    <w:rsid w:val="0BAC467A"/>
    <w:rsid w:val="0BBDFED5"/>
    <w:rsid w:val="0BE70209"/>
    <w:rsid w:val="0C085299"/>
    <w:rsid w:val="0C49D14A"/>
    <w:rsid w:val="0CA1549D"/>
    <w:rsid w:val="0CCDB86A"/>
    <w:rsid w:val="0D027041"/>
    <w:rsid w:val="0D59CF36"/>
    <w:rsid w:val="0D691116"/>
    <w:rsid w:val="0DBEF2BB"/>
    <w:rsid w:val="0DCDA415"/>
    <w:rsid w:val="0DD7B723"/>
    <w:rsid w:val="0DDA203C"/>
    <w:rsid w:val="0E9B828B"/>
    <w:rsid w:val="0F1EA2CB"/>
    <w:rsid w:val="0F95B073"/>
    <w:rsid w:val="0FBF6351"/>
    <w:rsid w:val="0FCFDE60"/>
    <w:rsid w:val="103A1103"/>
    <w:rsid w:val="10454005"/>
    <w:rsid w:val="104F3C56"/>
    <w:rsid w:val="106C8B57"/>
    <w:rsid w:val="10F1B8EE"/>
    <w:rsid w:val="123FC180"/>
    <w:rsid w:val="12550308"/>
    <w:rsid w:val="1293E78C"/>
    <w:rsid w:val="13B39752"/>
    <w:rsid w:val="13B8F94D"/>
    <w:rsid w:val="13FCF82D"/>
    <w:rsid w:val="140754A6"/>
    <w:rsid w:val="144992B5"/>
    <w:rsid w:val="147E56C5"/>
    <w:rsid w:val="1491D286"/>
    <w:rsid w:val="14D9655C"/>
    <w:rsid w:val="153BCEA6"/>
    <w:rsid w:val="157F9DD5"/>
    <w:rsid w:val="15D34A7D"/>
    <w:rsid w:val="168C4C3D"/>
    <w:rsid w:val="1709F94D"/>
    <w:rsid w:val="173EF568"/>
    <w:rsid w:val="174AC44B"/>
    <w:rsid w:val="176E08B4"/>
    <w:rsid w:val="17CAF55F"/>
    <w:rsid w:val="17DE6501"/>
    <w:rsid w:val="17EB26E9"/>
    <w:rsid w:val="18DAC5C9"/>
    <w:rsid w:val="192A9DA0"/>
    <w:rsid w:val="19A981AF"/>
    <w:rsid w:val="19AFE6E4"/>
    <w:rsid w:val="19C7CAEC"/>
    <w:rsid w:val="19EE59EC"/>
    <w:rsid w:val="19FEB058"/>
    <w:rsid w:val="1A403FC4"/>
    <w:rsid w:val="1A419A0F"/>
    <w:rsid w:val="1AAFF311"/>
    <w:rsid w:val="1B0BE9E9"/>
    <w:rsid w:val="1BB76B16"/>
    <w:rsid w:val="1BCC0E02"/>
    <w:rsid w:val="1BDD6A70"/>
    <w:rsid w:val="1BEA8306"/>
    <w:rsid w:val="1C832612"/>
    <w:rsid w:val="1CBE980C"/>
    <w:rsid w:val="1CD91B37"/>
    <w:rsid w:val="1E7390CA"/>
    <w:rsid w:val="1ECD6C04"/>
    <w:rsid w:val="1F72CF74"/>
    <w:rsid w:val="1FE5CF1A"/>
    <w:rsid w:val="200F612B"/>
    <w:rsid w:val="202E176D"/>
    <w:rsid w:val="2032943F"/>
    <w:rsid w:val="206A4675"/>
    <w:rsid w:val="2094E3BB"/>
    <w:rsid w:val="20E9FBC1"/>
    <w:rsid w:val="20EBB599"/>
    <w:rsid w:val="210FD8F2"/>
    <w:rsid w:val="212D0241"/>
    <w:rsid w:val="21421240"/>
    <w:rsid w:val="2172B36E"/>
    <w:rsid w:val="2191C548"/>
    <w:rsid w:val="21A1D06C"/>
    <w:rsid w:val="21FCF3D2"/>
    <w:rsid w:val="22325BC3"/>
    <w:rsid w:val="223F5B88"/>
    <w:rsid w:val="224CEA69"/>
    <w:rsid w:val="2298F7F6"/>
    <w:rsid w:val="22AA7036"/>
    <w:rsid w:val="22C70ED8"/>
    <w:rsid w:val="234701ED"/>
    <w:rsid w:val="24570D3B"/>
    <w:rsid w:val="24591F84"/>
    <w:rsid w:val="245F3C37"/>
    <w:rsid w:val="247C6E54"/>
    <w:rsid w:val="2494EA79"/>
    <w:rsid w:val="24B2ABC0"/>
    <w:rsid w:val="24C9A9F1"/>
    <w:rsid w:val="24D3D828"/>
    <w:rsid w:val="2556B042"/>
    <w:rsid w:val="25848B2B"/>
    <w:rsid w:val="258602B9"/>
    <w:rsid w:val="25B6D9DE"/>
    <w:rsid w:val="25D098B8"/>
    <w:rsid w:val="262C7D7F"/>
    <w:rsid w:val="262CCB7E"/>
    <w:rsid w:val="2655675B"/>
    <w:rsid w:val="268040DE"/>
    <w:rsid w:val="26B4CEB3"/>
    <w:rsid w:val="270564B2"/>
    <w:rsid w:val="2789FDBE"/>
    <w:rsid w:val="2820F8A0"/>
    <w:rsid w:val="2835399C"/>
    <w:rsid w:val="28509F14"/>
    <w:rsid w:val="28615269"/>
    <w:rsid w:val="28ADF70B"/>
    <w:rsid w:val="28C16D8F"/>
    <w:rsid w:val="29500F6F"/>
    <w:rsid w:val="2A24A8F2"/>
    <w:rsid w:val="2A38B6D0"/>
    <w:rsid w:val="2A57CEEC"/>
    <w:rsid w:val="2AA99E98"/>
    <w:rsid w:val="2AD4E2A9"/>
    <w:rsid w:val="2B05CB27"/>
    <w:rsid w:val="2B05F9A6"/>
    <w:rsid w:val="2BC1E817"/>
    <w:rsid w:val="2BC881C4"/>
    <w:rsid w:val="2C3E83AA"/>
    <w:rsid w:val="2CBAF5BB"/>
    <w:rsid w:val="2CD9566E"/>
    <w:rsid w:val="2D23F5EF"/>
    <w:rsid w:val="2D4D9122"/>
    <w:rsid w:val="2D99CD66"/>
    <w:rsid w:val="2DBA0A31"/>
    <w:rsid w:val="2E13CCB5"/>
    <w:rsid w:val="2E48C615"/>
    <w:rsid w:val="2E7879BD"/>
    <w:rsid w:val="2E85448A"/>
    <w:rsid w:val="2E92E018"/>
    <w:rsid w:val="2EC4DD11"/>
    <w:rsid w:val="2ED0B889"/>
    <w:rsid w:val="2F91730E"/>
    <w:rsid w:val="2FD09860"/>
    <w:rsid w:val="305EF753"/>
    <w:rsid w:val="306CF0B8"/>
    <w:rsid w:val="310FCA22"/>
    <w:rsid w:val="31188FAF"/>
    <w:rsid w:val="31280AC4"/>
    <w:rsid w:val="315C62A0"/>
    <w:rsid w:val="318CDB74"/>
    <w:rsid w:val="3193A198"/>
    <w:rsid w:val="31A199F3"/>
    <w:rsid w:val="321F52EE"/>
    <w:rsid w:val="32562773"/>
    <w:rsid w:val="328E7712"/>
    <w:rsid w:val="32AB9A83"/>
    <w:rsid w:val="32DD7B03"/>
    <w:rsid w:val="33282739"/>
    <w:rsid w:val="334BEAE0"/>
    <w:rsid w:val="338B25F8"/>
    <w:rsid w:val="339C6E73"/>
    <w:rsid w:val="33F7BA4B"/>
    <w:rsid w:val="33FB2015"/>
    <w:rsid w:val="3405CCE9"/>
    <w:rsid w:val="3469A099"/>
    <w:rsid w:val="34794B64"/>
    <w:rsid w:val="34A06FAD"/>
    <w:rsid w:val="34C5BE61"/>
    <w:rsid w:val="34D7E06A"/>
    <w:rsid w:val="350C6061"/>
    <w:rsid w:val="35A88FCD"/>
    <w:rsid w:val="3639F758"/>
    <w:rsid w:val="3673B0CB"/>
    <w:rsid w:val="3688E9A8"/>
    <w:rsid w:val="36DE0AA8"/>
    <w:rsid w:val="37345661"/>
    <w:rsid w:val="3796BD12"/>
    <w:rsid w:val="379DAD7E"/>
    <w:rsid w:val="37EA9C8B"/>
    <w:rsid w:val="3867F236"/>
    <w:rsid w:val="387CA9D6"/>
    <w:rsid w:val="3893A618"/>
    <w:rsid w:val="38A40EB5"/>
    <w:rsid w:val="392CB037"/>
    <w:rsid w:val="39C1985F"/>
    <w:rsid w:val="3A152351"/>
    <w:rsid w:val="3A187267"/>
    <w:rsid w:val="3A4A3136"/>
    <w:rsid w:val="3A7B8512"/>
    <w:rsid w:val="3AB6C90E"/>
    <w:rsid w:val="3ACA07B6"/>
    <w:rsid w:val="3B40FEED"/>
    <w:rsid w:val="3BF4F125"/>
    <w:rsid w:val="3C447061"/>
    <w:rsid w:val="3C980AA1"/>
    <w:rsid w:val="3D501AF9"/>
    <w:rsid w:val="3DB9A75E"/>
    <w:rsid w:val="3EEBEB5A"/>
    <w:rsid w:val="3EF26E4D"/>
    <w:rsid w:val="3EF97572"/>
    <w:rsid w:val="3EFD966B"/>
    <w:rsid w:val="3F2E58C8"/>
    <w:rsid w:val="3F8A6785"/>
    <w:rsid w:val="3F93469B"/>
    <w:rsid w:val="3F958C84"/>
    <w:rsid w:val="3F977C8F"/>
    <w:rsid w:val="40132663"/>
    <w:rsid w:val="409966CC"/>
    <w:rsid w:val="40C85B80"/>
    <w:rsid w:val="40CA2929"/>
    <w:rsid w:val="40E521C0"/>
    <w:rsid w:val="41183452"/>
    <w:rsid w:val="41841E3F"/>
    <w:rsid w:val="421CDE88"/>
    <w:rsid w:val="4234E28D"/>
    <w:rsid w:val="42416463"/>
    <w:rsid w:val="4265F98A"/>
    <w:rsid w:val="428C4C78"/>
    <w:rsid w:val="42CCDA42"/>
    <w:rsid w:val="4339A57C"/>
    <w:rsid w:val="43861B46"/>
    <w:rsid w:val="43AB3770"/>
    <w:rsid w:val="43EDF354"/>
    <w:rsid w:val="4419AB6E"/>
    <w:rsid w:val="4423D549"/>
    <w:rsid w:val="4468AAA3"/>
    <w:rsid w:val="448E92B1"/>
    <w:rsid w:val="44D661F9"/>
    <w:rsid w:val="4532F59C"/>
    <w:rsid w:val="455C6D96"/>
    <w:rsid w:val="45624F0F"/>
    <w:rsid w:val="4584B981"/>
    <w:rsid w:val="4593B4BD"/>
    <w:rsid w:val="45CE4FDC"/>
    <w:rsid w:val="46186F09"/>
    <w:rsid w:val="46B03B0D"/>
    <w:rsid w:val="47B81BD3"/>
    <w:rsid w:val="47D1B2C3"/>
    <w:rsid w:val="48CC3B8D"/>
    <w:rsid w:val="48D99483"/>
    <w:rsid w:val="48E840B0"/>
    <w:rsid w:val="49101A63"/>
    <w:rsid w:val="491FE029"/>
    <w:rsid w:val="493F4BD5"/>
    <w:rsid w:val="4953EC34"/>
    <w:rsid w:val="49641E84"/>
    <w:rsid w:val="49C309B4"/>
    <w:rsid w:val="4A808B71"/>
    <w:rsid w:val="4AE5F88F"/>
    <w:rsid w:val="4AF92CB0"/>
    <w:rsid w:val="4BAAADE0"/>
    <w:rsid w:val="4BB8B328"/>
    <w:rsid w:val="4CAEF50E"/>
    <w:rsid w:val="4CC15A30"/>
    <w:rsid w:val="4CF87C00"/>
    <w:rsid w:val="4D4DD50B"/>
    <w:rsid w:val="4E3FF9C2"/>
    <w:rsid w:val="4E6C25C4"/>
    <w:rsid w:val="4EA91CD0"/>
    <w:rsid w:val="4EDE473E"/>
    <w:rsid w:val="4EE6D63A"/>
    <w:rsid w:val="4EFBF28D"/>
    <w:rsid w:val="4F08E541"/>
    <w:rsid w:val="4F09FCAA"/>
    <w:rsid w:val="4F2602F3"/>
    <w:rsid w:val="4F981761"/>
    <w:rsid w:val="4FDA8519"/>
    <w:rsid w:val="4FE0CCF6"/>
    <w:rsid w:val="501C994F"/>
    <w:rsid w:val="50222791"/>
    <w:rsid w:val="5037E89D"/>
    <w:rsid w:val="50A5CD0B"/>
    <w:rsid w:val="510B5171"/>
    <w:rsid w:val="5174AF2F"/>
    <w:rsid w:val="5233934F"/>
    <w:rsid w:val="52A84343"/>
    <w:rsid w:val="532B537B"/>
    <w:rsid w:val="53595672"/>
    <w:rsid w:val="535B89F1"/>
    <w:rsid w:val="53C476DF"/>
    <w:rsid w:val="53DE32B8"/>
    <w:rsid w:val="549F8F7F"/>
    <w:rsid w:val="54A36F2A"/>
    <w:rsid w:val="54CB10F8"/>
    <w:rsid w:val="5536BFBE"/>
    <w:rsid w:val="56039453"/>
    <w:rsid w:val="5612AA07"/>
    <w:rsid w:val="5635FC98"/>
    <w:rsid w:val="565D964F"/>
    <w:rsid w:val="56FD78BD"/>
    <w:rsid w:val="5721D442"/>
    <w:rsid w:val="5735375F"/>
    <w:rsid w:val="57D39893"/>
    <w:rsid w:val="57FCF5DE"/>
    <w:rsid w:val="582C5F5A"/>
    <w:rsid w:val="589109C5"/>
    <w:rsid w:val="58D33288"/>
    <w:rsid w:val="58F7ADEF"/>
    <w:rsid w:val="5905F010"/>
    <w:rsid w:val="590D15D0"/>
    <w:rsid w:val="59505BEE"/>
    <w:rsid w:val="59C6B82A"/>
    <w:rsid w:val="59DA3D9E"/>
    <w:rsid w:val="5A7426B9"/>
    <w:rsid w:val="5ACCF071"/>
    <w:rsid w:val="5B14BFAA"/>
    <w:rsid w:val="5B911DF0"/>
    <w:rsid w:val="5B9CA924"/>
    <w:rsid w:val="5BB0755B"/>
    <w:rsid w:val="5BBEB1B6"/>
    <w:rsid w:val="5BF65C27"/>
    <w:rsid w:val="5C2FE38E"/>
    <w:rsid w:val="5C8C4804"/>
    <w:rsid w:val="5CA994DF"/>
    <w:rsid w:val="5D1D24EF"/>
    <w:rsid w:val="5D557F60"/>
    <w:rsid w:val="5DA28BE7"/>
    <w:rsid w:val="5E32C728"/>
    <w:rsid w:val="5E5E5CBD"/>
    <w:rsid w:val="5E5E8345"/>
    <w:rsid w:val="5E70BCF8"/>
    <w:rsid w:val="5EDD2DCD"/>
    <w:rsid w:val="5F873937"/>
    <w:rsid w:val="5FD28854"/>
    <w:rsid w:val="5FD51CF1"/>
    <w:rsid w:val="5FFA2D1E"/>
    <w:rsid w:val="602211AF"/>
    <w:rsid w:val="6028C01D"/>
    <w:rsid w:val="60399467"/>
    <w:rsid w:val="6064B9ED"/>
    <w:rsid w:val="611827B5"/>
    <w:rsid w:val="617B3EDC"/>
    <w:rsid w:val="61C822A9"/>
    <w:rsid w:val="62783DB1"/>
    <w:rsid w:val="62AC5066"/>
    <w:rsid w:val="62CB2835"/>
    <w:rsid w:val="62CC2A59"/>
    <w:rsid w:val="630DD352"/>
    <w:rsid w:val="6349EE8B"/>
    <w:rsid w:val="63593124"/>
    <w:rsid w:val="6363F30A"/>
    <w:rsid w:val="63A7D09A"/>
    <w:rsid w:val="645AAA5A"/>
    <w:rsid w:val="64AD17EF"/>
    <w:rsid w:val="64AE5702"/>
    <w:rsid w:val="64F18154"/>
    <w:rsid w:val="65A0772B"/>
    <w:rsid w:val="65AA3B42"/>
    <w:rsid w:val="65C6E642"/>
    <w:rsid w:val="65EB98D8"/>
    <w:rsid w:val="661B8AAB"/>
    <w:rsid w:val="66DF506D"/>
    <w:rsid w:val="67175F89"/>
    <w:rsid w:val="671C748B"/>
    <w:rsid w:val="673ABDC0"/>
    <w:rsid w:val="67B16B1D"/>
    <w:rsid w:val="67B89E6D"/>
    <w:rsid w:val="67D262CB"/>
    <w:rsid w:val="680D6B9F"/>
    <w:rsid w:val="685828E6"/>
    <w:rsid w:val="68ABC47D"/>
    <w:rsid w:val="68AE3803"/>
    <w:rsid w:val="69A7CF06"/>
    <w:rsid w:val="69D363C3"/>
    <w:rsid w:val="69E40ABE"/>
    <w:rsid w:val="6A26C3CA"/>
    <w:rsid w:val="6A8A0024"/>
    <w:rsid w:val="6AB32025"/>
    <w:rsid w:val="6AB3C6F2"/>
    <w:rsid w:val="6AF1426D"/>
    <w:rsid w:val="6B1A98CB"/>
    <w:rsid w:val="6B726D36"/>
    <w:rsid w:val="6B7FDB1F"/>
    <w:rsid w:val="6C744A37"/>
    <w:rsid w:val="6C876D02"/>
    <w:rsid w:val="6C96BFA2"/>
    <w:rsid w:val="6CB66484"/>
    <w:rsid w:val="6CB6692C"/>
    <w:rsid w:val="6CEA9483"/>
    <w:rsid w:val="6DB4EEAF"/>
    <w:rsid w:val="6DD6BCC1"/>
    <w:rsid w:val="6DDED354"/>
    <w:rsid w:val="6DF6AABD"/>
    <w:rsid w:val="6E3F6BE5"/>
    <w:rsid w:val="6E504BE7"/>
    <w:rsid w:val="6E5D78A1"/>
    <w:rsid w:val="6E76289D"/>
    <w:rsid w:val="6E8664E4"/>
    <w:rsid w:val="6EBD5064"/>
    <w:rsid w:val="6ED38369"/>
    <w:rsid w:val="6EF4B787"/>
    <w:rsid w:val="6F5FBB18"/>
    <w:rsid w:val="6F6E0B74"/>
    <w:rsid w:val="6F8F5249"/>
    <w:rsid w:val="6FE29329"/>
    <w:rsid w:val="6FF18221"/>
    <w:rsid w:val="6FF7B677"/>
    <w:rsid w:val="7007203D"/>
    <w:rsid w:val="704DBFF3"/>
    <w:rsid w:val="7082C7A1"/>
    <w:rsid w:val="70AB814C"/>
    <w:rsid w:val="70DFA0D7"/>
    <w:rsid w:val="71807B34"/>
    <w:rsid w:val="71820BC1"/>
    <w:rsid w:val="71E50E33"/>
    <w:rsid w:val="71F750B3"/>
    <w:rsid w:val="7231D5AF"/>
    <w:rsid w:val="723D27CC"/>
    <w:rsid w:val="7385BB32"/>
    <w:rsid w:val="73880121"/>
    <w:rsid w:val="74282FB7"/>
    <w:rsid w:val="74B434F6"/>
    <w:rsid w:val="74EDC19C"/>
    <w:rsid w:val="7526069B"/>
    <w:rsid w:val="75697671"/>
    <w:rsid w:val="75D0BCDC"/>
    <w:rsid w:val="75D14F08"/>
    <w:rsid w:val="75FB6811"/>
    <w:rsid w:val="763449CA"/>
    <w:rsid w:val="77D5CB5C"/>
    <w:rsid w:val="77FC1B8E"/>
    <w:rsid w:val="7846831A"/>
    <w:rsid w:val="78914FF6"/>
    <w:rsid w:val="79325DEA"/>
    <w:rsid w:val="794A36EB"/>
    <w:rsid w:val="794F4D4F"/>
    <w:rsid w:val="79E683F8"/>
    <w:rsid w:val="7A47EAED"/>
    <w:rsid w:val="7A774AE1"/>
    <w:rsid w:val="7A9967B6"/>
    <w:rsid w:val="7AD68845"/>
    <w:rsid w:val="7B7DBCAB"/>
    <w:rsid w:val="7B9652F8"/>
    <w:rsid w:val="7BAED650"/>
    <w:rsid w:val="7C27AF0F"/>
    <w:rsid w:val="7C2837E6"/>
    <w:rsid w:val="7C3EDA61"/>
    <w:rsid w:val="7C7258A6"/>
    <w:rsid w:val="7D1B5086"/>
    <w:rsid w:val="7DC604FB"/>
    <w:rsid w:val="7DD0F40E"/>
    <w:rsid w:val="7DDE5BB5"/>
    <w:rsid w:val="7DF3E7CA"/>
    <w:rsid w:val="7E3B5A27"/>
    <w:rsid w:val="7E6E3C87"/>
    <w:rsid w:val="7E9C6CC4"/>
    <w:rsid w:val="7EB76666"/>
    <w:rsid w:val="7EF5EF80"/>
    <w:rsid w:val="7F1C4F74"/>
    <w:rsid w:val="7F2F664A"/>
    <w:rsid w:val="7F632431"/>
    <w:rsid w:val="7FA338C8"/>
    <w:rsid w:val="7FC70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5856"/>
  <w15:chartTrackingRefBased/>
  <w15:docId w15:val="{BED6837F-8640-4C34-B690-20850697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23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387"/>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302387"/>
    <w:rPr>
      <w:vertAlign w:val="superscript"/>
    </w:rPr>
  </w:style>
  <w:style w:type="character" w:styleId="Hyperlink">
    <w:name w:val="Hyperlink"/>
    <w:aliases w:val="Char1"/>
    <w:rsid w:val="00302387"/>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302387"/>
    <w:pPr>
      <w:spacing w:line="240" w:lineRule="exact"/>
    </w:pPr>
    <w:rPr>
      <w:vertAlign w:val="superscript"/>
    </w:rPr>
  </w:style>
  <w:style w:type="paragraph" w:customStyle="1" w:styleId="doc-ti">
    <w:name w:val="doc-ti"/>
    <w:basedOn w:val="Normal"/>
    <w:rsid w:val="00302387"/>
    <w:pPr>
      <w:spacing w:before="100" w:beforeAutospacing="1" w:after="100" w:afterAutospacing="1" w:line="240" w:lineRule="auto"/>
    </w:pPr>
    <w:rPr>
      <w:rFonts w:eastAsia="Times New Roman" w:cs="Times New Roman"/>
      <w:szCs w:val="24"/>
      <w:lang w:eastAsia="en-GB"/>
    </w:rPr>
  </w:style>
  <w:style w:type="character" w:styleId="CommentReference">
    <w:name w:val="annotation reference"/>
    <w:basedOn w:val="DefaultParagraphFont"/>
    <w:uiPriority w:val="99"/>
    <w:semiHidden/>
    <w:unhideWhenUsed/>
    <w:rsid w:val="001054B6"/>
    <w:rPr>
      <w:sz w:val="16"/>
      <w:szCs w:val="16"/>
    </w:rPr>
  </w:style>
  <w:style w:type="paragraph" w:styleId="CommentText">
    <w:name w:val="annotation text"/>
    <w:basedOn w:val="Normal"/>
    <w:link w:val="CommentTextChar"/>
    <w:uiPriority w:val="99"/>
    <w:unhideWhenUsed/>
    <w:rsid w:val="001054B6"/>
    <w:pPr>
      <w:spacing w:line="240" w:lineRule="auto"/>
    </w:pPr>
    <w:rPr>
      <w:sz w:val="20"/>
      <w:szCs w:val="20"/>
    </w:rPr>
  </w:style>
  <w:style w:type="character" w:customStyle="1" w:styleId="CommentTextChar">
    <w:name w:val="Comment Text Char"/>
    <w:basedOn w:val="DefaultParagraphFont"/>
    <w:link w:val="CommentText"/>
    <w:uiPriority w:val="99"/>
    <w:rsid w:val="001054B6"/>
    <w:rPr>
      <w:sz w:val="20"/>
      <w:szCs w:val="20"/>
    </w:rPr>
  </w:style>
  <w:style w:type="paragraph" w:styleId="CommentSubject">
    <w:name w:val="annotation subject"/>
    <w:basedOn w:val="CommentText"/>
    <w:next w:val="CommentText"/>
    <w:link w:val="CommentSubjectChar"/>
    <w:uiPriority w:val="99"/>
    <w:semiHidden/>
    <w:unhideWhenUsed/>
    <w:rsid w:val="001054B6"/>
    <w:rPr>
      <w:b/>
      <w:bCs/>
    </w:rPr>
  </w:style>
  <w:style w:type="character" w:customStyle="1" w:styleId="CommentSubjectChar">
    <w:name w:val="Comment Subject Char"/>
    <w:basedOn w:val="CommentTextChar"/>
    <w:link w:val="CommentSubject"/>
    <w:uiPriority w:val="99"/>
    <w:semiHidden/>
    <w:rsid w:val="001054B6"/>
    <w:rPr>
      <w:b/>
      <w:bCs/>
      <w:sz w:val="20"/>
      <w:szCs w:val="20"/>
    </w:rPr>
  </w:style>
  <w:style w:type="character" w:styleId="UnresolvedMention">
    <w:name w:val="Unresolved Mention"/>
    <w:basedOn w:val="DefaultParagraphFont"/>
    <w:uiPriority w:val="99"/>
    <w:semiHidden/>
    <w:unhideWhenUsed/>
    <w:rsid w:val="00FF5C73"/>
    <w:rPr>
      <w:color w:val="605E5C"/>
      <w:shd w:val="clear" w:color="auto" w:fill="E1DFDD"/>
    </w:rPr>
  </w:style>
  <w:style w:type="paragraph" w:styleId="Revision">
    <w:name w:val="Revision"/>
    <w:hidden/>
    <w:uiPriority w:val="99"/>
    <w:semiHidden/>
    <w:rsid w:val="00DA75CA"/>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title-bold">
    <w:name w:val="title-bold"/>
    <w:basedOn w:val="Normal"/>
    <w:rsid w:val="00463995"/>
    <w:pPr>
      <w:spacing w:before="100" w:beforeAutospacing="1" w:after="100" w:afterAutospacing="1" w:line="240" w:lineRule="auto"/>
    </w:pPr>
    <w:rPr>
      <w:rFonts w:eastAsia="Times New Roman" w:cs="Times New Roman"/>
      <w:szCs w:val="24"/>
      <w:lang w:eastAsia="en-IE"/>
    </w:rPr>
  </w:style>
  <w:style w:type="paragraph" w:styleId="NormalWeb">
    <w:name w:val="Normal (Web)"/>
    <w:basedOn w:val="Normal"/>
    <w:uiPriority w:val="99"/>
    <w:unhideWhenUsed/>
    <w:rsid w:val="00463995"/>
    <w:pPr>
      <w:spacing w:before="100" w:beforeAutospacing="1" w:after="100" w:afterAutospacing="1" w:line="240" w:lineRule="auto"/>
    </w:pPr>
    <w:rPr>
      <w:rFonts w:eastAsia="Times New Roman" w:cs="Times New Roman"/>
      <w:szCs w:val="24"/>
      <w:lang w:eastAsia="en-IE"/>
    </w:rPr>
  </w:style>
  <w:style w:type="character" w:styleId="Emphasis">
    <w:name w:val="Emphasis"/>
    <w:basedOn w:val="DefaultParagraphFont"/>
    <w:uiPriority w:val="20"/>
    <w:qFormat/>
    <w:rsid w:val="00463995"/>
    <w:rPr>
      <w:i/>
      <w:iCs/>
    </w:rPr>
  </w:style>
  <w:style w:type="paragraph" w:customStyle="1" w:styleId="norm">
    <w:name w:val="norm"/>
    <w:basedOn w:val="Normal"/>
    <w:rsid w:val="00A6416D"/>
    <w:pPr>
      <w:spacing w:before="100" w:beforeAutospacing="1" w:after="100" w:afterAutospacing="1" w:line="240" w:lineRule="auto"/>
    </w:pPr>
    <w:rPr>
      <w:rFonts w:eastAsia="Times New Roman" w:cs="Times New Roman"/>
      <w:szCs w:val="24"/>
      <w:lang w:eastAsia="en-IE"/>
    </w:rPr>
  </w:style>
  <w:style w:type="character" w:customStyle="1" w:styleId="italics">
    <w:name w:val="italics"/>
    <w:basedOn w:val="DefaultParagraphFont"/>
    <w:rsid w:val="00A6416D"/>
  </w:style>
  <w:style w:type="character" w:customStyle="1" w:styleId="boldface">
    <w:name w:val="boldface"/>
    <w:basedOn w:val="DefaultParagraphFont"/>
    <w:rsid w:val="00796BA5"/>
  </w:style>
  <w:style w:type="character" w:customStyle="1" w:styleId="UnresolvedMention1">
    <w:name w:val="Unresolved Mention1"/>
    <w:basedOn w:val="DefaultParagraphFont"/>
    <w:uiPriority w:val="99"/>
    <w:semiHidden/>
    <w:unhideWhenUsed/>
    <w:rsid w:val="007C43DE"/>
    <w:rPr>
      <w:color w:val="605E5C"/>
      <w:shd w:val="clear" w:color="auto" w:fill="E1DFDD"/>
    </w:rPr>
  </w:style>
  <w:style w:type="character" w:customStyle="1" w:styleId="Mention1">
    <w:name w:val="Mention1"/>
    <w:basedOn w:val="DefaultParagraphFont"/>
    <w:uiPriority w:val="99"/>
    <w:unhideWhenUsed/>
    <w:rsid w:val="007C43DE"/>
    <w:rPr>
      <w:color w:val="2B579A"/>
      <w:shd w:val="clear" w:color="auto" w:fill="E6E6E6"/>
    </w:rPr>
  </w:style>
  <w:style w:type="paragraph" w:styleId="BalloonText">
    <w:name w:val="Balloon Text"/>
    <w:basedOn w:val="Normal"/>
    <w:link w:val="BalloonTextChar"/>
    <w:uiPriority w:val="99"/>
    <w:semiHidden/>
    <w:unhideWhenUsed/>
    <w:rsid w:val="007C4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DE"/>
    <w:rPr>
      <w:rFonts w:ascii="Segoe UI" w:hAnsi="Segoe UI" w:cs="Segoe UI"/>
      <w:sz w:val="18"/>
      <w:szCs w:val="18"/>
    </w:rPr>
  </w:style>
  <w:style w:type="paragraph" w:styleId="Header">
    <w:name w:val="header"/>
    <w:basedOn w:val="Normal"/>
    <w:link w:val="HeaderChar"/>
    <w:uiPriority w:val="99"/>
    <w:unhideWhenUsed/>
    <w:rsid w:val="007C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3DE"/>
  </w:style>
  <w:style w:type="paragraph" w:styleId="Footer">
    <w:name w:val="footer"/>
    <w:basedOn w:val="Normal"/>
    <w:link w:val="FooterChar"/>
    <w:uiPriority w:val="99"/>
    <w:unhideWhenUsed/>
    <w:rsid w:val="007C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3DE"/>
  </w:style>
  <w:style w:type="character" w:customStyle="1" w:styleId="normaltextrun">
    <w:name w:val="normaltextrun"/>
    <w:basedOn w:val="DefaultParagraphFont"/>
    <w:rsid w:val="00A25C31"/>
  </w:style>
  <w:style w:type="character" w:customStyle="1" w:styleId="findhit">
    <w:name w:val="findhit"/>
    <w:basedOn w:val="DefaultParagraphFont"/>
    <w:rsid w:val="00A2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2190">
      <w:bodyDiv w:val="1"/>
      <w:marLeft w:val="0"/>
      <w:marRight w:val="0"/>
      <w:marTop w:val="0"/>
      <w:marBottom w:val="0"/>
      <w:divBdr>
        <w:top w:val="none" w:sz="0" w:space="0" w:color="auto"/>
        <w:left w:val="none" w:sz="0" w:space="0" w:color="auto"/>
        <w:bottom w:val="none" w:sz="0" w:space="0" w:color="auto"/>
        <w:right w:val="none" w:sz="0" w:space="0" w:color="auto"/>
      </w:divBdr>
    </w:div>
    <w:div w:id="817186683">
      <w:bodyDiv w:val="1"/>
      <w:marLeft w:val="0"/>
      <w:marRight w:val="0"/>
      <w:marTop w:val="0"/>
      <w:marBottom w:val="0"/>
      <w:divBdr>
        <w:top w:val="none" w:sz="0" w:space="0" w:color="auto"/>
        <w:left w:val="none" w:sz="0" w:space="0" w:color="auto"/>
        <w:bottom w:val="none" w:sz="0" w:space="0" w:color="auto"/>
        <w:right w:val="none" w:sz="0" w:space="0" w:color="auto"/>
      </w:divBdr>
    </w:div>
    <w:div w:id="944768726">
      <w:bodyDiv w:val="1"/>
      <w:marLeft w:val="0"/>
      <w:marRight w:val="0"/>
      <w:marTop w:val="0"/>
      <w:marBottom w:val="0"/>
      <w:divBdr>
        <w:top w:val="none" w:sz="0" w:space="0" w:color="auto"/>
        <w:left w:val="none" w:sz="0" w:space="0" w:color="auto"/>
        <w:bottom w:val="none" w:sz="0" w:space="0" w:color="auto"/>
        <w:right w:val="none" w:sz="0" w:space="0" w:color="auto"/>
      </w:divBdr>
    </w:div>
    <w:div w:id="1136221676">
      <w:bodyDiv w:val="1"/>
      <w:marLeft w:val="0"/>
      <w:marRight w:val="0"/>
      <w:marTop w:val="0"/>
      <w:marBottom w:val="0"/>
      <w:divBdr>
        <w:top w:val="none" w:sz="0" w:space="0" w:color="auto"/>
        <w:left w:val="none" w:sz="0" w:space="0" w:color="auto"/>
        <w:bottom w:val="none" w:sz="0" w:space="0" w:color="auto"/>
        <w:right w:val="none" w:sz="0" w:space="0" w:color="auto"/>
      </w:divBdr>
    </w:div>
    <w:div w:id="1479223420">
      <w:bodyDiv w:val="1"/>
      <w:marLeft w:val="0"/>
      <w:marRight w:val="0"/>
      <w:marTop w:val="0"/>
      <w:marBottom w:val="0"/>
      <w:divBdr>
        <w:top w:val="none" w:sz="0" w:space="0" w:color="auto"/>
        <w:left w:val="none" w:sz="0" w:space="0" w:color="auto"/>
        <w:bottom w:val="none" w:sz="0" w:space="0" w:color="auto"/>
        <w:right w:val="none" w:sz="0" w:space="0" w:color="auto"/>
      </w:divBdr>
    </w:div>
    <w:div w:id="1811554142">
      <w:bodyDiv w:val="1"/>
      <w:marLeft w:val="0"/>
      <w:marRight w:val="0"/>
      <w:marTop w:val="0"/>
      <w:marBottom w:val="0"/>
      <w:divBdr>
        <w:top w:val="none" w:sz="0" w:space="0" w:color="auto"/>
        <w:left w:val="none" w:sz="0" w:space="0" w:color="auto"/>
        <w:bottom w:val="none" w:sz="0" w:space="0" w:color="auto"/>
        <w:right w:val="none" w:sz="0" w:space="0" w:color="auto"/>
      </w:divBdr>
    </w:div>
    <w:div w:id="1939634821">
      <w:bodyDiv w:val="1"/>
      <w:marLeft w:val="0"/>
      <w:marRight w:val="0"/>
      <w:marTop w:val="0"/>
      <w:marBottom w:val="0"/>
      <w:divBdr>
        <w:top w:val="none" w:sz="0" w:space="0" w:color="auto"/>
        <w:left w:val="none" w:sz="0" w:space="0" w:color="auto"/>
        <w:bottom w:val="none" w:sz="0" w:space="0" w:color="auto"/>
        <w:right w:val="none" w:sz="0" w:space="0" w:color="auto"/>
      </w:divBdr>
    </w:div>
    <w:div w:id="2046366181">
      <w:bodyDiv w:val="1"/>
      <w:marLeft w:val="0"/>
      <w:marRight w:val="0"/>
      <w:marTop w:val="0"/>
      <w:marBottom w:val="0"/>
      <w:divBdr>
        <w:top w:val="none" w:sz="0" w:space="0" w:color="auto"/>
        <w:left w:val="none" w:sz="0" w:space="0" w:color="auto"/>
        <w:bottom w:val="none" w:sz="0" w:space="0" w:color="auto"/>
        <w:right w:val="none" w:sz="0" w:space="0" w:color="auto"/>
      </w:divBdr>
    </w:div>
    <w:div w:id="20627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jrc.ec.europa.eu/repository/handle/JRC130125" TargetMode="External"/><Relationship Id="rId2" Type="http://schemas.openxmlformats.org/officeDocument/2006/relationships/hyperlink" Target="https://www.efsa.europa.eu/fr/efsajournal/pub/7259" TargetMode="External"/><Relationship Id="rId1" Type="http://schemas.openxmlformats.org/officeDocument/2006/relationships/hyperlink" Target="https://www.efsa.europa.eu/fr/efsajournal/pub/7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10" ma:contentTypeDescription="Create a new document." ma:contentTypeScope="" ma:versionID="5b8e22628ba94ffde0d76a570d15bbf7">
  <xsd:schema xmlns:xsd="http://www.w3.org/2001/XMLSchema" xmlns:xs="http://www.w3.org/2001/XMLSchema" xmlns:p="http://schemas.microsoft.com/office/2006/metadata/properties" xmlns:ns3="71fe9c91-5602-4bdb-b72c-69451971f681" xmlns:ns4="ccf8ecc5-ce9f-4cc1-bb60-062c62b05209" targetNamespace="http://schemas.microsoft.com/office/2006/metadata/properties" ma:root="true" ma:fieldsID="8cda2f0ccc6930f2a9c4488bf0deb0e0" ns3:_="" ns4:_="">
    <xsd:import namespace="71fe9c91-5602-4bdb-b72c-69451971f681"/>
    <xsd:import namespace="ccf8ecc5-ce9f-4cc1-bb60-062c62b052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8ecc5-ce9f-4cc1-bb60-062c62b052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4" ma:contentTypeDescription="Create a new document." ma:contentTypeScope="" ma:versionID="e3e2704358ec97a188a6c64ed94a5e3f">
  <xsd:schema xmlns:xsd="http://www.w3.org/2001/XMLSchema" xmlns:xs="http://www.w3.org/2001/XMLSchema" xmlns:p="http://schemas.microsoft.com/office/2006/metadata/properties" xmlns:ns2="e0fb9e4e-9a17-43c4-891a-079bfb0a02bd" targetNamespace="http://schemas.microsoft.com/office/2006/metadata/properties" ma:root="true" ma:fieldsID="14edf4f1999f4e865d47b0c06e7b7c69" ns2:_="">
    <xsd:import namespace="e0fb9e4e-9a17-43c4-891a-079bfb0a0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27D5F-6C61-4C32-80B4-E01CB2E5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e9c91-5602-4bdb-b72c-69451971f681"/>
    <ds:schemaRef ds:uri="ccf8ecc5-ce9f-4cc1-bb60-062c62b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4EE8A-0531-47CF-A4F7-A7A3636EE216}">
  <ds:schemaRefs>
    <ds:schemaRef ds:uri="http://schemas.microsoft.com/sharepoint/v3/contenttype/forms"/>
  </ds:schemaRefs>
</ds:datastoreItem>
</file>

<file path=customXml/itemProps3.xml><?xml version="1.0" encoding="utf-8"?>
<ds:datastoreItem xmlns:ds="http://schemas.openxmlformats.org/officeDocument/2006/customXml" ds:itemID="{FF0B9189-E539-4CB3-92F8-6EE05433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B4FA0-B7B4-4323-9CE0-8BF9F67C485E}">
  <ds:schemaRefs>
    <ds:schemaRef ds:uri="http://schemas.openxmlformats.org/officeDocument/2006/bibliography"/>
  </ds:schemaRefs>
</ds:datastoreItem>
</file>

<file path=customXml/itemProps5.xml><?xml version="1.0" encoding="utf-8"?>
<ds:datastoreItem xmlns:ds="http://schemas.openxmlformats.org/officeDocument/2006/customXml" ds:itemID="{F6738BEB-5E49-4C70-BE38-C75ADDD35C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3220</Words>
  <Characters>18741</Characters>
  <Application>Microsoft Office Word</Application>
  <DocSecurity>0</DocSecurity>
  <Lines>260</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EL SAYD Wafaa (DGT)</cp:lastModifiedBy>
  <cp:revision>8</cp:revision>
  <cp:lastPrinted>2024-02-14T09:18:00Z</cp:lastPrinted>
  <dcterms:created xsi:type="dcterms:W3CDTF">2024-03-22T13:51:00Z</dcterms:created>
  <dcterms:modified xsi:type="dcterms:W3CDTF">2024-07-05T07:33:00Z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2024-01-31T13:30:58Z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ee80922f-8116-41ce-b727-ad4fc58683e1</vt:lpwstr>
  </property>
  <property fmtid="{D5CDD505-2E9C-101B-9397-08002B2CF9AE}" pid="8" name="MSIP_Label_6bd9ddd1-4d20-43f6-abfa-fc3c07406f94_ContentBits">
    <vt:lpwstr>0</vt:lpwstr>
  </property>
  <property fmtid="{D5CDD505-2E9C-101B-9397-08002B2CF9AE}" pid="9" name="ContentTypeId">
    <vt:lpwstr>0x01010093484981D676F7469FB7985B8196FE05</vt:lpwstr>
  </property>
  <property fmtid="{D5CDD505-2E9C-101B-9397-08002B2CF9AE}" pid="10" name="MediaServiceImageTags">
    <vt:lpwstr/>
  </property>
  <property fmtid="{D5CDD505-2E9C-101B-9397-08002B2CF9AE}" pid="11" name="JiveCategories">
    <vt:lpwstr/>
  </property>
  <property fmtid="{D5CDD505-2E9C-101B-9397-08002B2CF9AE}" pid="12" name="JiveTags">
    <vt:lpwstr/>
  </property>
</Properties>
</file>