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5BB5" w14:textId="25ECC241" w:rsidR="00027E3E" w:rsidRPr="00DF6686" w:rsidRDefault="00027E3E" w:rsidP="00027E3E">
      <w:pPr>
        <w:spacing w:after="60"/>
        <w:jc w:val="center"/>
        <w:outlineLvl w:val="0"/>
        <w:rPr>
          <w:rFonts w:ascii="Times New Roman" w:hAnsi="Times New Roman"/>
          <w:b/>
          <w:szCs w:val="24"/>
        </w:rPr>
      </w:pPr>
      <w:r w:rsidRPr="00DF6686">
        <w:rPr>
          <w:rFonts w:ascii="Times New Roman" w:hAnsi="Times New Roman"/>
          <w:b/>
          <w:szCs w:val="24"/>
        </w:rPr>
        <w:t xml:space="preserve">Follow-up to </w:t>
      </w:r>
      <w:r w:rsidRPr="00DF6686">
        <w:rPr>
          <w:rFonts w:ascii="Times New Roman" w:hAnsi="Times New Roman"/>
          <w:b/>
          <w:bCs/>
          <w:szCs w:val="24"/>
        </w:rPr>
        <w:t xml:space="preserve">European Parliament </w:t>
      </w:r>
      <w:r w:rsidR="00DF6686" w:rsidRPr="00DF6686">
        <w:rPr>
          <w:rFonts w:ascii="Times New Roman" w:hAnsi="Times New Roman"/>
          <w:b/>
          <w:bCs/>
          <w:szCs w:val="24"/>
        </w:rPr>
        <w:t xml:space="preserve">non-legislative </w:t>
      </w:r>
      <w:r w:rsidRPr="00DF6686">
        <w:rPr>
          <w:rFonts w:ascii="Times New Roman" w:hAnsi="Times New Roman"/>
          <w:b/>
          <w:bCs/>
          <w:szCs w:val="24"/>
        </w:rPr>
        <w:t xml:space="preserve">resolution </w:t>
      </w:r>
    </w:p>
    <w:p w14:paraId="08840F0A" w14:textId="7FF6C4E0" w:rsidR="00027E3E" w:rsidRPr="00DF6686" w:rsidRDefault="00027E3E" w:rsidP="00DF6686">
      <w:pPr>
        <w:spacing w:after="600"/>
        <w:jc w:val="center"/>
        <w:rPr>
          <w:rFonts w:ascii="Times New Roman" w:hAnsi="Times New Roman"/>
          <w:b/>
          <w:bCs/>
          <w:szCs w:val="24"/>
        </w:rPr>
      </w:pPr>
      <w:r w:rsidRPr="00DF6686">
        <w:rPr>
          <w:rFonts w:ascii="Times New Roman" w:hAnsi="Times New Roman"/>
          <w:b/>
          <w:bCs/>
          <w:szCs w:val="24"/>
        </w:rPr>
        <w:t>on the 2022 Commission Report on Bosnia and Herzegovina</w:t>
      </w:r>
    </w:p>
    <w:p w14:paraId="0876570F" w14:textId="77777777" w:rsidR="00027E3E" w:rsidRPr="00DF6686" w:rsidRDefault="00027E3E" w:rsidP="00027E3E">
      <w:pPr>
        <w:spacing w:after="60"/>
        <w:jc w:val="center"/>
        <w:rPr>
          <w:rFonts w:ascii="Times New Roman" w:hAnsi="Times New Roman"/>
          <w:b/>
          <w:bCs/>
          <w:szCs w:val="24"/>
        </w:rPr>
      </w:pPr>
    </w:p>
    <w:p w14:paraId="352C137E" w14:textId="4929E360" w:rsidR="00963420" w:rsidRPr="003D6E15" w:rsidRDefault="00963420" w:rsidP="00DF6686">
      <w:pPr>
        <w:numPr>
          <w:ilvl w:val="0"/>
          <w:numId w:val="34"/>
        </w:numPr>
        <w:ind w:left="567" w:hanging="567"/>
        <w:rPr>
          <w:rFonts w:ascii="Times New Roman" w:hAnsi="Times New Roman"/>
          <w:i/>
          <w:szCs w:val="24"/>
          <w:lang w:val="fr-BE"/>
        </w:rPr>
      </w:pPr>
      <w:r w:rsidRPr="003D6E15">
        <w:rPr>
          <w:rFonts w:ascii="Times New Roman" w:hAnsi="Times New Roman"/>
          <w:b/>
          <w:szCs w:val="24"/>
          <w:lang w:val="fr-BE"/>
        </w:rPr>
        <w:t>Rapporteur:</w:t>
      </w:r>
      <w:r w:rsidRPr="003D6E15">
        <w:rPr>
          <w:rFonts w:ascii="Times New Roman" w:hAnsi="Times New Roman"/>
          <w:szCs w:val="24"/>
          <w:lang w:val="fr-BE"/>
        </w:rPr>
        <w:t xml:space="preserve"> </w:t>
      </w:r>
      <w:r w:rsidR="00027E3E" w:rsidRPr="003D6E15">
        <w:rPr>
          <w:rFonts w:ascii="Times New Roman" w:hAnsi="Times New Roman"/>
          <w:iCs/>
          <w:szCs w:val="24"/>
          <w:lang w:val="fr-BE"/>
        </w:rPr>
        <w:t>Paulo Rangel (EPP</w:t>
      </w:r>
      <w:r w:rsidR="00DF6686" w:rsidRPr="003D6E15">
        <w:rPr>
          <w:rFonts w:ascii="Times New Roman" w:hAnsi="Times New Roman"/>
          <w:iCs/>
          <w:szCs w:val="24"/>
          <w:lang w:val="fr-BE"/>
        </w:rPr>
        <w:t xml:space="preserve"> </w:t>
      </w:r>
      <w:r w:rsidR="00027E3E" w:rsidRPr="003D6E15">
        <w:rPr>
          <w:rFonts w:ascii="Times New Roman" w:hAnsi="Times New Roman"/>
          <w:iCs/>
          <w:szCs w:val="24"/>
          <w:lang w:val="fr-BE"/>
        </w:rPr>
        <w:t>/</w:t>
      </w:r>
      <w:r w:rsidR="00DF6686" w:rsidRPr="003D6E15">
        <w:rPr>
          <w:rFonts w:ascii="Times New Roman" w:hAnsi="Times New Roman"/>
          <w:iCs/>
          <w:szCs w:val="24"/>
          <w:lang w:val="fr-BE"/>
        </w:rPr>
        <w:t xml:space="preserve"> </w:t>
      </w:r>
      <w:r w:rsidR="00027E3E" w:rsidRPr="003D6E15">
        <w:rPr>
          <w:rFonts w:ascii="Times New Roman" w:hAnsi="Times New Roman"/>
          <w:iCs/>
          <w:szCs w:val="24"/>
          <w:lang w:val="fr-BE"/>
        </w:rPr>
        <w:t>PT)</w:t>
      </w:r>
    </w:p>
    <w:p w14:paraId="76F4A6BB" w14:textId="74EEFC0A" w:rsidR="00963420" w:rsidRPr="00DF6686" w:rsidRDefault="00063DCE" w:rsidP="00DF6686">
      <w:pPr>
        <w:pStyle w:val="Default"/>
        <w:numPr>
          <w:ilvl w:val="0"/>
          <w:numId w:val="34"/>
        </w:numPr>
        <w:spacing w:after="240"/>
        <w:ind w:left="567" w:hanging="567"/>
        <w:jc w:val="both"/>
        <w:rPr>
          <w:color w:val="auto"/>
          <w:lang w:val="en-GB"/>
        </w:rPr>
      </w:pPr>
      <w:r w:rsidRPr="00DF6686">
        <w:rPr>
          <w:b/>
          <w:color w:val="auto"/>
          <w:lang w:val="en-GB"/>
        </w:rPr>
        <w:t>R</w:t>
      </w:r>
      <w:r w:rsidR="00963420" w:rsidRPr="00DF6686">
        <w:rPr>
          <w:b/>
          <w:color w:val="auto"/>
          <w:lang w:val="en-GB"/>
        </w:rPr>
        <w:t xml:space="preserve">eference number: </w:t>
      </w:r>
      <w:r w:rsidR="00027E3E" w:rsidRPr="00DF6686">
        <w:rPr>
          <w:color w:val="6C757D"/>
          <w:sz w:val="21"/>
          <w:szCs w:val="21"/>
          <w:shd w:val="clear" w:color="auto" w:fill="FFFFFF"/>
          <w:lang w:val="en-GB"/>
        </w:rPr>
        <w:t>(</w:t>
      </w:r>
      <w:r w:rsidR="00027E3E" w:rsidRPr="00DF6686">
        <w:rPr>
          <w:bCs/>
          <w:spacing w:val="-6"/>
          <w:lang w:val="en-GB" w:eastAsia="de-AT"/>
        </w:rPr>
        <w:t>2022/2200</w:t>
      </w:r>
      <w:r w:rsidR="00DF6686" w:rsidRPr="00DF6686">
        <w:rPr>
          <w:bCs/>
          <w:spacing w:val="-6"/>
          <w:lang w:val="en-GB" w:eastAsia="de-AT"/>
        </w:rPr>
        <w:t xml:space="preserve"> </w:t>
      </w:r>
      <w:r w:rsidR="00027E3E" w:rsidRPr="00DF6686">
        <w:rPr>
          <w:bCs/>
          <w:spacing w:val="-6"/>
          <w:lang w:val="en-GB" w:eastAsia="de-AT"/>
        </w:rPr>
        <w:t>(INI)</w:t>
      </w:r>
      <w:r w:rsidR="00027E3E" w:rsidRPr="00DF6686">
        <w:rPr>
          <w:color w:val="6C757D"/>
          <w:sz w:val="21"/>
          <w:szCs w:val="21"/>
          <w:shd w:val="clear" w:color="auto" w:fill="FFFFFF"/>
          <w:lang w:val="en-GB"/>
        </w:rPr>
        <w:t xml:space="preserve"> /</w:t>
      </w:r>
      <w:r w:rsidR="00027E3E" w:rsidRPr="00DF6686">
        <w:rPr>
          <w:color w:val="auto"/>
          <w:szCs w:val="20"/>
          <w:lang w:val="en-GB" w:eastAsia="en-GB"/>
        </w:rPr>
        <w:t xml:space="preserve"> </w:t>
      </w:r>
      <w:r w:rsidR="00DF6686" w:rsidRPr="00DF6686">
        <w:rPr>
          <w:color w:val="auto"/>
          <w:szCs w:val="20"/>
          <w:lang w:val="en-GB" w:eastAsia="en-GB"/>
        </w:rPr>
        <w:t xml:space="preserve">A9-0229/2023 / </w:t>
      </w:r>
      <w:r w:rsidR="00027E3E" w:rsidRPr="00DF6686">
        <w:rPr>
          <w:color w:val="auto"/>
          <w:szCs w:val="20"/>
          <w:lang w:val="en-GB" w:eastAsia="en-GB"/>
        </w:rPr>
        <w:t>P9_TA(2023)0284</w:t>
      </w:r>
    </w:p>
    <w:p w14:paraId="22AD4B99" w14:textId="7CC35AA2" w:rsidR="001F0B89" w:rsidRPr="00DF6686" w:rsidRDefault="00963420" w:rsidP="00DF6686">
      <w:pPr>
        <w:numPr>
          <w:ilvl w:val="0"/>
          <w:numId w:val="34"/>
        </w:numPr>
        <w:ind w:left="567" w:hanging="567"/>
        <w:rPr>
          <w:rFonts w:ascii="Times New Roman" w:hAnsi="Times New Roman"/>
          <w:szCs w:val="24"/>
        </w:rPr>
      </w:pPr>
      <w:r w:rsidRPr="00DF6686">
        <w:rPr>
          <w:rFonts w:ascii="Times New Roman" w:hAnsi="Times New Roman"/>
          <w:b/>
          <w:szCs w:val="24"/>
        </w:rPr>
        <w:t>Date of adoption of the resolution:</w:t>
      </w:r>
      <w:r w:rsidRPr="00DF6686">
        <w:rPr>
          <w:rFonts w:ascii="Times New Roman" w:hAnsi="Times New Roman"/>
          <w:szCs w:val="24"/>
        </w:rPr>
        <w:t xml:space="preserve"> </w:t>
      </w:r>
      <w:r w:rsidR="00027E3E" w:rsidRPr="00DF6686">
        <w:rPr>
          <w:rFonts w:ascii="Times New Roman" w:hAnsi="Times New Roman"/>
          <w:iCs/>
        </w:rPr>
        <w:t>12 July 2023</w:t>
      </w:r>
    </w:p>
    <w:p w14:paraId="6D39E334" w14:textId="2CDD846D" w:rsidR="00963420" w:rsidRPr="00DF6686" w:rsidRDefault="00963420" w:rsidP="00DF6686">
      <w:pPr>
        <w:numPr>
          <w:ilvl w:val="0"/>
          <w:numId w:val="34"/>
        </w:numPr>
        <w:ind w:left="567" w:hanging="567"/>
        <w:rPr>
          <w:rFonts w:ascii="Times New Roman" w:hAnsi="Times New Roman"/>
          <w:i/>
          <w:szCs w:val="24"/>
        </w:rPr>
      </w:pPr>
      <w:r w:rsidRPr="00DF6686">
        <w:rPr>
          <w:rFonts w:ascii="Times New Roman" w:hAnsi="Times New Roman"/>
          <w:b/>
          <w:szCs w:val="24"/>
        </w:rPr>
        <w:t xml:space="preserve">Competent Parliamentary Committee: </w:t>
      </w:r>
      <w:r w:rsidR="00EA2741" w:rsidRPr="00DF6686">
        <w:rPr>
          <w:rFonts w:ascii="Times New Roman" w:hAnsi="Times New Roman"/>
          <w:szCs w:val="24"/>
        </w:rPr>
        <w:t>Committee on</w:t>
      </w:r>
      <w:r w:rsidR="00EA2741" w:rsidRPr="00DF6686">
        <w:rPr>
          <w:rFonts w:ascii="Times New Roman" w:hAnsi="Times New Roman"/>
          <w:i/>
          <w:szCs w:val="24"/>
        </w:rPr>
        <w:t xml:space="preserve"> </w:t>
      </w:r>
      <w:r w:rsidR="00027E3E" w:rsidRPr="00DF6686">
        <w:rPr>
          <w:rFonts w:ascii="Times New Roman" w:hAnsi="Times New Roman"/>
          <w:iCs/>
          <w:szCs w:val="24"/>
        </w:rPr>
        <w:t>Foreign Affairs (AFET)</w:t>
      </w:r>
    </w:p>
    <w:p w14:paraId="1B55D9EB" w14:textId="5FBAE09D" w:rsidR="00027E3E" w:rsidRPr="00DF6686" w:rsidRDefault="00963420" w:rsidP="00DF6686">
      <w:pPr>
        <w:widowControl w:val="0"/>
        <w:numPr>
          <w:ilvl w:val="0"/>
          <w:numId w:val="34"/>
        </w:numPr>
        <w:ind w:left="562" w:hanging="562"/>
        <w:contextualSpacing/>
        <w:rPr>
          <w:rFonts w:ascii="Times New Roman" w:hAnsi="Times New Roman"/>
          <w:b/>
          <w:szCs w:val="24"/>
        </w:rPr>
      </w:pPr>
      <w:r w:rsidRPr="00DF6686">
        <w:rPr>
          <w:rFonts w:ascii="Times New Roman" w:hAnsi="Times New Roman"/>
          <w:b/>
          <w:szCs w:val="24"/>
        </w:rPr>
        <w:t>Brief analysis/</w:t>
      </w:r>
      <w:r w:rsidR="00AB3960" w:rsidRPr="00DF6686">
        <w:rPr>
          <w:rFonts w:ascii="Times New Roman" w:hAnsi="Times New Roman"/>
          <w:b/>
          <w:szCs w:val="24"/>
        </w:rPr>
        <w:t xml:space="preserve"> </w:t>
      </w:r>
      <w:r w:rsidRPr="00DF6686">
        <w:rPr>
          <w:rFonts w:ascii="Times New Roman" w:hAnsi="Times New Roman"/>
          <w:b/>
          <w:szCs w:val="24"/>
        </w:rPr>
        <w:t>assessment of the resolution and requests made in it:</w:t>
      </w:r>
      <w:r w:rsidR="00146971" w:rsidRPr="00DF6686">
        <w:rPr>
          <w:rFonts w:ascii="Times New Roman" w:hAnsi="Times New Roman"/>
          <w:b/>
          <w:szCs w:val="24"/>
        </w:rPr>
        <w:t xml:space="preserve"> </w:t>
      </w:r>
    </w:p>
    <w:p w14:paraId="3654B556" w14:textId="19D63C72" w:rsidR="00AB2449" w:rsidRPr="00DF6686" w:rsidRDefault="00027E3E" w:rsidP="001152DC">
      <w:pPr>
        <w:pStyle w:val="ListParagraph"/>
        <w:spacing w:after="120" w:line="240" w:lineRule="auto"/>
        <w:ind w:left="0"/>
        <w:contextualSpacing w:val="0"/>
        <w:jc w:val="both"/>
        <w:rPr>
          <w:rFonts w:ascii="Times New Roman" w:eastAsia="Times New Roman" w:hAnsi="Times New Roman"/>
          <w:bCs/>
          <w:spacing w:val="-6"/>
          <w:sz w:val="24"/>
          <w:szCs w:val="24"/>
          <w:lang w:val="en-GB" w:eastAsia="de-AT"/>
        </w:rPr>
      </w:pPr>
      <w:r w:rsidRPr="00DF6686">
        <w:rPr>
          <w:rFonts w:ascii="Times New Roman" w:eastAsia="Times New Roman" w:hAnsi="Times New Roman"/>
          <w:bCs/>
          <w:spacing w:val="-6"/>
          <w:sz w:val="24"/>
          <w:szCs w:val="24"/>
          <w:lang w:val="en-GB" w:eastAsia="de-AT"/>
        </w:rPr>
        <w:t xml:space="preserve">The </w:t>
      </w:r>
      <w:r w:rsidR="001152DC" w:rsidRPr="00DF6686">
        <w:rPr>
          <w:rFonts w:ascii="Times New Roman" w:eastAsia="Times New Roman" w:hAnsi="Times New Roman"/>
          <w:bCs/>
          <w:spacing w:val="-6"/>
          <w:sz w:val="24"/>
          <w:szCs w:val="24"/>
          <w:lang w:val="en-GB" w:eastAsia="de-AT"/>
        </w:rPr>
        <w:t>resolution</w:t>
      </w:r>
      <w:r w:rsidRPr="00DF6686">
        <w:rPr>
          <w:rFonts w:ascii="Times New Roman" w:eastAsia="Times New Roman" w:hAnsi="Times New Roman"/>
          <w:bCs/>
          <w:spacing w:val="-6"/>
          <w:sz w:val="24"/>
          <w:szCs w:val="24"/>
          <w:lang w:val="en-GB" w:eastAsia="de-AT"/>
        </w:rPr>
        <w:t xml:space="preserve"> is broadly in line with the Commission’s 2022 report</w:t>
      </w:r>
      <w:r w:rsidR="001152DC" w:rsidRPr="00DF6686">
        <w:rPr>
          <w:rFonts w:ascii="Times New Roman" w:eastAsia="Times New Roman" w:hAnsi="Times New Roman"/>
          <w:bCs/>
          <w:spacing w:val="-6"/>
          <w:sz w:val="24"/>
          <w:szCs w:val="24"/>
          <w:lang w:val="en-GB" w:eastAsia="de-AT"/>
        </w:rPr>
        <w:t>.</w:t>
      </w:r>
      <w:r w:rsidRPr="00DF6686">
        <w:rPr>
          <w:rFonts w:ascii="Times New Roman" w:eastAsia="Times New Roman" w:hAnsi="Times New Roman"/>
          <w:bCs/>
          <w:spacing w:val="-6"/>
          <w:sz w:val="24"/>
          <w:szCs w:val="24"/>
          <w:lang w:val="en-GB" w:eastAsia="de-AT"/>
        </w:rPr>
        <w:t xml:space="preserve"> </w:t>
      </w:r>
      <w:r w:rsidR="001152DC" w:rsidRPr="00DF6686">
        <w:rPr>
          <w:rFonts w:ascii="Times New Roman" w:eastAsia="Times New Roman" w:hAnsi="Times New Roman"/>
          <w:bCs/>
          <w:spacing w:val="-6"/>
          <w:sz w:val="24"/>
          <w:szCs w:val="24"/>
          <w:lang w:val="en-GB" w:eastAsia="de-AT"/>
        </w:rPr>
        <w:t xml:space="preserve">It discusses Bosnia and Herzegovina’s </w:t>
      </w:r>
      <w:r w:rsidR="00772B52" w:rsidRPr="00DF6686">
        <w:rPr>
          <w:rFonts w:ascii="Times New Roman" w:eastAsia="Times New Roman" w:hAnsi="Times New Roman"/>
          <w:bCs/>
          <w:spacing w:val="-6"/>
          <w:sz w:val="24"/>
          <w:szCs w:val="24"/>
          <w:lang w:val="en-GB" w:eastAsia="de-AT"/>
        </w:rPr>
        <w:t xml:space="preserve">(BiH) </w:t>
      </w:r>
      <w:r w:rsidR="001152DC" w:rsidRPr="00DF6686">
        <w:rPr>
          <w:rFonts w:ascii="Times New Roman" w:eastAsia="Times New Roman" w:hAnsi="Times New Roman"/>
          <w:bCs/>
          <w:spacing w:val="-6"/>
          <w:sz w:val="24"/>
          <w:szCs w:val="24"/>
          <w:lang w:val="en-GB" w:eastAsia="de-AT"/>
        </w:rPr>
        <w:t>EU accession process as regards democracy and functionality and the rule of law, fundamental rights, security, reconciliation and good neighbourly relations, socio-economic reforms, and energy, environment, sustainable development and connectivity. Overall, the resolution reflects the European Parliament’s continuous support for B</w:t>
      </w:r>
      <w:r w:rsidR="000B6BFD" w:rsidRPr="00DF6686">
        <w:rPr>
          <w:rFonts w:ascii="Times New Roman" w:eastAsia="Times New Roman" w:hAnsi="Times New Roman"/>
          <w:bCs/>
          <w:spacing w:val="-6"/>
          <w:sz w:val="24"/>
          <w:szCs w:val="24"/>
          <w:lang w:val="en-GB" w:eastAsia="de-AT"/>
        </w:rPr>
        <w:t>iH</w:t>
      </w:r>
      <w:r w:rsidR="001152DC" w:rsidRPr="00DF6686">
        <w:rPr>
          <w:rFonts w:ascii="Times New Roman" w:eastAsia="Times New Roman" w:hAnsi="Times New Roman"/>
          <w:bCs/>
          <w:spacing w:val="-6"/>
          <w:sz w:val="24"/>
          <w:szCs w:val="24"/>
          <w:lang w:val="en-GB" w:eastAsia="de-AT"/>
        </w:rPr>
        <w:t xml:space="preserve">’s EU path. It </w:t>
      </w:r>
      <w:r w:rsidRPr="00DF6686">
        <w:rPr>
          <w:rFonts w:ascii="Times New Roman" w:eastAsia="Times New Roman" w:hAnsi="Times New Roman"/>
          <w:bCs/>
          <w:spacing w:val="-6"/>
          <w:sz w:val="24"/>
          <w:szCs w:val="24"/>
          <w:lang w:val="en-GB" w:eastAsia="de-AT"/>
        </w:rPr>
        <w:t xml:space="preserve">welcomes the European Council decision on candidate status and the </w:t>
      </w:r>
      <w:r w:rsidR="00D92C58" w:rsidRPr="00DF6686">
        <w:rPr>
          <w:rFonts w:ascii="Times New Roman" w:eastAsia="Times New Roman" w:hAnsi="Times New Roman"/>
          <w:bCs/>
          <w:spacing w:val="-6"/>
          <w:sz w:val="24"/>
          <w:szCs w:val="24"/>
          <w:lang w:val="en-GB" w:eastAsia="de-AT"/>
        </w:rPr>
        <w:t>High-Level</w:t>
      </w:r>
      <w:r w:rsidRPr="00DF6686">
        <w:rPr>
          <w:rFonts w:ascii="Times New Roman" w:eastAsia="Times New Roman" w:hAnsi="Times New Roman"/>
          <w:bCs/>
          <w:spacing w:val="-6"/>
          <w:sz w:val="24"/>
          <w:szCs w:val="24"/>
          <w:lang w:val="en-GB" w:eastAsia="de-AT"/>
        </w:rPr>
        <w:t xml:space="preserve"> Political Forum</w:t>
      </w:r>
      <w:r w:rsidR="001152DC" w:rsidRPr="00DF6686">
        <w:rPr>
          <w:rFonts w:ascii="Times New Roman" w:eastAsia="Times New Roman" w:hAnsi="Times New Roman"/>
          <w:bCs/>
          <w:spacing w:val="-6"/>
          <w:sz w:val="24"/>
          <w:szCs w:val="24"/>
          <w:lang w:val="en-GB" w:eastAsia="de-AT"/>
        </w:rPr>
        <w:t xml:space="preserve">, </w:t>
      </w:r>
      <w:r w:rsidRPr="00DF6686">
        <w:rPr>
          <w:rFonts w:ascii="Times New Roman" w:eastAsia="Times New Roman" w:hAnsi="Times New Roman"/>
          <w:bCs/>
          <w:spacing w:val="-6"/>
          <w:sz w:val="24"/>
          <w:szCs w:val="24"/>
          <w:lang w:val="en-GB" w:eastAsia="de-AT"/>
        </w:rPr>
        <w:t>encourag</w:t>
      </w:r>
      <w:r w:rsidR="001152DC" w:rsidRPr="00DF6686">
        <w:rPr>
          <w:rFonts w:ascii="Times New Roman" w:eastAsia="Times New Roman" w:hAnsi="Times New Roman"/>
          <w:bCs/>
          <w:spacing w:val="-6"/>
          <w:sz w:val="24"/>
          <w:szCs w:val="24"/>
          <w:lang w:val="en-GB" w:eastAsia="de-AT"/>
        </w:rPr>
        <w:t>ing</w:t>
      </w:r>
      <w:r w:rsidRPr="00DF6686">
        <w:rPr>
          <w:rFonts w:ascii="Times New Roman" w:eastAsia="Times New Roman" w:hAnsi="Times New Roman"/>
          <w:bCs/>
          <w:spacing w:val="-6"/>
          <w:sz w:val="24"/>
          <w:szCs w:val="24"/>
          <w:lang w:val="en-GB" w:eastAsia="de-AT"/>
        </w:rPr>
        <w:t xml:space="preserve"> all political authorities to seize the momentum to meaningfully advance on implementing the 14 key priorities </w:t>
      </w:r>
      <w:r w:rsidR="00522651" w:rsidRPr="00DF6686">
        <w:rPr>
          <w:rFonts w:ascii="Times New Roman" w:eastAsia="Times New Roman" w:hAnsi="Times New Roman"/>
          <w:bCs/>
          <w:spacing w:val="-6"/>
          <w:sz w:val="24"/>
          <w:szCs w:val="24"/>
          <w:lang w:val="en-GB" w:eastAsia="de-AT"/>
        </w:rPr>
        <w:t xml:space="preserve">for the opening of accession negotiations </w:t>
      </w:r>
      <w:r w:rsidRPr="00DF6686">
        <w:rPr>
          <w:rFonts w:ascii="Times New Roman" w:eastAsia="Times New Roman" w:hAnsi="Times New Roman"/>
          <w:bCs/>
          <w:spacing w:val="-6"/>
          <w:sz w:val="24"/>
          <w:szCs w:val="24"/>
          <w:lang w:val="en-GB" w:eastAsia="de-AT"/>
        </w:rPr>
        <w:t>in line with the aspirations of all citizens</w:t>
      </w:r>
      <w:r w:rsidR="001152DC" w:rsidRPr="00DF6686">
        <w:rPr>
          <w:rFonts w:ascii="Times New Roman" w:eastAsia="Times New Roman" w:hAnsi="Times New Roman"/>
          <w:bCs/>
          <w:spacing w:val="-6"/>
          <w:sz w:val="24"/>
          <w:szCs w:val="24"/>
          <w:lang w:val="en-GB" w:eastAsia="de-AT"/>
        </w:rPr>
        <w:t xml:space="preserve">. At multiple points, the resolution condemns the statements and actions by </w:t>
      </w:r>
      <w:r w:rsidR="008C2839" w:rsidRPr="00DF6686">
        <w:rPr>
          <w:rFonts w:ascii="Times New Roman" w:eastAsia="Times New Roman" w:hAnsi="Times New Roman"/>
          <w:bCs/>
          <w:spacing w:val="-6"/>
          <w:sz w:val="24"/>
          <w:szCs w:val="24"/>
          <w:lang w:val="en-GB" w:eastAsia="de-AT"/>
        </w:rPr>
        <w:t>Milorad</w:t>
      </w:r>
      <w:r w:rsidR="00FE275B" w:rsidRPr="00DF6686">
        <w:rPr>
          <w:rFonts w:ascii="Times New Roman" w:eastAsia="Times New Roman" w:hAnsi="Times New Roman"/>
          <w:bCs/>
          <w:spacing w:val="-6"/>
          <w:sz w:val="24"/>
          <w:szCs w:val="24"/>
          <w:lang w:val="en-GB" w:eastAsia="de-AT"/>
        </w:rPr>
        <w:t xml:space="preserve"> </w:t>
      </w:r>
      <w:r w:rsidR="001152DC" w:rsidRPr="00DF6686">
        <w:rPr>
          <w:rFonts w:ascii="Times New Roman" w:eastAsia="Times New Roman" w:hAnsi="Times New Roman"/>
          <w:bCs/>
          <w:spacing w:val="-6"/>
          <w:sz w:val="24"/>
          <w:szCs w:val="24"/>
          <w:lang w:val="en-GB" w:eastAsia="de-AT"/>
        </w:rPr>
        <w:t xml:space="preserve">Dodik and the leadership of the </w:t>
      </w:r>
      <w:r w:rsidR="001152DC" w:rsidRPr="00DF6686">
        <w:rPr>
          <w:rFonts w:ascii="Times New Roman" w:eastAsia="Times New Roman" w:hAnsi="Times New Roman"/>
          <w:bCs/>
          <w:i/>
          <w:spacing w:val="-6"/>
          <w:sz w:val="24"/>
          <w:szCs w:val="24"/>
          <w:lang w:val="en-GB" w:eastAsia="de-AT"/>
        </w:rPr>
        <w:t>Republika Srpska</w:t>
      </w:r>
      <w:r w:rsidR="001152DC" w:rsidRPr="00DF6686">
        <w:rPr>
          <w:rFonts w:ascii="Times New Roman" w:eastAsia="Times New Roman" w:hAnsi="Times New Roman"/>
          <w:bCs/>
          <w:spacing w:val="-6"/>
          <w:sz w:val="24"/>
          <w:szCs w:val="24"/>
          <w:lang w:val="en-GB" w:eastAsia="de-AT"/>
        </w:rPr>
        <w:t xml:space="preserve"> entity (RS), including the RS Day celebrations, the refusal to implement Constitutional Court decision, and the draft laws to criminalise defamation and to target non-governmental organisations as foreign agents. It reiterates the Parliament’s call for targeted sanctions against Dodik and his entourage. The resolution welcomes </w:t>
      </w:r>
      <w:r w:rsidR="008C2839" w:rsidRPr="00DF6686">
        <w:rPr>
          <w:rFonts w:ascii="Times New Roman" w:eastAsia="Times New Roman" w:hAnsi="Times New Roman"/>
          <w:bCs/>
          <w:spacing w:val="-6"/>
          <w:sz w:val="24"/>
          <w:szCs w:val="24"/>
          <w:lang w:val="en-GB" w:eastAsia="de-AT"/>
        </w:rPr>
        <w:t>Bosnia and Herzegovina’s</w:t>
      </w:r>
      <w:r w:rsidR="008C2839" w:rsidRPr="00DF6686" w:rsidDel="008C2839">
        <w:rPr>
          <w:rFonts w:ascii="Times New Roman" w:eastAsia="Times New Roman" w:hAnsi="Times New Roman"/>
          <w:bCs/>
          <w:spacing w:val="-6"/>
          <w:sz w:val="24"/>
          <w:szCs w:val="24"/>
          <w:lang w:val="en-GB" w:eastAsia="de-AT"/>
        </w:rPr>
        <w:t xml:space="preserve"> </w:t>
      </w:r>
      <w:r w:rsidR="001152DC" w:rsidRPr="00DF6686">
        <w:rPr>
          <w:rFonts w:ascii="Times New Roman" w:eastAsia="Times New Roman" w:hAnsi="Times New Roman"/>
          <w:bCs/>
          <w:spacing w:val="-6"/>
          <w:sz w:val="24"/>
          <w:szCs w:val="24"/>
          <w:lang w:val="en-GB" w:eastAsia="de-AT"/>
        </w:rPr>
        <w:t>increased alignment</w:t>
      </w:r>
      <w:r w:rsidR="008C2839" w:rsidRPr="00DF6686">
        <w:rPr>
          <w:rFonts w:ascii="Times New Roman" w:eastAsia="Times New Roman" w:hAnsi="Times New Roman"/>
          <w:bCs/>
          <w:spacing w:val="-6"/>
          <w:sz w:val="24"/>
          <w:szCs w:val="24"/>
          <w:lang w:val="en-GB" w:eastAsia="de-AT"/>
        </w:rPr>
        <w:t xml:space="preserve"> with EU foreign policy</w:t>
      </w:r>
      <w:r w:rsidR="001152DC" w:rsidRPr="00DF6686">
        <w:rPr>
          <w:rFonts w:ascii="Times New Roman" w:eastAsia="Times New Roman" w:hAnsi="Times New Roman"/>
          <w:bCs/>
          <w:spacing w:val="-6"/>
          <w:sz w:val="24"/>
          <w:szCs w:val="24"/>
          <w:lang w:val="en-GB" w:eastAsia="de-AT"/>
        </w:rPr>
        <w:t xml:space="preserve">, </w:t>
      </w:r>
      <w:r w:rsidR="00AB2449" w:rsidRPr="00DF6686">
        <w:rPr>
          <w:rFonts w:ascii="Times New Roman" w:eastAsia="Times New Roman" w:hAnsi="Times New Roman"/>
          <w:bCs/>
          <w:spacing w:val="-6"/>
          <w:sz w:val="24"/>
          <w:szCs w:val="24"/>
          <w:lang w:val="en-GB" w:eastAsia="de-AT"/>
        </w:rPr>
        <w:t xml:space="preserve">advocates for </w:t>
      </w:r>
      <w:r w:rsidR="001152DC" w:rsidRPr="00DF6686">
        <w:rPr>
          <w:rFonts w:ascii="Times New Roman" w:eastAsia="Times New Roman" w:hAnsi="Times New Roman"/>
          <w:bCs/>
          <w:spacing w:val="-6"/>
          <w:sz w:val="24"/>
          <w:szCs w:val="24"/>
          <w:lang w:val="en-GB" w:eastAsia="de-AT"/>
        </w:rPr>
        <w:t>its NATO integration, and welcomes the extension of the</w:t>
      </w:r>
      <w:r w:rsidR="00D723FE" w:rsidRPr="00DF6686">
        <w:rPr>
          <w:rFonts w:ascii="Times New Roman" w:eastAsia="Times New Roman" w:hAnsi="Times New Roman"/>
          <w:bCs/>
          <w:spacing w:val="-6"/>
          <w:sz w:val="24"/>
          <w:szCs w:val="24"/>
          <w:lang w:val="en-GB" w:eastAsia="de-AT"/>
        </w:rPr>
        <w:t xml:space="preserve"> </w:t>
      </w:r>
      <w:r w:rsidR="00123550" w:rsidRPr="00DF6686">
        <w:rPr>
          <w:rFonts w:ascii="Times New Roman" w:eastAsia="Times New Roman" w:hAnsi="Times New Roman"/>
          <w:bCs/>
          <w:spacing w:val="-6"/>
          <w:sz w:val="24"/>
          <w:szCs w:val="24"/>
          <w:lang w:val="en-GB" w:eastAsia="de-AT"/>
        </w:rPr>
        <w:t>EU military operation EUFOR Althea</w:t>
      </w:r>
      <w:r w:rsidR="00D723FE" w:rsidRPr="00DF6686">
        <w:rPr>
          <w:rFonts w:ascii="Times New Roman" w:eastAsia="Times New Roman" w:hAnsi="Times New Roman"/>
          <w:bCs/>
          <w:spacing w:val="-6"/>
          <w:sz w:val="24"/>
          <w:szCs w:val="24"/>
          <w:lang w:val="en-GB" w:eastAsia="de-AT"/>
        </w:rPr>
        <w:t>’s</w:t>
      </w:r>
      <w:r w:rsidR="001152DC" w:rsidRPr="00DF6686">
        <w:rPr>
          <w:rFonts w:ascii="Times New Roman" w:eastAsia="Times New Roman" w:hAnsi="Times New Roman"/>
          <w:bCs/>
          <w:spacing w:val="-6"/>
          <w:sz w:val="24"/>
          <w:szCs w:val="24"/>
          <w:lang w:val="en-GB" w:eastAsia="de-AT"/>
        </w:rPr>
        <w:t xml:space="preserve"> mandate and the role of </w:t>
      </w:r>
      <w:r w:rsidR="000B6BFD" w:rsidRPr="00DF6686">
        <w:rPr>
          <w:rFonts w:ascii="Times New Roman" w:eastAsia="Times New Roman" w:hAnsi="Times New Roman"/>
          <w:bCs/>
          <w:spacing w:val="-6"/>
          <w:sz w:val="24"/>
          <w:szCs w:val="24"/>
          <w:lang w:val="en-GB" w:eastAsia="de-AT"/>
        </w:rPr>
        <w:t xml:space="preserve">the </w:t>
      </w:r>
      <w:r w:rsidR="00B64079" w:rsidRPr="00DF6686">
        <w:rPr>
          <w:rFonts w:ascii="Times New Roman" w:eastAsia="Times New Roman" w:hAnsi="Times New Roman"/>
          <w:bCs/>
          <w:spacing w:val="-6"/>
          <w:sz w:val="24"/>
          <w:szCs w:val="24"/>
          <w:lang w:val="en-GB" w:eastAsia="de-AT"/>
        </w:rPr>
        <w:t>Organisation for Security and Cooperation in Europe</w:t>
      </w:r>
      <w:r w:rsidR="00772B52" w:rsidRPr="00DF6686">
        <w:rPr>
          <w:rFonts w:ascii="Times New Roman" w:eastAsia="Times New Roman" w:hAnsi="Times New Roman"/>
          <w:bCs/>
          <w:spacing w:val="-6"/>
          <w:sz w:val="24"/>
          <w:szCs w:val="24"/>
          <w:lang w:val="en-GB" w:eastAsia="de-AT"/>
        </w:rPr>
        <w:t xml:space="preserve"> (OSCE</w:t>
      </w:r>
      <w:r w:rsidR="00B64079" w:rsidRPr="00DF6686">
        <w:rPr>
          <w:rFonts w:ascii="Times New Roman" w:eastAsia="Times New Roman" w:hAnsi="Times New Roman"/>
          <w:bCs/>
          <w:spacing w:val="-6"/>
          <w:sz w:val="24"/>
          <w:szCs w:val="24"/>
          <w:lang w:val="en-GB" w:eastAsia="de-AT"/>
        </w:rPr>
        <w:t>)</w:t>
      </w:r>
      <w:r w:rsidR="001152DC" w:rsidRPr="00DF6686">
        <w:rPr>
          <w:rFonts w:ascii="Times New Roman" w:eastAsia="Times New Roman" w:hAnsi="Times New Roman"/>
          <w:bCs/>
          <w:spacing w:val="-6"/>
          <w:sz w:val="24"/>
          <w:szCs w:val="24"/>
          <w:lang w:val="en-GB" w:eastAsia="de-AT"/>
        </w:rPr>
        <w:t xml:space="preserve">. It reaffirms the Parliament’s support to the Office of the High Representative for BiH (OHR) and calls on </w:t>
      </w:r>
      <w:r w:rsidR="000B6BFD" w:rsidRPr="00DF6686">
        <w:rPr>
          <w:rFonts w:ascii="Times New Roman" w:eastAsia="Times New Roman" w:hAnsi="Times New Roman"/>
          <w:bCs/>
          <w:spacing w:val="-6"/>
          <w:sz w:val="24"/>
          <w:szCs w:val="24"/>
          <w:lang w:val="en-GB" w:eastAsia="de-AT"/>
        </w:rPr>
        <w:t xml:space="preserve">the </w:t>
      </w:r>
      <w:r w:rsidR="001152DC" w:rsidRPr="00DF6686">
        <w:rPr>
          <w:rFonts w:ascii="Times New Roman" w:eastAsia="Times New Roman" w:hAnsi="Times New Roman"/>
          <w:bCs/>
          <w:spacing w:val="-6"/>
          <w:sz w:val="24"/>
          <w:szCs w:val="24"/>
          <w:lang w:val="en-GB" w:eastAsia="de-AT"/>
        </w:rPr>
        <w:t>Commission</w:t>
      </w:r>
      <w:r w:rsidR="000B6BFD" w:rsidRPr="00DF6686">
        <w:rPr>
          <w:rFonts w:ascii="Times New Roman" w:eastAsia="Times New Roman" w:hAnsi="Times New Roman"/>
          <w:bCs/>
          <w:spacing w:val="-6"/>
          <w:sz w:val="24"/>
          <w:szCs w:val="24"/>
          <w:lang w:val="en-GB" w:eastAsia="de-AT"/>
        </w:rPr>
        <w:t xml:space="preserve"> services and the European </w:t>
      </w:r>
      <w:r w:rsidR="001152DC" w:rsidRPr="00DF6686">
        <w:rPr>
          <w:rFonts w:ascii="Times New Roman" w:eastAsia="Times New Roman" w:hAnsi="Times New Roman"/>
          <w:bCs/>
          <w:spacing w:val="-6"/>
          <w:sz w:val="24"/>
          <w:szCs w:val="24"/>
          <w:lang w:val="en-GB" w:eastAsia="de-AT"/>
        </w:rPr>
        <w:t>E</w:t>
      </w:r>
      <w:r w:rsidR="000B6BFD" w:rsidRPr="00DF6686">
        <w:rPr>
          <w:rFonts w:ascii="Times New Roman" w:eastAsia="Times New Roman" w:hAnsi="Times New Roman"/>
          <w:bCs/>
          <w:spacing w:val="-6"/>
          <w:sz w:val="24"/>
          <w:szCs w:val="24"/>
          <w:lang w:val="en-GB" w:eastAsia="de-AT"/>
        </w:rPr>
        <w:t>xternal Action Service (E</w:t>
      </w:r>
      <w:r w:rsidR="001152DC" w:rsidRPr="00DF6686">
        <w:rPr>
          <w:rFonts w:ascii="Times New Roman" w:eastAsia="Times New Roman" w:hAnsi="Times New Roman"/>
          <w:bCs/>
          <w:spacing w:val="-6"/>
          <w:sz w:val="24"/>
          <w:szCs w:val="24"/>
          <w:lang w:val="en-GB" w:eastAsia="de-AT"/>
        </w:rPr>
        <w:t>EAS</w:t>
      </w:r>
      <w:r w:rsidR="000B6BFD" w:rsidRPr="00DF6686">
        <w:rPr>
          <w:rFonts w:ascii="Times New Roman" w:eastAsia="Times New Roman" w:hAnsi="Times New Roman"/>
          <w:bCs/>
          <w:spacing w:val="-6"/>
          <w:sz w:val="24"/>
          <w:szCs w:val="24"/>
          <w:lang w:val="en-GB" w:eastAsia="de-AT"/>
        </w:rPr>
        <w:t>)</w:t>
      </w:r>
      <w:r w:rsidR="001152DC" w:rsidRPr="00DF6686">
        <w:rPr>
          <w:rFonts w:ascii="Times New Roman" w:eastAsia="Times New Roman" w:hAnsi="Times New Roman"/>
          <w:bCs/>
          <w:spacing w:val="-6"/>
          <w:sz w:val="24"/>
          <w:szCs w:val="24"/>
          <w:lang w:val="en-GB" w:eastAsia="de-AT"/>
        </w:rPr>
        <w:t xml:space="preserve"> to positively engage with it (p</w:t>
      </w:r>
      <w:r w:rsidR="00DF6686">
        <w:rPr>
          <w:rFonts w:ascii="Times New Roman" w:eastAsia="Times New Roman" w:hAnsi="Times New Roman"/>
          <w:bCs/>
          <w:spacing w:val="-6"/>
          <w:sz w:val="24"/>
          <w:szCs w:val="24"/>
          <w:lang w:val="en-GB" w:eastAsia="de-AT"/>
        </w:rPr>
        <w:t xml:space="preserve">aragraph </w:t>
      </w:r>
      <w:r w:rsidR="001152DC" w:rsidRPr="00DF6686">
        <w:rPr>
          <w:rFonts w:ascii="Times New Roman" w:eastAsia="Times New Roman" w:hAnsi="Times New Roman"/>
          <w:bCs/>
          <w:spacing w:val="-6"/>
          <w:sz w:val="24"/>
          <w:szCs w:val="24"/>
          <w:lang w:val="en-GB" w:eastAsia="de-AT"/>
        </w:rPr>
        <w:t>10)</w:t>
      </w:r>
      <w:r w:rsidR="00AB2449" w:rsidRPr="00DF6686">
        <w:rPr>
          <w:rFonts w:ascii="Times New Roman" w:eastAsia="Times New Roman" w:hAnsi="Times New Roman"/>
          <w:bCs/>
          <w:spacing w:val="-6"/>
          <w:sz w:val="24"/>
          <w:szCs w:val="24"/>
          <w:lang w:val="en-GB" w:eastAsia="de-AT"/>
        </w:rPr>
        <w:t>. It</w:t>
      </w:r>
      <w:r w:rsidR="001152DC" w:rsidRPr="00DF6686">
        <w:rPr>
          <w:rFonts w:ascii="Times New Roman" w:eastAsia="Times New Roman" w:hAnsi="Times New Roman"/>
          <w:bCs/>
          <w:spacing w:val="-6"/>
          <w:sz w:val="24"/>
          <w:szCs w:val="24"/>
          <w:lang w:val="en-GB" w:eastAsia="de-AT"/>
        </w:rPr>
        <w:t xml:space="preserve"> tak</w:t>
      </w:r>
      <w:r w:rsidR="00AB2449" w:rsidRPr="00DF6686">
        <w:rPr>
          <w:rFonts w:ascii="Times New Roman" w:eastAsia="Times New Roman" w:hAnsi="Times New Roman"/>
          <w:bCs/>
          <w:spacing w:val="-6"/>
          <w:sz w:val="24"/>
          <w:szCs w:val="24"/>
          <w:lang w:val="en-GB" w:eastAsia="de-AT"/>
        </w:rPr>
        <w:t>es</w:t>
      </w:r>
      <w:r w:rsidR="001152DC" w:rsidRPr="00DF6686">
        <w:rPr>
          <w:rFonts w:ascii="Times New Roman" w:eastAsia="Times New Roman" w:hAnsi="Times New Roman"/>
          <w:bCs/>
          <w:spacing w:val="-6"/>
          <w:sz w:val="24"/>
          <w:szCs w:val="24"/>
          <w:lang w:val="en-GB" w:eastAsia="de-AT"/>
        </w:rPr>
        <w:t xml:space="preserve"> note of the OHR’s decision to change electoral rules on the evening of the vote</w:t>
      </w:r>
      <w:r w:rsidR="00AB2449" w:rsidRPr="00DF6686">
        <w:rPr>
          <w:rFonts w:ascii="Times New Roman" w:eastAsia="Times New Roman" w:hAnsi="Times New Roman"/>
          <w:bCs/>
          <w:spacing w:val="-6"/>
          <w:sz w:val="24"/>
          <w:szCs w:val="24"/>
          <w:lang w:val="en-GB" w:eastAsia="de-AT"/>
        </w:rPr>
        <w:t>, while expressing concerns regarding the timing, transparency and lack of consultations in these processes (p</w:t>
      </w:r>
      <w:r w:rsidR="00DF6686">
        <w:rPr>
          <w:rFonts w:ascii="Times New Roman" w:eastAsia="Times New Roman" w:hAnsi="Times New Roman"/>
          <w:bCs/>
          <w:spacing w:val="-6"/>
          <w:sz w:val="24"/>
          <w:szCs w:val="24"/>
          <w:lang w:val="en-GB" w:eastAsia="de-AT"/>
        </w:rPr>
        <w:t>aragraph</w:t>
      </w:r>
      <w:r w:rsidR="00AB2449" w:rsidRPr="00DF6686">
        <w:rPr>
          <w:rFonts w:ascii="Times New Roman" w:eastAsia="Times New Roman" w:hAnsi="Times New Roman"/>
          <w:bCs/>
          <w:spacing w:val="-6"/>
          <w:sz w:val="24"/>
          <w:szCs w:val="24"/>
          <w:lang w:val="en-GB" w:eastAsia="de-AT"/>
        </w:rPr>
        <w:t xml:space="preserve"> 33)</w:t>
      </w:r>
      <w:r w:rsidR="001152DC" w:rsidRPr="00DF6686">
        <w:rPr>
          <w:rFonts w:ascii="Times New Roman" w:eastAsia="Times New Roman" w:hAnsi="Times New Roman"/>
          <w:bCs/>
          <w:spacing w:val="-6"/>
          <w:sz w:val="24"/>
          <w:szCs w:val="24"/>
          <w:lang w:val="en-GB" w:eastAsia="de-AT"/>
        </w:rPr>
        <w:t>.</w:t>
      </w:r>
    </w:p>
    <w:p w14:paraId="7210A9AE" w14:textId="7F476843" w:rsidR="00027E3E" w:rsidRPr="00DF6686" w:rsidRDefault="001152DC" w:rsidP="001152DC">
      <w:pPr>
        <w:pStyle w:val="ListParagraph"/>
        <w:spacing w:after="120" w:line="240" w:lineRule="auto"/>
        <w:ind w:left="0"/>
        <w:contextualSpacing w:val="0"/>
        <w:jc w:val="both"/>
        <w:rPr>
          <w:rFonts w:ascii="Times New Roman" w:eastAsia="Times New Roman" w:hAnsi="Times New Roman"/>
          <w:bCs/>
          <w:spacing w:val="-6"/>
          <w:sz w:val="24"/>
          <w:szCs w:val="24"/>
          <w:lang w:val="en-GB" w:eastAsia="de-AT"/>
        </w:rPr>
      </w:pPr>
      <w:r w:rsidRPr="00DF6686">
        <w:rPr>
          <w:rFonts w:ascii="Times New Roman" w:eastAsia="Times New Roman" w:hAnsi="Times New Roman"/>
          <w:bCs/>
          <w:spacing w:val="-6"/>
          <w:sz w:val="24"/>
          <w:szCs w:val="24"/>
          <w:lang w:val="en-GB" w:eastAsia="de-AT"/>
        </w:rPr>
        <w:t>As last year, the Parliament takes note of the concept of constituent peoples but stresses that this concept should not in any way lead to the discrimination of other citizens or imply any additional rights for people identifying with one of these groups compared to other citizens</w:t>
      </w:r>
      <w:r w:rsidR="008C2839" w:rsidRPr="00DF6686">
        <w:rPr>
          <w:rFonts w:ascii="Times New Roman" w:eastAsia="Times New Roman" w:hAnsi="Times New Roman"/>
          <w:bCs/>
          <w:spacing w:val="-6"/>
          <w:sz w:val="24"/>
          <w:szCs w:val="24"/>
          <w:lang w:val="en-GB" w:eastAsia="de-AT"/>
        </w:rPr>
        <w:t xml:space="preserve"> of Bosnia and Herzegovina</w:t>
      </w:r>
      <w:r w:rsidRPr="00DF6686">
        <w:rPr>
          <w:rFonts w:ascii="Times New Roman" w:eastAsia="Times New Roman" w:hAnsi="Times New Roman"/>
          <w:bCs/>
          <w:spacing w:val="-6"/>
          <w:sz w:val="24"/>
          <w:szCs w:val="24"/>
          <w:lang w:val="en-GB" w:eastAsia="de-AT"/>
        </w:rPr>
        <w:t xml:space="preserve">. It calls on </w:t>
      </w:r>
      <w:r w:rsidR="000B6BFD" w:rsidRPr="00DF6686">
        <w:rPr>
          <w:rFonts w:ascii="Times New Roman" w:eastAsia="Times New Roman" w:hAnsi="Times New Roman"/>
          <w:bCs/>
          <w:spacing w:val="-6"/>
          <w:sz w:val="24"/>
          <w:szCs w:val="24"/>
          <w:lang w:val="en-GB" w:eastAsia="de-AT"/>
        </w:rPr>
        <w:t xml:space="preserve">the </w:t>
      </w:r>
      <w:r w:rsidRPr="00DF6686">
        <w:rPr>
          <w:rFonts w:ascii="Times New Roman" w:eastAsia="Times New Roman" w:hAnsi="Times New Roman"/>
          <w:bCs/>
          <w:spacing w:val="-6"/>
          <w:sz w:val="24"/>
          <w:szCs w:val="24"/>
          <w:lang w:val="en-GB" w:eastAsia="de-AT"/>
        </w:rPr>
        <w:t>Commission</w:t>
      </w:r>
      <w:r w:rsidR="000B6BFD" w:rsidRPr="00DF6686">
        <w:rPr>
          <w:rFonts w:ascii="Times New Roman" w:eastAsia="Times New Roman" w:hAnsi="Times New Roman"/>
          <w:bCs/>
          <w:spacing w:val="-6"/>
          <w:sz w:val="24"/>
          <w:szCs w:val="24"/>
          <w:lang w:val="en-GB" w:eastAsia="de-AT"/>
        </w:rPr>
        <w:t xml:space="preserve"> and the </w:t>
      </w:r>
      <w:r w:rsidR="00DF6686">
        <w:rPr>
          <w:rFonts w:ascii="Times New Roman" w:eastAsia="Times New Roman" w:hAnsi="Times New Roman"/>
          <w:bCs/>
          <w:spacing w:val="-6"/>
          <w:sz w:val="24"/>
          <w:szCs w:val="24"/>
          <w:lang w:val="en-GB" w:eastAsia="de-AT"/>
        </w:rPr>
        <w:t>European External Action Service (</w:t>
      </w:r>
      <w:r w:rsidRPr="00DF6686">
        <w:rPr>
          <w:rFonts w:ascii="Times New Roman" w:eastAsia="Times New Roman" w:hAnsi="Times New Roman"/>
          <w:bCs/>
          <w:spacing w:val="-6"/>
          <w:sz w:val="24"/>
          <w:szCs w:val="24"/>
          <w:lang w:val="en-GB" w:eastAsia="de-AT"/>
        </w:rPr>
        <w:t>EEAS</w:t>
      </w:r>
      <w:r w:rsidR="00DF6686">
        <w:rPr>
          <w:rFonts w:ascii="Times New Roman" w:eastAsia="Times New Roman" w:hAnsi="Times New Roman"/>
          <w:bCs/>
          <w:spacing w:val="-6"/>
          <w:sz w:val="24"/>
          <w:szCs w:val="24"/>
          <w:lang w:val="en-GB" w:eastAsia="de-AT"/>
        </w:rPr>
        <w:t>)</w:t>
      </w:r>
      <w:r w:rsidRPr="00DF6686">
        <w:rPr>
          <w:rFonts w:ascii="Times New Roman" w:eastAsia="Times New Roman" w:hAnsi="Times New Roman"/>
          <w:bCs/>
          <w:spacing w:val="-6"/>
          <w:sz w:val="24"/>
          <w:szCs w:val="24"/>
          <w:lang w:val="en-GB" w:eastAsia="de-AT"/>
        </w:rPr>
        <w:t xml:space="preserve"> to provide financial support in line with merit and conditionality</w:t>
      </w:r>
      <w:r w:rsidR="00B16ED6" w:rsidRPr="00DF6686">
        <w:rPr>
          <w:rFonts w:ascii="Times New Roman" w:eastAsia="Times New Roman" w:hAnsi="Times New Roman"/>
          <w:bCs/>
          <w:spacing w:val="-6"/>
          <w:sz w:val="24"/>
          <w:szCs w:val="24"/>
          <w:lang w:val="en-GB" w:eastAsia="de-AT"/>
        </w:rPr>
        <w:t>, and to publish detailed explanations of and the measurement criteria for the 14 key priorities</w:t>
      </w:r>
      <w:r w:rsidRPr="00DF6686">
        <w:rPr>
          <w:rFonts w:ascii="Times New Roman" w:eastAsia="Times New Roman" w:hAnsi="Times New Roman"/>
          <w:bCs/>
          <w:spacing w:val="-6"/>
          <w:sz w:val="24"/>
          <w:szCs w:val="24"/>
          <w:lang w:val="en-GB" w:eastAsia="de-AT"/>
        </w:rPr>
        <w:t xml:space="preserve"> (</w:t>
      </w:r>
      <w:r w:rsidR="00DF6686" w:rsidRPr="00DF6686">
        <w:rPr>
          <w:rFonts w:ascii="Times New Roman" w:eastAsia="Times New Roman" w:hAnsi="Times New Roman"/>
          <w:bCs/>
          <w:spacing w:val="-6"/>
          <w:sz w:val="24"/>
          <w:szCs w:val="24"/>
          <w:lang w:val="en-GB" w:eastAsia="de-AT"/>
        </w:rPr>
        <w:t>p</w:t>
      </w:r>
      <w:r w:rsidR="00DF6686">
        <w:rPr>
          <w:rFonts w:ascii="Times New Roman" w:eastAsia="Times New Roman" w:hAnsi="Times New Roman"/>
          <w:bCs/>
          <w:spacing w:val="-6"/>
          <w:sz w:val="24"/>
          <w:szCs w:val="24"/>
          <w:lang w:val="en-GB" w:eastAsia="de-AT"/>
        </w:rPr>
        <w:t>aragraph</w:t>
      </w:r>
      <w:r w:rsidRPr="00DF6686">
        <w:rPr>
          <w:rFonts w:ascii="Times New Roman" w:eastAsia="Times New Roman" w:hAnsi="Times New Roman"/>
          <w:bCs/>
          <w:spacing w:val="-6"/>
          <w:sz w:val="24"/>
          <w:szCs w:val="24"/>
          <w:lang w:val="en-GB" w:eastAsia="de-AT"/>
        </w:rPr>
        <w:t xml:space="preserve"> 7); to invest in communication campaigns </w:t>
      </w:r>
      <w:r w:rsidR="00B16ED6" w:rsidRPr="00DF6686">
        <w:rPr>
          <w:rFonts w:ascii="Times New Roman" w:eastAsia="Times New Roman" w:hAnsi="Times New Roman"/>
          <w:bCs/>
          <w:spacing w:val="-6"/>
          <w:sz w:val="24"/>
          <w:szCs w:val="24"/>
          <w:lang w:val="en-GB" w:eastAsia="de-AT"/>
        </w:rPr>
        <w:t xml:space="preserve">and convene dialogues with civil society and the private sector </w:t>
      </w:r>
      <w:r w:rsidRPr="00DF6686">
        <w:rPr>
          <w:rFonts w:ascii="Times New Roman" w:eastAsia="Times New Roman" w:hAnsi="Times New Roman"/>
          <w:bCs/>
          <w:spacing w:val="-6"/>
          <w:sz w:val="24"/>
          <w:szCs w:val="24"/>
          <w:lang w:val="en-GB" w:eastAsia="de-AT"/>
        </w:rPr>
        <w:t>(</w:t>
      </w:r>
      <w:r w:rsidR="00DF6686" w:rsidRPr="00DF6686">
        <w:rPr>
          <w:rFonts w:ascii="Times New Roman" w:eastAsia="Times New Roman" w:hAnsi="Times New Roman"/>
          <w:bCs/>
          <w:spacing w:val="-6"/>
          <w:sz w:val="24"/>
          <w:szCs w:val="24"/>
          <w:lang w:val="en-GB" w:eastAsia="de-AT"/>
        </w:rPr>
        <w:t>p</w:t>
      </w:r>
      <w:r w:rsidR="00DF6686">
        <w:rPr>
          <w:rFonts w:ascii="Times New Roman" w:eastAsia="Times New Roman" w:hAnsi="Times New Roman"/>
          <w:bCs/>
          <w:spacing w:val="-6"/>
          <w:sz w:val="24"/>
          <w:szCs w:val="24"/>
          <w:lang w:val="en-GB" w:eastAsia="de-AT"/>
        </w:rPr>
        <w:t>aragraph</w:t>
      </w:r>
      <w:r w:rsidRPr="00DF6686">
        <w:rPr>
          <w:rFonts w:ascii="Times New Roman" w:eastAsia="Times New Roman" w:hAnsi="Times New Roman"/>
          <w:bCs/>
          <w:spacing w:val="-6"/>
          <w:sz w:val="24"/>
          <w:szCs w:val="24"/>
          <w:lang w:val="en-GB" w:eastAsia="de-AT"/>
        </w:rPr>
        <w:t xml:space="preserve"> 2</w:t>
      </w:r>
      <w:r w:rsidR="00AB2449" w:rsidRPr="00DF6686">
        <w:rPr>
          <w:rFonts w:ascii="Times New Roman" w:eastAsia="Times New Roman" w:hAnsi="Times New Roman"/>
          <w:bCs/>
          <w:spacing w:val="-6"/>
          <w:sz w:val="24"/>
          <w:szCs w:val="24"/>
          <w:lang w:val="en-GB" w:eastAsia="de-AT"/>
        </w:rPr>
        <w:t>3</w:t>
      </w:r>
      <w:r w:rsidRPr="00DF6686">
        <w:rPr>
          <w:rFonts w:ascii="Times New Roman" w:eastAsia="Times New Roman" w:hAnsi="Times New Roman"/>
          <w:bCs/>
          <w:spacing w:val="-6"/>
          <w:sz w:val="24"/>
          <w:szCs w:val="24"/>
          <w:lang w:val="en-GB" w:eastAsia="de-AT"/>
        </w:rPr>
        <w:t>);</w:t>
      </w:r>
      <w:r w:rsidR="00B16ED6" w:rsidRPr="00DF6686">
        <w:rPr>
          <w:rFonts w:ascii="Times New Roman" w:eastAsia="Times New Roman" w:hAnsi="Times New Roman"/>
          <w:bCs/>
          <w:spacing w:val="-6"/>
          <w:sz w:val="24"/>
          <w:szCs w:val="24"/>
          <w:lang w:val="en-GB" w:eastAsia="de-AT"/>
        </w:rPr>
        <w:t xml:space="preserve"> and</w:t>
      </w:r>
      <w:r w:rsidRPr="00DF6686">
        <w:rPr>
          <w:rFonts w:ascii="Times New Roman" w:eastAsia="Times New Roman" w:hAnsi="Times New Roman"/>
          <w:bCs/>
          <w:spacing w:val="-6"/>
          <w:sz w:val="24"/>
          <w:szCs w:val="24"/>
          <w:lang w:val="en-GB" w:eastAsia="de-AT"/>
        </w:rPr>
        <w:t xml:space="preserve"> </w:t>
      </w:r>
      <w:r w:rsidR="00B16ED6" w:rsidRPr="00DF6686">
        <w:rPr>
          <w:rFonts w:ascii="Times New Roman" w:eastAsia="Times New Roman" w:hAnsi="Times New Roman"/>
          <w:bCs/>
          <w:spacing w:val="-6"/>
          <w:sz w:val="24"/>
          <w:szCs w:val="24"/>
          <w:lang w:val="en-GB" w:eastAsia="de-AT"/>
        </w:rPr>
        <w:t>to develop guidelines on the application of conditionality (</w:t>
      </w:r>
      <w:r w:rsidR="00DF6686" w:rsidRPr="00DF6686">
        <w:rPr>
          <w:rFonts w:ascii="Times New Roman" w:eastAsia="Times New Roman" w:hAnsi="Times New Roman"/>
          <w:bCs/>
          <w:spacing w:val="-6"/>
          <w:sz w:val="24"/>
          <w:szCs w:val="24"/>
          <w:lang w:val="en-GB" w:eastAsia="de-AT"/>
        </w:rPr>
        <w:t>p</w:t>
      </w:r>
      <w:r w:rsidR="00DF6686">
        <w:rPr>
          <w:rFonts w:ascii="Times New Roman" w:eastAsia="Times New Roman" w:hAnsi="Times New Roman"/>
          <w:bCs/>
          <w:spacing w:val="-6"/>
          <w:sz w:val="24"/>
          <w:szCs w:val="24"/>
          <w:lang w:val="en-GB" w:eastAsia="de-AT"/>
        </w:rPr>
        <w:t>aragraph</w:t>
      </w:r>
      <w:r w:rsidR="00DF6686" w:rsidRPr="00DF6686">
        <w:rPr>
          <w:rFonts w:ascii="Times New Roman" w:eastAsia="Times New Roman" w:hAnsi="Times New Roman"/>
          <w:bCs/>
          <w:spacing w:val="-6"/>
          <w:sz w:val="24"/>
          <w:szCs w:val="24"/>
          <w:lang w:val="en-GB" w:eastAsia="de-AT"/>
        </w:rPr>
        <w:t xml:space="preserve"> </w:t>
      </w:r>
      <w:r w:rsidR="00B16ED6" w:rsidRPr="00DF6686">
        <w:rPr>
          <w:rFonts w:ascii="Times New Roman" w:eastAsia="Times New Roman" w:hAnsi="Times New Roman"/>
          <w:bCs/>
          <w:spacing w:val="-6"/>
          <w:sz w:val="24"/>
          <w:szCs w:val="24"/>
          <w:lang w:val="en-GB" w:eastAsia="de-AT"/>
        </w:rPr>
        <w:t>2</w:t>
      </w:r>
      <w:r w:rsidR="00AB2449" w:rsidRPr="00DF6686">
        <w:rPr>
          <w:rFonts w:ascii="Times New Roman" w:eastAsia="Times New Roman" w:hAnsi="Times New Roman"/>
          <w:bCs/>
          <w:spacing w:val="-6"/>
          <w:sz w:val="24"/>
          <w:szCs w:val="24"/>
          <w:lang w:val="en-GB" w:eastAsia="de-AT"/>
        </w:rPr>
        <w:t>5</w:t>
      </w:r>
      <w:r w:rsidR="00B16ED6" w:rsidRPr="00DF6686">
        <w:rPr>
          <w:rFonts w:ascii="Times New Roman" w:eastAsia="Times New Roman" w:hAnsi="Times New Roman"/>
          <w:bCs/>
          <w:spacing w:val="-6"/>
          <w:sz w:val="24"/>
          <w:szCs w:val="24"/>
          <w:lang w:val="en-GB" w:eastAsia="de-AT"/>
        </w:rPr>
        <w:t>). It</w:t>
      </w:r>
      <w:r w:rsidRPr="00DF6686">
        <w:rPr>
          <w:rFonts w:ascii="Times New Roman" w:eastAsia="Times New Roman" w:hAnsi="Times New Roman"/>
          <w:bCs/>
          <w:spacing w:val="-6"/>
          <w:sz w:val="24"/>
          <w:szCs w:val="24"/>
          <w:lang w:val="en-GB" w:eastAsia="de-AT"/>
        </w:rPr>
        <w:t xml:space="preserve"> recalls its position that EU funds for projects in the RS entity </w:t>
      </w:r>
      <w:r w:rsidR="00536ADA" w:rsidRPr="00DF6686">
        <w:rPr>
          <w:rFonts w:ascii="Times New Roman" w:eastAsia="Times New Roman" w:hAnsi="Times New Roman"/>
          <w:bCs/>
          <w:spacing w:val="-6"/>
          <w:sz w:val="24"/>
          <w:szCs w:val="24"/>
          <w:lang w:val="en-GB" w:eastAsia="de-AT"/>
        </w:rPr>
        <w:t>‘</w:t>
      </w:r>
      <w:r w:rsidRPr="00DF6686">
        <w:rPr>
          <w:rFonts w:ascii="Times New Roman" w:eastAsia="Times New Roman" w:hAnsi="Times New Roman"/>
          <w:bCs/>
          <w:spacing w:val="-6"/>
          <w:sz w:val="24"/>
          <w:szCs w:val="24"/>
          <w:lang w:val="en-GB" w:eastAsia="de-AT"/>
        </w:rPr>
        <w:t>must remain frozen</w:t>
      </w:r>
      <w:r w:rsidR="00536ADA" w:rsidRPr="00DF6686">
        <w:rPr>
          <w:rFonts w:ascii="Times New Roman" w:eastAsia="Times New Roman" w:hAnsi="Times New Roman"/>
          <w:bCs/>
          <w:spacing w:val="-6"/>
          <w:sz w:val="24"/>
          <w:szCs w:val="24"/>
          <w:lang w:val="en-GB" w:eastAsia="de-AT"/>
        </w:rPr>
        <w:t>’</w:t>
      </w:r>
      <w:r w:rsidRPr="00DF6686">
        <w:rPr>
          <w:rFonts w:ascii="Times New Roman" w:eastAsia="Times New Roman" w:hAnsi="Times New Roman"/>
          <w:bCs/>
          <w:spacing w:val="-6"/>
          <w:sz w:val="24"/>
          <w:szCs w:val="24"/>
          <w:lang w:val="en-GB" w:eastAsia="de-AT"/>
        </w:rPr>
        <w:t xml:space="preserve"> (</w:t>
      </w:r>
      <w:r w:rsidR="00DF6686" w:rsidRPr="00DF6686">
        <w:rPr>
          <w:rFonts w:ascii="Times New Roman" w:eastAsia="Times New Roman" w:hAnsi="Times New Roman"/>
          <w:bCs/>
          <w:spacing w:val="-6"/>
          <w:sz w:val="24"/>
          <w:szCs w:val="24"/>
          <w:lang w:val="en-GB" w:eastAsia="de-AT"/>
        </w:rPr>
        <w:t>p</w:t>
      </w:r>
      <w:r w:rsidR="00DF6686">
        <w:rPr>
          <w:rFonts w:ascii="Times New Roman" w:eastAsia="Times New Roman" w:hAnsi="Times New Roman"/>
          <w:bCs/>
          <w:spacing w:val="-6"/>
          <w:sz w:val="24"/>
          <w:szCs w:val="24"/>
          <w:lang w:val="en-GB" w:eastAsia="de-AT"/>
        </w:rPr>
        <w:t>aragraph</w:t>
      </w:r>
      <w:r w:rsidRPr="00DF6686">
        <w:rPr>
          <w:rFonts w:ascii="Times New Roman" w:eastAsia="Times New Roman" w:hAnsi="Times New Roman"/>
          <w:bCs/>
          <w:spacing w:val="-6"/>
          <w:sz w:val="24"/>
          <w:szCs w:val="24"/>
          <w:lang w:val="en-GB" w:eastAsia="de-AT"/>
        </w:rPr>
        <w:t xml:space="preserve"> 2</w:t>
      </w:r>
      <w:r w:rsidR="00AB2449" w:rsidRPr="00DF6686">
        <w:rPr>
          <w:rFonts w:ascii="Times New Roman" w:eastAsia="Times New Roman" w:hAnsi="Times New Roman"/>
          <w:bCs/>
          <w:spacing w:val="-6"/>
          <w:sz w:val="24"/>
          <w:szCs w:val="24"/>
          <w:lang w:val="en-GB" w:eastAsia="de-AT"/>
        </w:rPr>
        <w:t>6</w:t>
      </w:r>
      <w:r w:rsidRPr="00DF6686">
        <w:rPr>
          <w:rFonts w:ascii="Times New Roman" w:eastAsia="Times New Roman" w:hAnsi="Times New Roman"/>
          <w:bCs/>
          <w:spacing w:val="-6"/>
          <w:sz w:val="24"/>
          <w:szCs w:val="24"/>
          <w:lang w:val="en-GB" w:eastAsia="de-AT"/>
        </w:rPr>
        <w:t>). A</w:t>
      </w:r>
      <w:r w:rsidR="00027E3E" w:rsidRPr="00DF6686">
        <w:rPr>
          <w:rFonts w:ascii="Times New Roman" w:eastAsia="Times New Roman" w:hAnsi="Times New Roman"/>
          <w:bCs/>
          <w:spacing w:val="-6"/>
          <w:sz w:val="24"/>
          <w:szCs w:val="24"/>
          <w:lang w:val="en-GB" w:eastAsia="de-AT"/>
        </w:rPr>
        <w:t xml:space="preserve">s regards reforms to strengthen the rule of law, the </w:t>
      </w:r>
      <w:r w:rsidRPr="00DF6686">
        <w:rPr>
          <w:rFonts w:ascii="Times New Roman" w:eastAsia="Times New Roman" w:hAnsi="Times New Roman"/>
          <w:bCs/>
          <w:spacing w:val="-6"/>
          <w:sz w:val="24"/>
          <w:szCs w:val="24"/>
          <w:lang w:val="en-GB" w:eastAsia="de-AT"/>
        </w:rPr>
        <w:t>resolution</w:t>
      </w:r>
      <w:r w:rsidR="00027E3E" w:rsidRPr="00DF6686">
        <w:rPr>
          <w:rFonts w:ascii="Times New Roman" w:eastAsia="Times New Roman" w:hAnsi="Times New Roman"/>
          <w:bCs/>
          <w:spacing w:val="-6"/>
          <w:sz w:val="24"/>
          <w:szCs w:val="24"/>
          <w:lang w:val="en-GB" w:eastAsia="de-AT"/>
        </w:rPr>
        <w:t xml:space="preserve"> is in line with Commission recommendations; it notably welcomes the draft integrity amendments to the Law on the High Judicial and Prosecutorial Council (HJPC) and calls for their parliamentary adoption and urges new legislation on anti-money laundering</w:t>
      </w:r>
      <w:r w:rsidRPr="00DF6686">
        <w:rPr>
          <w:rFonts w:ascii="Times New Roman" w:eastAsia="Times New Roman" w:hAnsi="Times New Roman"/>
          <w:bCs/>
          <w:spacing w:val="-6"/>
          <w:sz w:val="24"/>
          <w:szCs w:val="24"/>
          <w:lang w:val="en-GB" w:eastAsia="de-AT"/>
        </w:rPr>
        <w:t>. T</w:t>
      </w:r>
      <w:r w:rsidR="00027E3E" w:rsidRPr="00DF6686">
        <w:rPr>
          <w:rFonts w:ascii="Times New Roman" w:eastAsia="Times New Roman" w:hAnsi="Times New Roman"/>
          <w:bCs/>
          <w:spacing w:val="-6"/>
          <w:sz w:val="24"/>
          <w:szCs w:val="24"/>
          <w:lang w:val="en-GB" w:eastAsia="de-AT"/>
        </w:rPr>
        <w:t xml:space="preserve">he </w:t>
      </w:r>
      <w:r w:rsidR="003D6E15">
        <w:rPr>
          <w:rFonts w:ascii="Times New Roman" w:eastAsia="Times New Roman" w:hAnsi="Times New Roman"/>
          <w:bCs/>
          <w:spacing w:val="-6"/>
          <w:sz w:val="24"/>
          <w:szCs w:val="24"/>
          <w:lang w:val="en-GB" w:eastAsia="de-AT"/>
        </w:rPr>
        <w:t>resolution</w:t>
      </w:r>
      <w:r w:rsidR="00027E3E" w:rsidRPr="00DF6686">
        <w:rPr>
          <w:rFonts w:ascii="Times New Roman" w:eastAsia="Times New Roman" w:hAnsi="Times New Roman"/>
          <w:bCs/>
          <w:spacing w:val="-6"/>
          <w:sz w:val="24"/>
          <w:szCs w:val="24"/>
          <w:lang w:val="en-GB" w:eastAsia="de-AT"/>
        </w:rPr>
        <w:t xml:space="preserve"> also calls on </w:t>
      </w:r>
      <w:r w:rsidR="008C2839" w:rsidRPr="00DF6686">
        <w:rPr>
          <w:rFonts w:ascii="Times New Roman" w:eastAsia="Times New Roman" w:hAnsi="Times New Roman"/>
          <w:bCs/>
          <w:spacing w:val="-6"/>
          <w:sz w:val="24"/>
          <w:szCs w:val="24"/>
          <w:lang w:val="en-GB" w:eastAsia="de-AT"/>
        </w:rPr>
        <w:t>Bosnia and Herzegovina</w:t>
      </w:r>
      <w:r w:rsidR="00B027A1" w:rsidRPr="00DF6686">
        <w:rPr>
          <w:rFonts w:ascii="Times New Roman" w:eastAsia="Times New Roman" w:hAnsi="Times New Roman"/>
          <w:bCs/>
          <w:spacing w:val="-6"/>
          <w:sz w:val="24"/>
          <w:szCs w:val="24"/>
          <w:lang w:val="en-GB" w:eastAsia="de-AT"/>
        </w:rPr>
        <w:t xml:space="preserve"> </w:t>
      </w:r>
      <w:r w:rsidR="00027E3E" w:rsidRPr="00DF6686">
        <w:rPr>
          <w:rFonts w:ascii="Times New Roman" w:eastAsia="Times New Roman" w:hAnsi="Times New Roman"/>
          <w:bCs/>
          <w:spacing w:val="-6"/>
          <w:sz w:val="24"/>
          <w:szCs w:val="24"/>
          <w:lang w:val="en-GB" w:eastAsia="de-AT"/>
        </w:rPr>
        <w:t xml:space="preserve">to swiftly ratify the three regional mobility agreements, and to enable visa-free travel between </w:t>
      </w:r>
      <w:r w:rsidR="008C2839" w:rsidRPr="00DF6686">
        <w:rPr>
          <w:rFonts w:ascii="Times New Roman" w:eastAsia="Times New Roman" w:hAnsi="Times New Roman"/>
          <w:bCs/>
          <w:spacing w:val="-6"/>
          <w:sz w:val="24"/>
          <w:szCs w:val="24"/>
          <w:lang w:val="en-GB" w:eastAsia="de-AT"/>
        </w:rPr>
        <w:t>Bosnia and Herzegovina</w:t>
      </w:r>
      <w:r w:rsidR="00B027A1" w:rsidRPr="00DF6686">
        <w:rPr>
          <w:rFonts w:ascii="Times New Roman" w:eastAsia="Times New Roman" w:hAnsi="Times New Roman"/>
          <w:bCs/>
          <w:spacing w:val="-6"/>
          <w:sz w:val="24"/>
          <w:szCs w:val="24"/>
          <w:lang w:val="en-GB" w:eastAsia="de-AT"/>
        </w:rPr>
        <w:t xml:space="preserve"> </w:t>
      </w:r>
      <w:r w:rsidR="00027E3E" w:rsidRPr="00DF6686">
        <w:rPr>
          <w:rFonts w:ascii="Times New Roman" w:eastAsia="Times New Roman" w:hAnsi="Times New Roman"/>
          <w:bCs/>
          <w:spacing w:val="-6"/>
          <w:sz w:val="24"/>
          <w:szCs w:val="24"/>
          <w:lang w:val="en-GB" w:eastAsia="de-AT"/>
        </w:rPr>
        <w:t>and Kosovo</w:t>
      </w:r>
      <w:r w:rsidRPr="00DF6686">
        <w:rPr>
          <w:rFonts w:ascii="Times New Roman" w:eastAsia="Times New Roman" w:hAnsi="Times New Roman"/>
          <w:bCs/>
          <w:spacing w:val="-6"/>
          <w:sz w:val="24"/>
          <w:szCs w:val="24"/>
          <w:lang w:val="en-GB" w:eastAsia="de-AT"/>
        </w:rPr>
        <w:t>.</w:t>
      </w:r>
    </w:p>
    <w:p w14:paraId="141DD547" w14:textId="77777777" w:rsidR="002F2955" w:rsidRPr="00DF6686" w:rsidRDefault="00963420" w:rsidP="0084310E">
      <w:pPr>
        <w:widowControl w:val="0"/>
        <w:numPr>
          <w:ilvl w:val="0"/>
          <w:numId w:val="34"/>
        </w:numPr>
        <w:ind w:left="567" w:hanging="567"/>
        <w:rPr>
          <w:rFonts w:ascii="Times New Roman" w:hAnsi="Times New Roman"/>
          <w:b/>
          <w:szCs w:val="24"/>
        </w:rPr>
      </w:pPr>
      <w:r w:rsidRPr="00DF6686">
        <w:rPr>
          <w:rFonts w:ascii="Times New Roman" w:hAnsi="Times New Roman"/>
          <w:b/>
          <w:szCs w:val="24"/>
        </w:rPr>
        <w:t xml:space="preserve">Response to requests and overview of action taken, or intended to be taken, by </w:t>
      </w:r>
      <w:r w:rsidRPr="00DF6686">
        <w:rPr>
          <w:rFonts w:ascii="Times New Roman" w:hAnsi="Times New Roman"/>
          <w:b/>
          <w:szCs w:val="24"/>
        </w:rPr>
        <w:lastRenderedPageBreak/>
        <w:t>the Commission:</w:t>
      </w:r>
      <w:r w:rsidR="00146971" w:rsidRPr="00DF6686">
        <w:rPr>
          <w:rFonts w:ascii="Times New Roman" w:hAnsi="Times New Roman"/>
          <w:b/>
          <w:szCs w:val="24"/>
        </w:rPr>
        <w:t xml:space="preserve"> </w:t>
      </w:r>
    </w:p>
    <w:p w14:paraId="1FBD0CFA" w14:textId="04BC491A" w:rsidR="003E5898" w:rsidRPr="00DF6686" w:rsidRDefault="003E5898" w:rsidP="00DF6686">
      <w:pPr>
        <w:pStyle w:val="ListParagraph"/>
        <w:spacing w:after="120" w:line="240" w:lineRule="auto"/>
        <w:ind w:left="0"/>
        <w:contextualSpacing w:val="0"/>
        <w:jc w:val="both"/>
        <w:rPr>
          <w:rFonts w:ascii="Times New Roman" w:eastAsia="Times New Roman" w:hAnsi="Times New Roman"/>
          <w:bCs/>
          <w:spacing w:val="-6"/>
          <w:sz w:val="24"/>
          <w:szCs w:val="24"/>
          <w:lang w:val="en-GB" w:eastAsia="de-AT"/>
        </w:rPr>
      </w:pPr>
      <w:r w:rsidRPr="00DF6686">
        <w:rPr>
          <w:rFonts w:ascii="Times New Roman" w:eastAsia="Times New Roman" w:hAnsi="Times New Roman"/>
          <w:bCs/>
          <w:spacing w:val="-6"/>
          <w:sz w:val="24"/>
          <w:szCs w:val="24"/>
          <w:lang w:val="en-GB" w:eastAsia="de-AT"/>
        </w:rPr>
        <w:t xml:space="preserve">The Commission welcomes the support this resolution provides for </w:t>
      </w:r>
      <w:r w:rsidR="00DF6686">
        <w:rPr>
          <w:rFonts w:ascii="Times New Roman" w:eastAsia="Times New Roman" w:hAnsi="Times New Roman"/>
          <w:bCs/>
          <w:spacing w:val="-6"/>
          <w:sz w:val="24"/>
          <w:szCs w:val="24"/>
          <w:lang w:val="en-GB" w:eastAsia="de-AT"/>
        </w:rPr>
        <w:t>its</w:t>
      </w:r>
      <w:r w:rsidRPr="00DF6686">
        <w:rPr>
          <w:rFonts w:ascii="Times New Roman" w:eastAsia="Times New Roman" w:hAnsi="Times New Roman"/>
          <w:bCs/>
          <w:spacing w:val="-6"/>
          <w:sz w:val="24"/>
          <w:szCs w:val="24"/>
          <w:lang w:val="en-GB" w:eastAsia="de-AT"/>
        </w:rPr>
        <w:t xml:space="preserve"> 2022 Report. The Commission shares the</w:t>
      </w:r>
      <w:r w:rsidR="00E216CF" w:rsidRPr="00DF6686">
        <w:rPr>
          <w:rFonts w:ascii="Times New Roman" w:eastAsia="Times New Roman" w:hAnsi="Times New Roman"/>
          <w:bCs/>
          <w:spacing w:val="-6"/>
          <w:sz w:val="24"/>
          <w:szCs w:val="24"/>
          <w:lang w:val="en-GB" w:eastAsia="de-AT"/>
        </w:rPr>
        <w:t xml:space="preserve"> European</w:t>
      </w:r>
      <w:r w:rsidRPr="00DF6686">
        <w:rPr>
          <w:rFonts w:ascii="Times New Roman" w:eastAsia="Times New Roman" w:hAnsi="Times New Roman"/>
          <w:bCs/>
          <w:spacing w:val="-6"/>
          <w:sz w:val="24"/>
          <w:szCs w:val="24"/>
          <w:lang w:val="en-GB" w:eastAsia="de-AT"/>
        </w:rPr>
        <w:t xml:space="preserve"> Parliament’s assessment on the situation in </w:t>
      </w:r>
      <w:r w:rsidR="008C2839" w:rsidRPr="00DF6686">
        <w:rPr>
          <w:rFonts w:ascii="Times New Roman" w:eastAsia="Times New Roman" w:hAnsi="Times New Roman"/>
          <w:bCs/>
          <w:spacing w:val="-6"/>
          <w:sz w:val="24"/>
          <w:szCs w:val="24"/>
          <w:lang w:val="en-GB" w:eastAsia="de-AT"/>
        </w:rPr>
        <w:t>Bosnia and Herzegovina</w:t>
      </w:r>
      <w:r w:rsidR="00B027A1" w:rsidRPr="00DF6686">
        <w:rPr>
          <w:rFonts w:ascii="Times New Roman" w:eastAsia="Times New Roman" w:hAnsi="Times New Roman"/>
          <w:bCs/>
          <w:spacing w:val="-6"/>
          <w:sz w:val="24"/>
          <w:szCs w:val="24"/>
          <w:lang w:val="en-GB" w:eastAsia="de-AT"/>
        </w:rPr>
        <w:t xml:space="preserve"> </w:t>
      </w:r>
      <w:r w:rsidRPr="00DF6686">
        <w:rPr>
          <w:rFonts w:ascii="Times New Roman" w:eastAsia="Times New Roman" w:hAnsi="Times New Roman"/>
          <w:bCs/>
          <w:spacing w:val="-6"/>
          <w:sz w:val="24"/>
          <w:szCs w:val="24"/>
          <w:lang w:val="en-GB" w:eastAsia="de-AT"/>
        </w:rPr>
        <w:t>and the need to deliver concrete results on fulfilling the 14 key priorities</w:t>
      </w:r>
      <w:r w:rsidR="00522651" w:rsidRPr="00DF6686">
        <w:rPr>
          <w:rFonts w:ascii="Times New Roman" w:eastAsia="Times New Roman" w:hAnsi="Times New Roman"/>
          <w:bCs/>
          <w:spacing w:val="-6"/>
          <w:sz w:val="24"/>
          <w:szCs w:val="24"/>
          <w:lang w:val="en-GB" w:eastAsia="de-AT"/>
        </w:rPr>
        <w:t xml:space="preserve"> for the opening of accession negotiations</w:t>
      </w:r>
      <w:r w:rsidRPr="00DF6686">
        <w:rPr>
          <w:rFonts w:ascii="Times New Roman" w:eastAsia="Times New Roman" w:hAnsi="Times New Roman"/>
          <w:bCs/>
          <w:spacing w:val="-6"/>
          <w:sz w:val="24"/>
          <w:szCs w:val="24"/>
          <w:lang w:val="en-GB" w:eastAsia="de-AT"/>
        </w:rPr>
        <w:t xml:space="preserve">, following the granting of candidate status. The Commission also expects all political leaders to put a stop to secessionist and divisive actions and rhetoric. The Commission will continue to support </w:t>
      </w:r>
      <w:r w:rsidR="008C2839" w:rsidRPr="00DF6686">
        <w:rPr>
          <w:rFonts w:ascii="Times New Roman" w:eastAsia="Times New Roman" w:hAnsi="Times New Roman"/>
          <w:bCs/>
          <w:spacing w:val="-6"/>
          <w:sz w:val="24"/>
          <w:szCs w:val="24"/>
          <w:lang w:val="en-GB" w:eastAsia="de-AT"/>
        </w:rPr>
        <w:t xml:space="preserve">Bosnia and Herzegovina </w:t>
      </w:r>
      <w:r w:rsidRPr="00DF6686">
        <w:rPr>
          <w:rFonts w:ascii="Times New Roman" w:eastAsia="Times New Roman" w:hAnsi="Times New Roman"/>
          <w:bCs/>
          <w:spacing w:val="-6"/>
          <w:sz w:val="24"/>
          <w:szCs w:val="24"/>
          <w:lang w:val="en-GB" w:eastAsia="de-AT"/>
        </w:rPr>
        <w:t>in all these areas.</w:t>
      </w:r>
    </w:p>
    <w:p w14:paraId="7D84BEA2" w14:textId="18CAA0BF" w:rsidR="007035AD" w:rsidRPr="00DF6686" w:rsidRDefault="003F4D2B" w:rsidP="00DF6686">
      <w:pPr>
        <w:pStyle w:val="ListParagraph"/>
        <w:spacing w:after="120" w:line="240" w:lineRule="auto"/>
        <w:ind w:left="0"/>
        <w:contextualSpacing w:val="0"/>
        <w:jc w:val="both"/>
        <w:rPr>
          <w:rFonts w:ascii="Times New Roman" w:hAnsi="Times New Roman"/>
          <w:noProof/>
          <w:sz w:val="24"/>
          <w:szCs w:val="24"/>
          <w:lang w:val="en-GB"/>
        </w:rPr>
      </w:pPr>
      <w:r w:rsidRPr="00DF6686">
        <w:rPr>
          <w:rFonts w:ascii="Times New Roman" w:hAnsi="Times New Roman"/>
          <w:noProof/>
          <w:sz w:val="24"/>
          <w:szCs w:val="24"/>
          <w:lang w:val="en-GB"/>
        </w:rPr>
        <w:t>In its 2023 Communication on enlargement policy, the Commission recommended the opening of EU accession negotiations with Bosnia and Herzegovina, once the necessary degree of compliance with the membership criteria is achieved.</w:t>
      </w:r>
      <w:r w:rsidRPr="00DF6686">
        <w:rPr>
          <w:rStyle w:val="FootnoteReference"/>
          <w:rFonts w:ascii="Times New Roman" w:hAnsi="Times New Roman"/>
          <w:noProof/>
          <w:sz w:val="24"/>
          <w:szCs w:val="24"/>
          <w:lang w:val="en-GB"/>
        </w:rPr>
        <w:footnoteReference w:id="1"/>
      </w:r>
      <w:r w:rsidRPr="00DF6686">
        <w:rPr>
          <w:rFonts w:ascii="Times New Roman" w:hAnsi="Times New Roman"/>
          <w:noProof/>
          <w:sz w:val="24"/>
          <w:szCs w:val="24"/>
          <w:lang w:val="en-GB"/>
        </w:rPr>
        <w:t xml:space="preserve"> In line with the Commission’s recommendation, in December 2023, the European Council decided that it w</w:t>
      </w:r>
      <w:r w:rsidR="00DF6686">
        <w:rPr>
          <w:rFonts w:ascii="Times New Roman" w:hAnsi="Times New Roman"/>
          <w:noProof/>
          <w:sz w:val="24"/>
          <w:szCs w:val="24"/>
          <w:lang w:val="en-GB"/>
        </w:rPr>
        <w:t>ould</w:t>
      </w:r>
      <w:r w:rsidRPr="00DF6686">
        <w:rPr>
          <w:rFonts w:ascii="Times New Roman" w:hAnsi="Times New Roman"/>
          <w:noProof/>
          <w:sz w:val="24"/>
          <w:szCs w:val="24"/>
          <w:lang w:val="en-GB"/>
        </w:rPr>
        <w:t xml:space="preserve"> open accession negotiations with Bosnia and Herzegovina, once the necessary degree of compliance with the membership criteria </w:t>
      </w:r>
      <w:r w:rsidR="00DF6686">
        <w:rPr>
          <w:rFonts w:ascii="Times New Roman" w:hAnsi="Times New Roman"/>
          <w:noProof/>
          <w:sz w:val="24"/>
          <w:szCs w:val="24"/>
          <w:lang w:val="en-GB"/>
        </w:rPr>
        <w:t>was</w:t>
      </w:r>
      <w:r w:rsidRPr="00DF6686">
        <w:rPr>
          <w:rFonts w:ascii="Times New Roman" w:hAnsi="Times New Roman"/>
          <w:noProof/>
          <w:sz w:val="24"/>
          <w:szCs w:val="24"/>
          <w:lang w:val="en-GB"/>
        </w:rPr>
        <w:t xml:space="preserve"> achieved. The European Council invited the Commission to report to the Council on progress at the latest in March 2024, with a view to making a decision.</w:t>
      </w:r>
      <w:r w:rsidRPr="00DF6686">
        <w:rPr>
          <w:rStyle w:val="FootnoteReference"/>
          <w:rFonts w:ascii="Times New Roman" w:hAnsi="Times New Roman"/>
          <w:noProof/>
          <w:sz w:val="24"/>
          <w:szCs w:val="24"/>
          <w:lang w:val="en-GB"/>
        </w:rPr>
        <w:footnoteReference w:id="2"/>
      </w:r>
      <w:r w:rsidRPr="00DF6686">
        <w:rPr>
          <w:rFonts w:ascii="Times New Roman" w:hAnsi="Times New Roman"/>
          <w:noProof/>
          <w:sz w:val="24"/>
          <w:szCs w:val="24"/>
          <w:lang w:val="en-GB"/>
        </w:rPr>
        <w:t xml:space="preserve"> The Commission reported to Council on 12 March 2024, considering that Bosnia and Herzegovina had achieved the necessary level of compliance with the membership criteria, and recommending to the Council to open accession negotiations with Bosnia and Herzegovina.</w:t>
      </w:r>
      <w:r w:rsidR="007035AD" w:rsidRPr="00DF6686">
        <w:rPr>
          <w:rFonts w:ascii="Times New Roman" w:hAnsi="Times New Roman"/>
          <w:noProof/>
          <w:sz w:val="24"/>
          <w:szCs w:val="24"/>
          <w:lang w:val="en-GB"/>
        </w:rPr>
        <w:t xml:space="preserve"> Furthermore, the Commission recommends that the Council adopts the negotiating framework once Bosnia and Herzegovina has taken further steps in line with the Commission’s report. The Commission is ready to report back to the Council about the progress made by Bosnia and Herzegovina in relation to these steps</w:t>
      </w:r>
      <w:r w:rsidR="007035AD" w:rsidRPr="00DF6686">
        <w:rPr>
          <w:rStyle w:val="FootnoteReference"/>
          <w:rFonts w:ascii="Times New Roman" w:hAnsi="Times New Roman"/>
          <w:noProof/>
          <w:sz w:val="24"/>
          <w:szCs w:val="24"/>
          <w:lang w:val="en-GB"/>
        </w:rPr>
        <w:footnoteReference w:id="3"/>
      </w:r>
      <w:r w:rsidR="007035AD" w:rsidRPr="00DF6686">
        <w:rPr>
          <w:rFonts w:ascii="Times New Roman" w:hAnsi="Times New Roman"/>
          <w:noProof/>
          <w:sz w:val="24"/>
          <w:szCs w:val="24"/>
          <w:lang w:val="en-GB"/>
        </w:rPr>
        <w:t>. Building on the Commission’s recommendation, on 21 March 2024 the European Council decided to open accession negotiations with Bosnia and Herzegovina. The European Council invited the Commission to prepare the negotiating framework with a view to its adoption by the Council the moment all relevant steps set out in the Commission’s recommendation of 12 October 2022 are taken.</w:t>
      </w:r>
    </w:p>
    <w:p w14:paraId="0CC6ABF2" w14:textId="7CE52336" w:rsidR="00B16ED6" w:rsidRPr="00DF6686" w:rsidRDefault="00B16ED6" w:rsidP="00DF6686">
      <w:pPr>
        <w:pStyle w:val="ListParagraph"/>
        <w:spacing w:after="120" w:line="240" w:lineRule="auto"/>
        <w:ind w:left="0"/>
        <w:contextualSpacing w:val="0"/>
        <w:jc w:val="both"/>
        <w:rPr>
          <w:rFonts w:ascii="Times New Roman" w:eastAsia="Times New Roman" w:hAnsi="Times New Roman"/>
          <w:bCs/>
          <w:spacing w:val="-6"/>
          <w:sz w:val="24"/>
          <w:szCs w:val="24"/>
          <w:lang w:val="en-GB" w:eastAsia="de-AT"/>
        </w:rPr>
      </w:pPr>
      <w:r w:rsidRPr="00DF6686">
        <w:rPr>
          <w:rFonts w:ascii="Times New Roman" w:eastAsia="Times New Roman" w:hAnsi="Times New Roman"/>
          <w:bCs/>
          <w:spacing w:val="-6"/>
          <w:sz w:val="24"/>
          <w:szCs w:val="24"/>
          <w:lang w:val="en-GB" w:eastAsia="de-AT"/>
        </w:rPr>
        <w:t>On specific requests contained in the resolution, the Commission’s position is the following</w:t>
      </w:r>
      <w:r w:rsidR="00522651" w:rsidRPr="00DF6686">
        <w:rPr>
          <w:rFonts w:ascii="Times New Roman" w:eastAsia="Times New Roman" w:hAnsi="Times New Roman"/>
          <w:bCs/>
          <w:spacing w:val="-6"/>
          <w:sz w:val="24"/>
          <w:szCs w:val="24"/>
          <w:lang w:val="en-GB" w:eastAsia="de-AT"/>
        </w:rPr>
        <w:t>:</w:t>
      </w:r>
    </w:p>
    <w:p w14:paraId="356F68F9" w14:textId="696D5D2E" w:rsidR="003E5898" w:rsidRPr="00DF6686" w:rsidRDefault="00D96FC8" w:rsidP="00DF6686">
      <w:pPr>
        <w:pStyle w:val="ListParagraph"/>
        <w:spacing w:after="120" w:line="240" w:lineRule="auto"/>
        <w:ind w:left="0"/>
        <w:contextualSpacing w:val="0"/>
        <w:jc w:val="both"/>
        <w:rPr>
          <w:rFonts w:ascii="Times New Roman" w:eastAsia="Times New Roman" w:hAnsi="Times New Roman"/>
          <w:bCs/>
          <w:spacing w:val="-6"/>
          <w:sz w:val="24"/>
          <w:szCs w:val="24"/>
          <w:lang w:val="en-GB" w:eastAsia="de-AT"/>
        </w:rPr>
      </w:pPr>
      <w:r w:rsidRPr="00DF6686">
        <w:rPr>
          <w:rFonts w:ascii="Times New Roman" w:eastAsia="Times New Roman" w:hAnsi="Times New Roman"/>
          <w:bCs/>
          <w:spacing w:val="-6"/>
          <w:sz w:val="24"/>
          <w:szCs w:val="24"/>
          <w:lang w:val="en-GB" w:eastAsia="de-AT"/>
        </w:rPr>
        <w:t xml:space="preserve">As regards </w:t>
      </w:r>
      <w:r w:rsidRPr="00DF6686">
        <w:rPr>
          <w:rFonts w:ascii="Times New Roman" w:eastAsia="Times New Roman" w:hAnsi="Times New Roman"/>
          <w:b/>
          <w:spacing w:val="-6"/>
          <w:sz w:val="24"/>
          <w:szCs w:val="24"/>
          <w:lang w:val="en-GB" w:eastAsia="de-AT"/>
        </w:rPr>
        <w:t>paragraph 7</w:t>
      </w:r>
      <w:r w:rsidRPr="00DF6686">
        <w:rPr>
          <w:rFonts w:ascii="Times New Roman" w:eastAsia="Times New Roman" w:hAnsi="Times New Roman"/>
          <w:bCs/>
          <w:spacing w:val="-6"/>
          <w:sz w:val="24"/>
          <w:szCs w:val="24"/>
          <w:lang w:val="en-GB" w:eastAsia="de-AT"/>
        </w:rPr>
        <w:t>,</w:t>
      </w:r>
      <w:r w:rsidR="003E5898" w:rsidRPr="00DF6686">
        <w:rPr>
          <w:rFonts w:ascii="Times New Roman" w:eastAsia="Times New Roman" w:hAnsi="Times New Roman"/>
          <w:bCs/>
          <w:spacing w:val="-6"/>
          <w:sz w:val="24"/>
          <w:szCs w:val="24"/>
          <w:lang w:val="en-GB" w:eastAsia="de-AT"/>
        </w:rPr>
        <w:t xml:space="preserve"> </w:t>
      </w:r>
      <w:r w:rsidRPr="00DF6686">
        <w:rPr>
          <w:rFonts w:ascii="Times New Roman" w:eastAsia="Times New Roman" w:hAnsi="Times New Roman"/>
          <w:bCs/>
          <w:spacing w:val="-6"/>
          <w:sz w:val="24"/>
          <w:szCs w:val="24"/>
          <w:lang w:val="en-GB" w:eastAsia="de-AT"/>
        </w:rPr>
        <w:t>t</w:t>
      </w:r>
      <w:r w:rsidR="003E5898" w:rsidRPr="00DF6686">
        <w:rPr>
          <w:rFonts w:ascii="Times New Roman" w:eastAsia="Times New Roman" w:hAnsi="Times New Roman"/>
          <w:bCs/>
          <w:spacing w:val="-6"/>
          <w:sz w:val="24"/>
          <w:szCs w:val="24"/>
          <w:lang w:val="en-GB" w:eastAsia="de-AT"/>
        </w:rPr>
        <w:t>he Commission will continue providing financial assistance to B</w:t>
      </w:r>
      <w:r w:rsidR="00110C92" w:rsidRPr="00DF6686">
        <w:rPr>
          <w:rFonts w:ascii="Times New Roman" w:eastAsia="Times New Roman" w:hAnsi="Times New Roman"/>
          <w:bCs/>
          <w:spacing w:val="-6"/>
          <w:sz w:val="24"/>
          <w:szCs w:val="24"/>
          <w:lang w:val="en-GB" w:eastAsia="de-AT"/>
        </w:rPr>
        <w:t>osnia and Herzegovina</w:t>
      </w:r>
      <w:r w:rsidR="003E5898" w:rsidRPr="00DF6686">
        <w:rPr>
          <w:rFonts w:ascii="Times New Roman" w:eastAsia="Times New Roman" w:hAnsi="Times New Roman"/>
          <w:bCs/>
          <w:spacing w:val="-6"/>
          <w:sz w:val="24"/>
          <w:szCs w:val="24"/>
          <w:lang w:val="en-GB" w:eastAsia="de-AT"/>
        </w:rPr>
        <w:t xml:space="preserve">, ensuring that it reaches the citizens. The new growth plan announced </w:t>
      </w:r>
      <w:r w:rsidR="00522651" w:rsidRPr="00DF6686">
        <w:rPr>
          <w:rFonts w:ascii="Times New Roman" w:eastAsia="Times New Roman" w:hAnsi="Times New Roman"/>
          <w:bCs/>
          <w:spacing w:val="-6"/>
          <w:sz w:val="24"/>
          <w:szCs w:val="24"/>
          <w:lang w:val="en-GB" w:eastAsia="de-AT"/>
        </w:rPr>
        <w:t xml:space="preserve">by President von der Leyen </w:t>
      </w:r>
      <w:r w:rsidR="003E5898" w:rsidRPr="00DF6686">
        <w:rPr>
          <w:rFonts w:ascii="Times New Roman" w:eastAsia="Times New Roman" w:hAnsi="Times New Roman"/>
          <w:bCs/>
          <w:spacing w:val="-6"/>
          <w:sz w:val="24"/>
          <w:szCs w:val="24"/>
          <w:lang w:val="en-GB" w:eastAsia="de-AT"/>
        </w:rPr>
        <w:t>is yet another illustration of the Commission’s commitment to support the socio</w:t>
      </w:r>
      <w:r w:rsidR="00AB2449" w:rsidRPr="00DF6686">
        <w:rPr>
          <w:rFonts w:ascii="Times New Roman" w:eastAsia="Times New Roman" w:hAnsi="Times New Roman"/>
          <w:bCs/>
          <w:spacing w:val="-6"/>
          <w:sz w:val="24"/>
          <w:szCs w:val="24"/>
          <w:lang w:val="en-GB" w:eastAsia="de-AT"/>
        </w:rPr>
        <w:t>-</w:t>
      </w:r>
      <w:r w:rsidR="003E5898" w:rsidRPr="00DF6686">
        <w:rPr>
          <w:rFonts w:ascii="Times New Roman" w:eastAsia="Times New Roman" w:hAnsi="Times New Roman"/>
          <w:bCs/>
          <w:spacing w:val="-6"/>
          <w:sz w:val="24"/>
          <w:szCs w:val="24"/>
          <w:lang w:val="en-GB" w:eastAsia="de-AT"/>
        </w:rPr>
        <w:t xml:space="preserve">economic convergence of the Western Balkans with the EU. The Commission stands ready to provide technical assistance as needed to support </w:t>
      </w:r>
      <w:r w:rsidR="00110C92" w:rsidRPr="00DF6686">
        <w:rPr>
          <w:rFonts w:ascii="Times New Roman" w:eastAsia="Times New Roman" w:hAnsi="Times New Roman"/>
          <w:bCs/>
          <w:spacing w:val="-6"/>
          <w:sz w:val="24"/>
          <w:szCs w:val="24"/>
          <w:lang w:val="en-GB" w:eastAsia="de-AT"/>
        </w:rPr>
        <w:t xml:space="preserve">Bosnia and Herzegovina in </w:t>
      </w:r>
      <w:r w:rsidR="00F05DFE" w:rsidRPr="00DF6686">
        <w:rPr>
          <w:rFonts w:ascii="Times New Roman" w:eastAsia="Times New Roman" w:hAnsi="Times New Roman"/>
          <w:bCs/>
          <w:spacing w:val="-6"/>
          <w:sz w:val="24"/>
          <w:szCs w:val="24"/>
          <w:lang w:val="en-GB" w:eastAsia="de-AT"/>
        </w:rPr>
        <w:t>addressing</w:t>
      </w:r>
      <w:r w:rsidR="00110C92" w:rsidRPr="00DF6686">
        <w:rPr>
          <w:rFonts w:ascii="Times New Roman" w:eastAsia="Times New Roman" w:hAnsi="Times New Roman"/>
          <w:bCs/>
          <w:spacing w:val="-6"/>
          <w:sz w:val="24"/>
          <w:szCs w:val="24"/>
          <w:lang w:val="en-GB" w:eastAsia="de-AT"/>
        </w:rPr>
        <w:t xml:space="preserve"> </w:t>
      </w:r>
      <w:r w:rsidR="00F05DFE" w:rsidRPr="00DF6686">
        <w:rPr>
          <w:rFonts w:ascii="Times New Roman" w:eastAsia="Times New Roman" w:hAnsi="Times New Roman"/>
          <w:bCs/>
          <w:spacing w:val="-6"/>
          <w:sz w:val="24"/>
          <w:szCs w:val="24"/>
          <w:lang w:val="en-GB" w:eastAsia="de-AT"/>
        </w:rPr>
        <w:t>the key priorities</w:t>
      </w:r>
      <w:r w:rsidR="003E5898" w:rsidRPr="00DF6686">
        <w:rPr>
          <w:rFonts w:ascii="Times New Roman" w:eastAsia="Times New Roman" w:hAnsi="Times New Roman"/>
          <w:bCs/>
          <w:spacing w:val="-6"/>
          <w:sz w:val="24"/>
          <w:szCs w:val="24"/>
          <w:lang w:val="en-GB" w:eastAsia="de-AT"/>
        </w:rPr>
        <w:t xml:space="preserve">. The Commission will continue coordinating with </w:t>
      </w:r>
      <w:r w:rsidR="008C2839" w:rsidRPr="00DF6686">
        <w:rPr>
          <w:rFonts w:ascii="Times New Roman" w:eastAsia="Times New Roman" w:hAnsi="Times New Roman"/>
          <w:bCs/>
          <w:spacing w:val="-6"/>
          <w:sz w:val="24"/>
          <w:szCs w:val="24"/>
          <w:lang w:val="en-GB" w:eastAsia="de-AT"/>
        </w:rPr>
        <w:t>Bosnia and Herzegovina</w:t>
      </w:r>
      <w:r w:rsidR="003E5898" w:rsidRPr="00DF6686">
        <w:rPr>
          <w:rFonts w:ascii="Times New Roman" w:eastAsia="Times New Roman" w:hAnsi="Times New Roman"/>
          <w:bCs/>
          <w:spacing w:val="-6"/>
          <w:sz w:val="24"/>
          <w:szCs w:val="24"/>
          <w:lang w:val="en-GB" w:eastAsia="de-AT"/>
        </w:rPr>
        <w:t>, in particular via the Directorate for European Integration, in line with the Stabilisation and Association Agreement</w:t>
      </w:r>
      <w:r w:rsidRPr="00DF6686">
        <w:rPr>
          <w:rFonts w:ascii="Times New Roman" w:eastAsia="Times New Roman" w:hAnsi="Times New Roman"/>
          <w:bCs/>
          <w:spacing w:val="-6"/>
          <w:sz w:val="24"/>
          <w:szCs w:val="24"/>
          <w:lang w:val="en-GB" w:eastAsia="de-AT"/>
        </w:rPr>
        <w:t xml:space="preserve"> (SAA)</w:t>
      </w:r>
      <w:r w:rsidR="003E5898" w:rsidRPr="00DF6686">
        <w:rPr>
          <w:rFonts w:ascii="Times New Roman" w:eastAsia="Times New Roman" w:hAnsi="Times New Roman"/>
          <w:bCs/>
          <w:spacing w:val="-6"/>
          <w:sz w:val="24"/>
          <w:szCs w:val="24"/>
          <w:lang w:val="en-GB" w:eastAsia="de-AT"/>
        </w:rPr>
        <w:t xml:space="preserve">. </w:t>
      </w:r>
      <w:r w:rsidR="00DF6686">
        <w:rPr>
          <w:rFonts w:ascii="Times New Roman" w:eastAsia="Times New Roman" w:hAnsi="Times New Roman"/>
          <w:bCs/>
          <w:spacing w:val="-6"/>
          <w:sz w:val="24"/>
          <w:szCs w:val="24"/>
          <w:lang w:val="en-GB" w:eastAsia="de-AT"/>
        </w:rPr>
        <w:t>T</w:t>
      </w:r>
      <w:r w:rsidR="001806A2" w:rsidRPr="00DF6686">
        <w:rPr>
          <w:rFonts w:ascii="Times New Roman" w:eastAsia="Times New Roman" w:hAnsi="Times New Roman"/>
          <w:bCs/>
          <w:spacing w:val="-6"/>
          <w:sz w:val="24"/>
          <w:szCs w:val="24"/>
          <w:lang w:val="en-GB" w:eastAsia="de-AT"/>
        </w:rPr>
        <w:t xml:space="preserve">he EEAS will </w:t>
      </w:r>
      <w:r w:rsidR="00DF6686">
        <w:rPr>
          <w:rFonts w:ascii="Times New Roman" w:eastAsia="Times New Roman" w:hAnsi="Times New Roman"/>
          <w:bCs/>
          <w:spacing w:val="-6"/>
          <w:sz w:val="24"/>
          <w:szCs w:val="24"/>
          <w:lang w:val="en-GB" w:eastAsia="de-AT"/>
        </w:rPr>
        <w:t xml:space="preserve">also </w:t>
      </w:r>
      <w:r w:rsidR="001806A2" w:rsidRPr="00DF6686">
        <w:rPr>
          <w:rFonts w:ascii="Times New Roman" w:eastAsia="Times New Roman" w:hAnsi="Times New Roman"/>
          <w:bCs/>
          <w:spacing w:val="-6"/>
          <w:sz w:val="24"/>
          <w:szCs w:val="24"/>
          <w:lang w:val="en-GB" w:eastAsia="de-AT"/>
        </w:rPr>
        <w:t xml:space="preserve">continue to support the Commission and in </w:t>
      </w:r>
      <w:r w:rsidR="00AB2449" w:rsidRPr="00DF6686">
        <w:rPr>
          <w:rFonts w:ascii="Times New Roman" w:eastAsia="Times New Roman" w:hAnsi="Times New Roman"/>
          <w:bCs/>
          <w:spacing w:val="-6"/>
          <w:sz w:val="24"/>
          <w:szCs w:val="24"/>
          <w:lang w:val="en-GB" w:eastAsia="de-AT"/>
        </w:rPr>
        <w:t>cooperation with relevant partners, facilitating the political process, in particular liaising with authorities and political parties, and promoting dialogue between the different levels of government.</w:t>
      </w:r>
    </w:p>
    <w:p w14:paraId="75E01827" w14:textId="0897D203" w:rsidR="003E5898" w:rsidRPr="00DF6686" w:rsidRDefault="003E5898" w:rsidP="00DF6686">
      <w:pPr>
        <w:pStyle w:val="ListParagraph"/>
        <w:spacing w:after="120" w:line="240" w:lineRule="auto"/>
        <w:ind w:left="0"/>
        <w:contextualSpacing w:val="0"/>
        <w:jc w:val="both"/>
        <w:rPr>
          <w:rFonts w:ascii="Times New Roman" w:eastAsia="Times New Roman" w:hAnsi="Times New Roman"/>
          <w:bCs/>
          <w:spacing w:val="-6"/>
          <w:sz w:val="24"/>
          <w:szCs w:val="24"/>
          <w:lang w:val="en-GB" w:eastAsia="de-AT"/>
        </w:rPr>
      </w:pPr>
      <w:r w:rsidRPr="00DF6686">
        <w:rPr>
          <w:rFonts w:ascii="Times New Roman" w:eastAsia="Times New Roman" w:hAnsi="Times New Roman"/>
          <w:bCs/>
          <w:spacing w:val="-6"/>
          <w:sz w:val="24"/>
          <w:szCs w:val="24"/>
          <w:lang w:val="en-GB" w:eastAsia="de-AT"/>
        </w:rPr>
        <w:t>As regards the call to positively engage with and rely on the OHR and EUFOR Althea (</w:t>
      </w:r>
      <w:r w:rsidR="00B16ED6" w:rsidRPr="00DF6686">
        <w:rPr>
          <w:rFonts w:ascii="Times New Roman" w:eastAsia="Times New Roman" w:hAnsi="Times New Roman"/>
          <w:bCs/>
          <w:spacing w:val="-6"/>
          <w:sz w:val="24"/>
          <w:szCs w:val="24"/>
          <w:lang w:val="en-GB" w:eastAsia="de-AT"/>
        </w:rPr>
        <w:t>p</w:t>
      </w:r>
      <w:r w:rsidR="00DF6686">
        <w:rPr>
          <w:rFonts w:ascii="Times New Roman" w:eastAsia="Times New Roman" w:hAnsi="Times New Roman"/>
          <w:bCs/>
          <w:spacing w:val="-6"/>
          <w:sz w:val="24"/>
          <w:szCs w:val="24"/>
          <w:lang w:val="en-GB" w:eastAsia="de-AT"/>
        </w:rPr>
        <w:t>aragraph</w:t>
      </w:r>
      <w:r w:rsidRPr="00DF6686">
        <w:rPr>
          <w:rFonts w:ascii="Times New Roman" w:eastAsia="Times New Roman" w:hAnsi="Times New Roman"/>
          <w:bCs/>
          <w:spacing w:val="-6"/>
          <w:sz w:val="24"/>
          <w:szCs w:val="24"/>
          <w:lang w:val="en-GB" w:eastAsia="de-AT"/>
        </w:rPr>
        <w:t xml:space="preserve">10), the Commission will continue supporting the OHR, including by contributing </w:t>
      </w:r>
      <w:r w:rsidR="00AB2449" w:rsidRPr="00DF6686">
        <w:rPr>
          <w:rFonts w:ascii="Times New Roman" w:eastAsia="Times New Roman" w:hAnsi="Times New Roman"/>
          <w:bCs/>
          <w:spacing w:val="-6"/>
          <w:sz w:val="24"/>
          <w:szCs w:val="24"/>
          <w:lang w:val="en-GB" w:eastAsia="de-AT"/>
        </w:rPr>
        <w:t xml:space="preserve">to </w:t>
      </w:r>
      <w:r w:rsidRPr="00DF6686">
        <w:rPr>
          <w:rFonts w:ascii="Times New Roman" w:eastAsia="Times New Roman" w:hAnsi="Times New Roman"/>
          <w:bCs/>
          <w:spacing w:val="-6"/>
          <w:sz w:val="24"/>
          <w:szCs w:val="24"/>
          <w:lang w:val="en-GB" w:eastAsia="de-AT"/>
        </w:rPr>
        <w:t xml:space="preserve">almost half of its budget, as well as by providing expert advice as needed, including on EU law, as in the context of the OHR-led working group on property issues. The Commission </w:t>
      </w:r>
      <w:r w:rsidR="00AB2449" w:rsidRPr="00DF6686">
        <w:rPr>
          <w:rFonts w:ascii="Times New Roman" w:eastAsia="Times New Roman" w:hAnsi="Times New Roman"/>
          <w:bCs/>
          <w:spacing w:val="-6"/>
          <w:sz w:val="24"/>
          <w:szCs w:val="24"/>
          <w:lang w:val="en-GB" w:eastAsia="de-AT"/>
        </w:rPr>
        <w:t xml:space="preserve">and the EEAS </w:t>
      </w:r>
      <w:r w:rsidRPr="00DF6686">
        <w:rPr>
          <w:rFonts w:ascii="Times New Roman" w:eastAsia="Times New Roman" w:hAnsi="Times New Roman"/>
          <w:bCs/>
          <w:spacing w:val="-6"/>
          <w:sz w:val="24"/>
          <w:szCs w:val="24"/>
          <w:lang w:val="en-GB" w:eastAsia="de-AT"/>
        </w:rPr>
        <w:t xml:space="preserve">will also continue supporting the military operation EUFOR Althea, as key EU contribution to peace and stability in </w:t>
      </w:r>
      <w:r w:rsidR="008C2839" w:rsidRPr="00DF6686">
        <w:rPr>
          <w:rFonts w:ascii="Times New Roman" w:eastAsia="Times New Roman" w:hAnsi="Times New Roman"/>
          <w:bCs/>
          <w:spacing w:val="-6"/>
          <w:sz w:val="24"/>
          <w:szCs w:val="24"/>
          <w:lang w:val="en-GB" w:eastAsia="de-AT"/>
        </w:rPr>
        <w:t>Bosnia and Herzegovina</w:t>
      </w:r>
      <w:r w:rsidRPr="00DF6686">
        <w:rPr>
          <w:rFonts w:ascii="Times New Roman" w:eastAsia="Times New Roman" w:hAnsi="Times New Roman"/>
          <w:bCs/>
          <w:spacing w:val="-6"/>
          <w:sz w:val="24"/>
          <w:szCs w:val="24"/>
          <w:lang w:val="en-GB" w:eastAsia="de-AT"/>
        </w:rPr>
        <w:t>.</w:t>
      </w:r>
    </w:p>
    <w:p w14:paraId="6000733E" w14:textId="436075F6" w:rsidR="003E5898" w:rsidRPr="00DF6686" w:rsidRDefault="003E5898" w:rsidP="00DF6686">
      <w:pPr>
        <w:spacing w:after="120"/>
        <w:rPr>
          <w:rFonts w:ascii="Times New Roman" w:hAnsi="Times New Roman"/>
          <w:bCs/>
          <w:spacing w:val="-6"/>
          <w:szCs w:val="24"/>
          <w:lang w:eastAsia="de-AT"/>
        </w:rPr>
      </w:pPr>
      <w:r w:rsidRPr="00DF6686">
        <w:rPr>
          <w:rFonts w:ascii="Times New Roman" w:hAnsi="Times New Roman"/>
          <w:bCs/>
          <w:spacing w:val="-6"/>
          <w:szCs w:val="24"/>
          <w:lang w:eastAsia="de-AT"/>
        </w:rPr>
        <w:t>As regards the call to invest in communication efforts and convene dialogues with civil society and the private sector (</w:t>
      </w:r>
      <w:r w:rsidR="006B5FA3" w:rsidRPr="00DF6686">
        <w:rPr>
          <w:rFonts w:ascii="Times New Roman" w:hAnsi="Times New Roman"/>
          <w:bCs/>
          <w:spacing w:val="-6"/>
          <w:szCs w:val="24"/>
          <w:lang w:eastAsia="de-AT"/>
        </w:rPr>
        <w:t>p</w:t>
      </w:r>
      <w:r w:rsidR="006B5FA3">
        <w:rPr>
          <w:rFonts w:ascii="Times New Roman" w:hAnsi="Times New Roman"/>
          <w:bCs/>
          <w:spacing w:val="-6"/>
          <w:szCs w:val="24"/>
          <w:lang w:eastAsia="de-AT"/>
        </w:rPr>
        <w:t>aragraph</w:t>
      </w:r>
      <w:r w:rsidR="00D96FC8" w:rsidRPr="00DF6686">
        <w:rPr>
          <w:rFonts w:ascii="Times New Roman" w:hAnsi="Times New Roman"/>
          <w:bCs/>
          <w:spacing w:val="-6"/>
          <w:szCs w:val="24"/>
          <w:lang w:eastAsia="de-AT"/>
        </w:rPr>
        <w:t xml:space="preserve"> </w:t>
      </w:r>
      <w:r w:rsidRPr="00DF6686">
        <w:rPr>
          <w:rFonts w:ascii="Times New Roman" w:hAnsi="Times New Roman"/>
          <w:bCs/>
          <w:spacing w:val="-6"/>
          <w:szCs w:val="24"/>
          <w:lang w:eastAsia="de-AT"/>
        </w:rPr>
        <w:t>2</w:t>
      </w:r>
      <w:r w:rsidR="00AB2449" w:rsidRPr="00DF6686">
        <w:rPr>
          <w:rFonts w:ascii="Times New Roman" w:hAnsi="Times New Roman"/>
          <w:bCs/>
          <w:spacing w:val="-6"/>
          <w:szCs w:val="24"/>
          <w:lang w:eastAsia="de-AT"/>
        </w:rPr>
        <w:t>3</w:t>
      </w:r>
      <w:r w:rsidRPr="00DF6686">
        <w:rPr>
          <w:rFonts w:ascii="Times New Roman" w:hAnsi="Times New Roman"/>
          <w:bCs/>
          <w:spacing w:val="-6"/>
          <w:szCs w:val="24"/>
          <w:lang w:eastAsia="de-AT"/>
        </w:rPr>
        <w:t xml:space="preserve">), the Commission will continue enhancing its strategic </w:t>
      </w:r>
      <w:r w:rsidRPr="00DF6686">
        <w:rPr>
          <w:rFonts w:ascii="Times New Roman" w:hAnsi="Times New Roman"/>
          <w:bCs/>
          <w:spacing w:val="-6"/>
          <w:szCs w:val="24"/>
          <w:lang w:eastAsia="de-AT"/>
        </w:rPr>
        <w:lastRenderedPageBreak/>
        <w:t xml:space="preserve">communication efforts in the Western Balkans, and will continue consulting civil society and business actors, including in support of policy dialogue with </w:t>
      </w:r>
      <w:r w:rsidR="008C2839" w:rsidRPr="00DF6686">
        <w:rPr>
          <w:rFonts w:ascii="Times New Roman" w:hAnsi="Times New Roman"/>
          <w:bCs/>
          <w:spacing w:val="-6"/>
          <w:szCs w:val="24"/>
          <w:lang w:eastAsia="de-AT"/>
        </w:rPr>
        <w:t>Bosnia and Herzegovina</w:t>
      </w:r>
      <w:r w:rsidR="00B027A1" w:rsidRPr="00DF6686">
        <w:rPr>
          <w:rFonts w:ascii="Times New Roman" w:hAnsi="Times New Roman"/>
          <w:bCs/>
          <w:spacing w:val="-6"/>
          <w:szCs w:val="24"/>
          <w:lang w:eastAsia="de-AT"/>
        </w:rPr>
        <w:t xml:space="preserve"> </w:t>
      </w:r>
      <w:r w:rsidRPr="00DF6686">
        <w:rPr>
          <w:rFonts w:ascii="Times New Roman" w:hAnsi="Times New Roman"/>
          <w:bCs/>
          <w:spacing w:val="-6"/>
          <w:szCs w:val="24"/>
          <w:lang w:eastAsia="de-AT"/>
        </w:rPr>
        <w:t>under the SAA</w:t>
      </w:r>
      <w:r w:rsidR="00D96FC8" w:rsidRPr="00DF6686">
        <w:rPr>
          <w:rFonts w:ascii="Times New Roman" w:hAnsi="Times New Roman"/>
          <w:bCs/>
          <w:spacing w:val="-6"/>
          <w:szCs w:val="24"/>
          <w:lang w:eastAsia="de-AT"/>
        </w:rPr>
        <w:t>.</w:t>
      </w:r>
      <w:r w:rsidR="00B16ED6" w:rsidRPr="00DF6686">
        <w:rPr>
          <w:rFonts w:ascii="Times New Roman" w:hAnsi="Times New Roman"/>
          <w:bCs/>
          <w:spacing w:val="-6"/>
          <w:szCs w:val="24"/>
          <w:lang w:eastAsia="de-AT"/>
        </w:rPr>
        <w:t xml:space="preserve"> The EEAS has reinforced the EU delegations in the Western Balkans including </w:t>
      </w:r>
      <w:r w:rsidR="008C2839" w:rsidRPr="00DF6686">
        <w:rPr>
          <w:rFonts w:ascii="Times New Roman" w:hAnsi="Times New Roman"/>
          <w:bCs/>
          <w:spacing w:val="-6"/>
          <w:szCs w:val="24"/>
          <w:lang w:eastAsia="de-AT"/>
        </w:rPr>
        <w:t>Bosnia and Herzegovina</w:t>
      </w:r>
      <w:r w:rsidR="00B16ED6" w:rsidRPr="00DF6686">
        <w:rPr>
          <w:rFonts w:ascii="Times New Roman" w:hAnsi="Times New Roman"/>
          <w:bCs/>
          <w:spacing w:val="-6"/>
          <w:szCs w:val="24"/>
          <w:lang w:eastAsia="de-AT"/>
        </w:rPr>
        <w:t xml:space="preserve">with </w:t>
      </w:r>
      <w:r w:rsidR="00AB2449" w:rsidRPr="00DF6686">
        <w:rPr>
          <w:rFonts w:ascii="Times New Roman" w:hAnsi="Times New Roman"/>
          <w:bCs/>
          <w:spacing w:val="-6"/>
          <w:szCs w:val="24"/>
          <w:lang w:eastAsia="de-AT"/>
        </w:rPr>
        <w:t>S</w:t>
      </w:r>
      <w:r w:rsidR="00B16ED6" w:rsidRPr="00DF6686">
        <w:rPr>
          <w:rFonts w:ascii="Times New Roman" w:hAnsi="Times New Roman"/>
          <w:bCs/>
          <w:spacing w:val="-6"/>
          <w:szCs w:val="24"/>
          <w:lang w:eastAsia="de-AT"/>
        </w:rPr>
        <w:t>trat</w:t>
      </w:r>
      <w:r w:rsidR="00AB2449" w:rsidRPr="00DF6686">
        <w:rPr>
          <w:rFonts w:ascii="Times New Roman" w:hAnsi="Times New Roman"/>
          <w:bCs/>
          <w:spacing w:val="-6"/>
          <w:szCs w:val="24"/>
          <w:lang w:eastAsia="de-AT"/>
        </w:rPr>
        <w:t>C</w:t>
      </w:r>
      <w:r w:rsidR="00B16ED6" w:rsidRPr="00DF6686">
        <w:rPr>
          <w:rFonts w:ascii="Times New Roman" w:hAnsi="Times New Roman"/>
          <w:bCs/>
          <w:spacing w:val="-6"/>
          <w:szCs w:val="24"/>
          <w:lang w:eastAsia="de-AT"/>
        </w:rPr>
        <w:t>om officers, who, together with the Western Balkans Strategic Communication Task Force</w:t>
      </w:r>
      <w:r w:rsidR="00AB2449" w:rsidRPr="00DF6686">
        <w:rPr>
          <w:rFonts w:ascii="Times New Roman" w:hAnsi="Times New Roman"/>
          <w:bCs/>
          <w:spacing w:val="-6"/>
          <w:szCs w:val="24"/>
          <w:lang w:eastAsia="de-AT"/>
        </w:rPr>
        <w:t xml:space="preserve"> and in line with the Tirana Summit Declaration</w:t>
      </w:r>
      <w:r w:rsidR="00B16ED6" w:rsidRPr="00DF6686">
        <w:rPr>
          <w:rFonts w:ascii="Times New Roman" w:hAnsi="Times New Roman"/>
          <w:bCs/>
          <w:spacing w:val="-6"/>
          <w:szCs w:val="24"/>
          <w:lang w:eastAsia="de-AT"/>
        </w:rPr>
        <w:t>, are working to narrow and close the space for Foreign Information Manipulation and Interference (FIMI), including disinformation by partnering and reaching out to regional audiences and positioning the EU, its policies, principles and values in the local information environment.</w:t>
      </w:r>
    </w:p>
    <w:p w14:paraId="10E97BCA" w14:textId="236B560A" w:rsidR="00F05DFE" w:rsidRPr="00DF6686" w:rsidRDefault="003E5898" w:rsidP="00DF6686">
      <w:pPr>
        <w:pStyle w:val="ListParagraph"/>
        <w:spacing w:after="120" w:line="240" w:lineRule="auto"/>
        <w:ind w:left="0"/>
        <w:contextualSpacing w:val="0"/>
        <w:jc w:val="both"/>
        <w:rPr>
          <w:rFonts w:ascii="Times New Roman" w:eastAsia="Times New Roman" w:hAnsi="Times New Roman"/>
          <w:bCs/>
          <w:spacing w:val="-6"/>
          <w:sz w:val="24"/>
          <w:szCs w:val="24"/>
          <w:lang w:val="en-GB" w:eastAsia="de-AT"/>
        </w:rPr>
      </w:pPr>
      <w:bookmarkStart w:id="0" w:name="_Hlk140749563"/>
      <w:r w:rsidRPr="00DF6686">
        <w:rPr>
          <w:rFonts w:ascii="Times New Roman" w:eastAsia="Times New Roman" w:hAnsi="Times New Roman"/>
          <w:bCs/>
          <w:spacing w:val="-6"/>
          <w:sz w:val="24"/>
          <w:szCs w:val="24"/>
          <w:lang w:val="en-GB" w:eastAsia="de-AT"/>
        </w:rPr>
        <w:t xml:space="preserve">As regards the call to develop guidelines on the application of conditionality, and to implement the recommendations of the </w:t>
      </w:r>
      <w:r w:rsidR="00F05DFE" w:rsidRPr="00DF6686">
        <w:rPr>
          <w:rFonts w:ascii="Times New Roman" w:eastAsia="Times New Roman" w:hAnsi="Times New Roman"/>
          <w:bCs/>
          <w:spacing w:val="-6"/>
          <w:sz w:val="24"/>
          <w:szCs w:val="24"/>
          <w:lang w:val="en-GB" w:eastAsia="de-AT"/>
        </w:rPr>
        <w:t>European Court of Auditors’</w:t>
      </w:r>
      <w:r w:rsidR="006C4ACA" w:rsidRPr="00DF6686">
        <w:rPr>
          <w:rFonts w:ascii="Times New Roman" w:eastAsia="Times New Roman" w:hAnsi="Times New Roman"/>
          <w:bCs/>
          <w:spacing w:val="-6"/>
          <w:sz w:val="24"/>
          <w:szCs w:val="24"/>
          <w:lang w:val="en-GB" w:eastAsia="de-AT"/>
        </w:rPr>
        <w:t xml:space="preserve"> (ECA)</w:t>
      </w:r>
      <w:r w:rsidR="00F05DFE" w:rsidRPr="00DF6686">
        <w:rPr>
          <w:rFonts w:ascii="Times New Roman" w:eastAsia="Times New Roman" w:hAnsi="Times New Roman"/>
          <w:bCs/>
          <w:spacing w:val="-6"/>
          <w:sz w:val="24"/>
          <w:szCs w:val="24"/>
          <w:lang w:val="en-GB" w:eastAsia="de-AT"/>
        </w:rPr>
        <w:t xml:space="preserve"> </w:t>
      </w:r>
      <w:r w:rsidRPr="00DF6686">
        <w:rPr>
          <w:rFonts w:ascii="Times New Roman" w:eastAsia="Times New Roman" w:hAnsi="Times New Roman"/>
          <w:bCs/>
          <w:spacing w:val="-6"/>
          <w:sz w:val="24"/>
          <w:szCs w:val="24"/>
          <w:lang w:val="en-GB" w:eastAsia="de-AT"/>
        </w:rPr>
        <w:t>Special Report 01/2022 (</w:t>
      </w:r>
      <w:r w:rsidR="006B5FA3" w:rsidRPr="00DF6686">
        <w:rPr>
          <w:rFonts w:ascii="Times New Roman" w:eastAsia="Times New Roman" w:hAnsi="Times New Roman"/>
          <w:bCs/>
          <w:spacing w:val="-6"/>
          <w:sz w:val="24"/>
          <w:szCs w:val="24"/>
          <w:lang w:val="en-GB" w:eastAsia="de-AT"/>
        </w:rPr>
        <w:t>p</w:t>
      </w:r>
      <w:r w:rsidR="006B5FA3">
        <w:rPr>
          <w:rFonts w:ascii="Times New Roman" w:eastAsia="Times New Roman" w:hAnsi="Times New Roman"/>
          <w:bCs/>
          <w:spacing w:val="-6"/>
          <w:sz w:val="24"/>
          <w:szCs w:val="24"/>
          <w:lang w:val="en-GB" w:eastAsia="de-AT"/>
        </w:rPr>
        <w:t>aragraph </w:t>
      </w:r>
      <w:r w:rsidRPr="00DF6686">
        <w:rPr>
          <w:rFonts w:ascii="Times New Roman" w:eastAsia="Times New Roman" w:hAnsi="Times New Roman"/>
          <w:bCs/>
          <w:spacing w:val="-6"/>
          <w:sz w:val="24"/>
          <w:szCs w:val="24"/>
          <w:lang w:val="en-GB" w:eastAsia="de-AT"/>
        </w:rPr>
        <w:t>2</w:t>
      </w:r>
      <w:r w:rsidR="00AB2449" w:rsidRPr="00DF6686">
        <w:rPr>
          <w:rFonts w:ascii="Times New Roman" w:eastAsia="Times New Roman" w:hAnsi="Times New Roman"/>
          <w:bCs/>
          <w:spacing w:val="-6"/>
          <w:sz w:val="24"/>
          <w:szCs w:val="24"/>
          <w:lang w:val="en-GB" w:eastAsia="de-AT"/>
        </w:rPr>
        <w:t>5</w:t>
      </w:r>
      <w:r w:rsidRPr="00DF6686">
        <w:rPr>
          <w:rFonts w:ascii="Times New Roman" w:eastAsia="Times New Roman" w:hAnsi="Times New Roman"/>
          <w:bCs/>
          <w:spacing w:val="-6"/>
          <w:sz w:val="24"/>
          <w:szCs w:val="24"/>
          <w:lang w:val="en-GB" w:eastAsia="de-AT"/>
        </w:rPr>
        <w:t>)</w:t>
      </w:r>
      <w:r w:rsidR="00F05DFE" w:rsidRPr="00DF6686">
        <w:rPr>
          <w:rFonts w:ascii="Times New Roman" w:eastAsia="Times New Roman" w:hAnsi="Times New Roman"/>
          <w:bCs/>
          <w:spacing w:val="-6"/>
          <w:sz w:val="24"/>
          <w:szCs w:val="24"/>
          <w:lang w:val="en-GB" w:eastAsia="de-AT"/>
        </w:rPr>
        <w:t xml:space="preserve">, </w:t>
      </w:r>
      <w:r w:rsidR="00536ADA" w:rsidRPr="00DF6686">
        <w:rPr>
          <w:rFonts w:ascii="Times New Roman" w:eastAsia="Times New Roman" w:hAnsi="Times New Roman"/>
          <w:bCs/>
          <w:spacing w:val="-6"/>
          <w:sz w:val="24"/>
          <w:szCs w:val="24"/>
          <w:lang w:val="en-GB" w:eastAsia="de-AT"/>
        </w:rPr>
        <w:t>t</w:t>
      </w:r>
      <w:r w:rsidR="00F05DFE" w:rsidRPr="00DF6686">
        <w:rPr>
          <w:rFonts w:ascii="Times New Roman" w:eastAsia="Times New Roman" w:hAnsi="Times New Roman"/>
          <w:bCs/>
          <w:spacing w:val="-6"/>
          <w:sz w:val="24"/>
          <w:szCs w:val="24"/>
          <w:lang w:val="en-GB" w:eastAsia="de-AT"/>
        </w:rPr>
        <w:t>he Commission has implemented all four recommendations and has reported on it to the ECA.</w:t>
      </w:r>
      <w:r w:rsidR="00F05DFE" w:rsidRPr="00DF6686">
        <w:rPr>
          <w:sz w:val="24"/>
          <w:szCs w:val="24"/>
          <w:lang w:val="en-GB"/>
        </w:rPr>
        <w:t xml:space="preserve"> </w:t>
      </w:r>
      <w:r w:rsidR="00F05DFE" w:rsidRPr="00DF6686">
        <w:rPr>
          <w:rFonts w:ascii="Times New Roman" w:eastAsia="Times New Roman" w:hAnsi="Times New Roman"/>
          <w:bCs/>
          <w:spacing w:val="-6"/>
          <w:sz w:val="24"/>
          <w:szCs w:val="24"/>
          <w:lang w:val="en-GB" w:eastAsia="de-AT"/>
        </w:rPr>
        <w:t xml:space="preserve">The Commission continues to apply conditionality in its financial assistance on a case-by-case basis following a thorough analysis and due consideration of its impact. </w:t>
      </w:r>
      <w:r w:rsidR="00536ADA" w:rsidRPr="00DF6686">
        <w:rPr>
          <w:rFonts w:ascii="Times New Roman" w:eastAsia="Times New Roman" w:hAnsi="Times New Roman"/>
          <w:bCs/>
          <w:spacing w:val="-6"/>
          <w:sz w:val="24"/>
          <w:szCs w:val="24"/>
          <w:lang w:val="en-GB" w:eastAsia="de-AT"/>
        </w:rPr>
        <w:t xml:space="preserve">In </w:t>
      </w:r>
      <w:r w:rsidR="00F05DFE" w:rsidRPr="00DF6686">
        <w:rPr>
          <w:rFonts w:ascii="Times New Roman" w:eastAsia="Times New Roman" w:hAnsi="Times New Roman"/>
          <w:bCs/>
          <w:spacing w:val="-6"/>
          <w:sz w:val="24"/>
          <w:szCs w:val="24"/>
          <w:lang w:val="en-GB" w:eastAsia="de-AT"/>
        </w:rPr>
        <w:t>view of further improving the reporting on</w:t>
      </w:r>
      <w:r w:rsidR="00F3228A" w:rsidRPr="00F3228A">
        <w:rPr>
          <w:rFonts w:ascii="Times New Roman" w:eastAsia="Times New Roman" w:hAnsi="Times New Roman"/>
          <w:bCs/>
          <w:spacing w:val="-6"/>
          <w:sz w:val="24"/>
          <w:szCs w:val="24"/>
          <w:lang w:val="en-GB" w:eastAsia="de-AT"/>
        </w:rPr>
        <w:t xml:space="preserve"> </w:t>
      </w:r>
      <w:r w:rsidR="00F3228A">
        <w:rPr>
          <w:rFonts w:ascii="Times New Roman" w:eastAsia="Times New Roman" w:hAnsi="Times New Roman"/>
          <w:bCs/>
          <w:spacing w:val="-6"/>
          <w:sz w:val="24"/>
          <w:szCs w:val="24"/>
          <w:lang w:val="en-GB" w:eastAsia="de-AT"/>
        </w:rPr>
        <w:t>the Instrument for Pre-Accession</w:t>
      </w:r>
      <w:r w:rsidR="00F3228A" w:rsidRPr="00DF6686">
        <w:rPr>
          <w:rFonts w:ascii="Times New Roman" w:eastAsia="Times New Roman" w:hAnsi="Times New Roman"/>
          <w:bCs/>
          <w:spacing w:val="-6"/>
          <w:sz w:val="24"/>
          <w:szCs w:val="24"/>
          <w:lang w:val="en-GB" w:eastAsia="de-AT"/>
        </w:rPr>
        <w:t xml:space="preserve"> </w:t>
      </w:r>
      <w:r w:rsidR="00F3228A">
        <w:rPr>
          <w:rFonts w:ascii="Times New Roman" w:eastAsia="Times New Roman" w:hAnsi="Times New Roman"/>
          <w:bCs/>
          <w:spacing w:val="-6"/>
          <w:sz w:val="24"/>
          <w:szCs w:val="24"/>
          <w:lang w:val="en-GB" w:eastAsia="de-AT"/>
        </w:rPr>
        <w:t>Assistance</w:t>
      </w:r>
      <w:r w:rsidR="00F05DFE" w:rsidRPr="00DF6686">
        <w:rPr>
          <w:rFonts w:ascii="Times New Roman" w:eastAsia="Times New Roman" w:hAnsi="Times New Roman"/>
          <w:bCs/>
          <w:spacing w:val="-6"/>
          <w:sz w:val="24"/>
          <w:szCs w:val="24"/>
          <w:lang w:val="en-GB" w:eastAsia="de-AT"/>
        </w:rPr>
        <w:t xml:space="preserve"> </w:t>
      </w:r>
      <w:r w:rsidR="00F3228A">
        <w:rPr>
          <w:rFonts w:ascii="Times New Roman" w:eastAsia="Times New Roman" w:hAnsi="Times New Roman"/>
          <w:bCs/>
          <w:spacing w:val="-6"/>
          <w:sz w:val="24"/>
          <w:szCs w:val="24"/>
          <w:lang w:val="en-GB" w:eastAsia="de-AT"/>
        </w:rPr>
        <w:t>(</w:t>
      </w:r>
      <w:r w:rsidR="00F05DFE" w:rsidRPr="00DF6686">
        <w:rPr>
          <w:rFonts w:ascii="Times New Roman" w:eastAsia="Times New Roman" w:hAnsi="Times New Roman"/>
          <w:bCs/>
          <w:spacing w:val="-6"/>
          <w:sz w:val="24"/>
          <w:szCs w:val="24"/>
          <w:lang w:val="en-GB" w:eastAsia="de-AT"/>
        </w:rPr>
        <w:t>IPA III</w:t>
      </w:r>
      <w:r w:rsidR="00F3228A">
        <w:rPr>
          <w:rFonts w:ascii="Times New Roman" w:eastAsia="Times New Roman" w:hAnsi="Times New Roman"/>
          <w:bCs/>
          <w:spacing w:val="-6"/>
          <w:sz w:val="24"/>
          <w:szCs w:val="24"/>
          <w:lang w:val="en-GB" w:eastAsia="de-AT"/>
        </w:rPr>
        <w:t>)</w:t>
      </w:r>
      <w:r w:rsidR="00F05DFE" w:rsidRPr="00DF6686">
        <w:rPr>
          <w:rFonts w:ascii="Times New Roman" w:eastAsia="Times New Roman" w:hAnsi="Times New Roman"/>
          <w:bCs/>
          <w:spacing w:val="-6"/>
          <w:sz w:val="24"/>
          <w:szCs w:val="24"/>
          <w:lang w:val="en-GB" w:eastAsia="de-AT"/>
        </w:rPr>
        <w:t xml:space="preserve"> results, including in rule of law, the Commission adopted the IPA III Results Framework in December 2022 with a uniform set of indicators.</w:t>
      </w:r>
      <w:bookmarkEnd w:id="0"/>
    </w:p>
    <w:p w14:paraId="2102B0E0" w14:textId="188CF5FA" w:rsidR="00027E3E" w:rsidRPr="00DF6686" w:rsidRDefault="003E5898" w:rsidP="00DF6686">
      <w:pPr>
        <w:pStyle w:val="ListParagraph"/>
        <w:spacing w:after="120" w:line="240" w:lineRule="auto"/>
        <w:ind w:left="0"/>
        <w:contextualSpacing w:val="0"/>
        <w:jc w:val="both"/>
        <w:rPr>
          <w:rFonts w:ascii="Times New Roman" w:hAnsi="Times New Roman"/>
          <w:b/>
          <w:szCs w:val="24"/>
          <w:lang w:val="en-GB"/>
        </w:rPr>
      </w:pPr>
      <w:r w:rsidRPr="00DF6686">
        <w:rPr>
          <w:rFonts w:ascii="Times New Roman" w:eastAsia="Times New Roman" w:hAnsi="Times New Roman"/>
          <w:bCs/>
          <w:spacing w:val="-6"/>
          <w:sz w:val="24"/>
          <w:szCs w:val="24"/>
          <w:lang w:val="en-GB" w:eastAsia="de-AT"/>
        </w:rPr>
        <w:t>As regards the call to seek an opinion by Member States and the European Parliament prior to resuming the provision of funds for the RS entity (</w:t>
      </w:r>
      <w:r w:rsidR="006B5FA3" w:rsidRPr="00DF6686">
        <w:rPr>
          <w:rFonts w:ascii="Times New Roman" w:eastAsia="Times New Roman" w:hAnsi="Times New Roman"/>
          <w:bCs/>
          <w:spacing w:val="-6"/>
          <w:sz w:val="24"/>
          <w:szCs w:val="24"/>
          <w:lang w:val="en-GB" w:eastAsia="de-AT"/>
        </w:rPr>
        <w:t>p</w:t>
      </w:r>
      <w:r w:rsidR="006B5FA3">
        <w:rPr>
          <w:rFonts w:ascii="Times New Roman" w:eastAsia="Times New Roman" w:hAnsi="Times New Roman"/>
          <w:bCs/>
          <w:spacing w:val="-6"/>
          <w:sz w:val="24"/>
          <w:szCs w:val="24"/>
          <w:lang w:val="en-GB" w:eastAsia="de-AT"/>
        </w:rPr>
        <w:t>aragraph</w:t>
      </w:r>
      <w:r w:rsidR="00D96FC8" w:rsidRPr="00DF6686">
        <w:rPr>
          <w:rFonts w:ascii="Times New Roman" w:eastAsia="Times New Roman" w:hAnsi="Times New Roman"/>
          <w:bCs/>
          <w:spacing w:val="-6"/>
          <w:sz w:val="24"/>
          <w:szCs w:val="24"/>
          <w:lang w:val="en-GB" w:eastAsia="de-AT"/>
        </w:rPr>
        <w:t xml:space="preserve"> </w:t>
      </w:r>
      <w:r w:rsidRPr="00DF6686">
        <w:rPr>
          <w:rFonts w:ascii="Times New Roman" w:eastAsia="Times New Roman" w:hAnsi="Times New Roman"/>
          <w:bCs/>
          <w:spacing w:val="-6"/>
          <w:sz w:val="24"/>
          <w:szCs w:val="24"/>
          <w:lang w:val="en-GB" w:eastAsia="de-AT"/>
        </w:rPr>
        <w:t>2</w:t>
      </w:r>
      <w:r w:rsidR="00AB2449" w:rsidRPr="00DF6686">
        <w:rPr>
          <w:rFonts w:ascii="Times New Roman" w:eastAsia="Times New Roman" w:hAnsi="Times New Roman"/>
          <w:bCs/>
          <w:spacing w:val="-6"/>
          <w:sz w:val="24"/>
          <w:szCs w:val="24"/>
          <w:lang w:val="en-GB" w:eastAsia="de-AT"/>
        </w:rPr>
        <w:t>6</w:t>
      </w:r>
      <w:r w:rsidRPr="00DF6686">
        <w:rPr>
          <w:rFonts w:ascii="Times New Roman" w:eastAsia="Times New Roman" w:hAnsi="Times New Roman"/>
          <w:bCs/>
          <w:spacing w:val="-6"/>
          <w:sz w:val="24"/>
          <w:szCs w:val="24"/>
          <w:lang w:val="en-GB" w:eastAsia="de-AT"/>
        </w:rPr>
        <w:t xml:space="preserve">), the Commission notes that </w:t>
      </w:r>
      <w:r w:rsidR="00D96FC8" w:rsidRPr="00DF6686">
        <w:rPr>
          <w:rFonts w:ascii="Times New Roman" w:eastAsia="Times New Roman" w:hAnsi="Times New Roman"/>
          <w:bCs/>
          <w:spacing w:val="-6"/>
          <w:sz w:val="24"/>
          <w:szCs w:val="24"/>
          <w:lang w:val="en-GB" w:eastAsia="de-AT"/>
        </w:rPr>
        <w:t>it has taken no decision on the issue</w:t>
      </w:r>
      <w:r w:rsidR="006C4ACA" w:rsidRPr="00DF6686">
        <w:rPr>
          <w:rFonts w:ascii="Times New Roman" w:eastAsia="Times New Roman" w:hAnsi="Times New Roman"/>
          <w:bCs/>
          <w:spacing w:val="-6"/>
          <w:sz w:val="24"/>
          <w:szCs w:val="24"/>
          <w:lang w:val="en-GB" w:eastAsia="de-AT"/>
        </w:rPr>
        <w:t>,</w:t>
      </w:r>
      <w:r w:rsidR="00D96FC8" w:rsidRPr="00DF6686">
        <w:rPr>
          <w:rFonts w:ascii="Times New Roman" w:eastAsia="Times New Roman" w:hAnsi="Times New Roman"/>
          <w:bCs/>
          <w:spacing w:val="-6"/>
          <w:sz w:val="24"/>
          <w:szCs w:val="24"/>
          <w:lang w:val="en-GB" w:eastAsia="de-AT"/>
        </w:rPr>
        <w:t xml:space="preserve"> and it will assess when </w:t>
      </w:r>
      <w:r w:rsidR="00AB2449" w:rsidRPr="00DF6686">
        <w:rPr>
          <w:rFonts w:ascii="Times New Roman" w:eastAsia="Times New Roman" w:hAnsi="Times New Roman"/>
          <w:bCs/>
          <w:spacing w:val="-6"/>
          <w:sz w:val="24"/>
          <w:szCs w:val="24"/>
          <w:lang w:val="en-GB" w:eastAsia="de-AT"/>
        </w:rPr>
        <w:t>conditions are in place for</w:t>
      </w:r>
      <w:r w:rsidR="00D96FC8" w:rsidRPr="00DF6686">
        <w:rPr>
          <w:rFonts w:ascii="Times New Roman" w:eastAsia="Times New Roman" w:hAnsi="Times New Roman"/>
          <w:bCs/>
          <w:spacing w:val="-6"/>
          <w:sz w:val="24"/>
          <w:szCs w:val="24"/>
          <w:lang w:val="en-GB" w:eastAsia="de-AT"/>
        </w:rPr>
        <w:t xml:space="preserve"> sign</w:t>
      </w:r>
      <w:r w:rsidR="00AB2449" w:rsidRPr="00DF6686">
        <w:rPr>
          <w:rFonts w:ascii="Times New Roman" w:eastAsia="Times New Roman" w:hAnsi="Times New Roman"/>
          <w:bCs/>
          <w:spacing w:val="-6"/>
          <w:sz w:val="24"/>
          <w:szCs w:val="24"/>
          <w:lang w:val="en-GB" w:eastAsia="de-AT"/>
        </w:rPr>
        <w:t>ing</w:t>
      </w:r>
      <w:r w:rsidR="00D96FC8" w:rsidRPr="00DF6686">
        <w:rPr>
          <w:rFonts w:ascii="Times New Roman" w:eastAsia="Times New Roman" w:hAnsi="Times New Roman"/>
          <w:bCs/>
          <w:spacing w:val="-6"/>
          <w:sz w:val="24"/>
          <w:szCs w:val="24"/>
          <w:lang w:val="en-GB" w:eastAsia="de-AT"/>
        </w:rPr>
        <w:t xml:space="preserve"> the </w:t>
      </w:r>
      <w:r w:rsidR="00B16ED6" w:rsidRPr="00DF6686">
        <w:rPr>
          <w:rFonts w:ascii="Times New Roman" w:eastAsia="Times New Roman" w:hAnsi="Times New Roman"/>
          <w:bCs/>
          <w:spacing w:val="-6"/>
          <w:sz w:val="24"/>
          <w:szCs w:val="24"/>
          <w:lang w:val="en-GB" w:eastAsia="de-AT"/>
        </w:rPr>
        <w:t>contribution</w:t>
      </w:r>
      <w:r w:rsidR="00D96FC8" w:rsidRPr="00DF6686">
        <w:rPr>
          <w:rFonts w:ascii="Times New Roman" w:eastAsia="Times New Roman" w:hAnsi="Times New Roman"/>
          <w:bCs/>
          <w:spacing w:val="-6"/>
          <w:sz w:val="24"/>
          <w:szCs w:val="24"/>
          <w:lang w:val="en-GB" w:eastAsia="de-AT"/>
        </w:rPr>
        <w:t xml:space="preserve"> agreements for the </w:t>
      </w:r>
      <w:r w:rsidR="006C4ACA" w:rsidRPr="00DF6686">
        <w:rPr>
          <w:rFonts w:ascii="Times New Roman" w:eastAsia="Times New Roman" w:hAnsi="Times New Roman"/>
          <w:bCs/>
          <w:spacing w:val="-6"/>
          <w:sz w:val="24"/>
          <w:szCs w:val="24"/>
          <w:lang w:val="en-GB" w:eastAsia="de-AT"/>
        </w:rPr>
        <w:t>Western</w:t>
      </w:r>
      <w:r w:rsidR="00B5667C" w:rsidRPr="00DF6686">
        <w:rPr>
          <w:rFonts w:ascii="Times New Roman" w:eastAsia="Times New Roman" w:hAnsi="Times New Roman"/>
          <w:bCs/>
          <w:spacing w:val="-6"/>
          <w:sz w:val="24"/>
          <w:szCs w:val="24"/>
          <w:lang w:val="en-GB" w:eastAsia="de-AT"/>
        </w:rPr>
        <w:t xml:space="preserve"> Balkans Investment Framework (</w:t>
      </w:r>
      <w:r w:rsidR="00D96FC8" w:rsidRPr="00DF6686">
        <w:rPr>
          <w:rFonts w:ascii="Times New Roman" w:eastAsia="Times New Roman" w:hAnsi="Times New Roman"/>
          <w:bCs/>
          <w:spacing w:val="-6"/>
          <w:sz w:val="24"/>
          <w:szCs w:val="24"/>
          <w:lang w:val="en-GB" w:eastAsia="de-AT"/>
        </w:rPr>
        <w:t>WBIF</w:t>
      </w:r>
      <w:r w:rsidR="00B5667C" w:rsidRPr="00DF6686">
        <w:rPr>
          <w:rFonts w:ascii="Times New Roman" w:eastAsia="Times New Roman" w:hAnsi="Times New Roman"/>
          <w:bCs/>
          <w:spacing w:val="-6"/>
          <w:sz w:val="24"/>
          <w:szCs w:val="24"/>
          <w:lang w:val="en-GB" w:eastAsia="de-AT"/>
        </w:rPr>
        <w:t>)</w:t>
      </w:r>
      <w:r w:rsidR="00D96FC8" w:rsidRPr="00DF6686">
        <w:rPr>
          <w:rFonts w:ascii="Times New Roman" w:eastAsia="Times New Roman" w:hAnsi="Times New Roman"/>
          <w:bCs/>
          <w:spacing w:val="-6"/>
          <w:sz w:val="24"/>
          <w:szCs w:val="24"/>
          <w:lang w:val="en-GB" w:eastAsia="de-AT"/>
        </w:rPr>
        <w:t xml:space="preserve"> projects located in the RS entity.</w:t>
      </w:r>
      <w:r w:rsidR="001806A2" w:rsidRPr="00DF6686">
        <w:rPr>
          <w:rFonts w:ascii="Times New Roman" w:eastAsia="Times New Roman" w:hAnsi="Times New Roman"/>
          <w:bCs/>
          <w:spacing w:val="-6"/>
          <w:sz w:val="24"/>
          <w:szCs w:val="24"/>
          <w:lang w:val="en-GB" w:eastAsia="de-AT"/>
        </w:rPr>
        <w:t xml:space="preserve"> The EEAS shares the</w:t>
      </w:r>
      <w:r w:rsidR="00FE464F" w:rsidRPr="00DF6686">
        <w:rPr>
          <w:rFonts w:ascii="Times New Roman" w:eastAsia="Times New Roman" w:hAnsi="Times New Roman"/>
          <w:bCs/>
          <w:spacing w:val="-6"/>
          <w:sz w:val="24"/>
          <w:szCs w:val="24"/>
          <w:lang w:val="en-GB" w:eastAsia="de-AT"/>
        </w:rPr>
        <w:t xml:space="preserve"> current</w:t>
      </w:r>
      <w:r w:rsidR="001806A2" w:rsidRPr="00DF6686">
        <w:rPr>
          <w:rFonts w:ascii="Times New Roman" w:eastAsia="Times New Roman" w:hAnsi="Times New Roman"/>
          <w:bCs/>
          <w:spacing w:val="-6"/>
          <w:sz w:val="24"/>
          <w:szCs w:val="24"/>
          <w:lang w:val="en-GB" w:eastAsia="de-AT"/>
        </w:rPr>
        <w:t xml:space="preserve"> assessment of the Commission.</w:t>
      </w:r>
    </w:p>
    <w:sectPr w:rsidR="00027E3E" w:rsidRPr="00DF6686" w:rsidSect="00812321">
      <w:footerReference w:type="even" r:id="rId8"/>
      <w:footerReference w:type="default" r:id="rId9"/>
      <w:footerReference w:type="first" r:id="rId1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3053" w14:textId="77777777" w:rsidR="00EE274A" w:rsidRDefault="00EE274A">
      <w:r>
        <w:separator/>
      </w:r>
    </w:p>
  </w:endnote>
  <w:endnote w:type="continuationSeparator" w:id="0">
    <w:p w14:paraId="517586E8" w14:textId="77777777" w:rsidR="00EE274A" w:rsidRDefault="00EE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D245"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BED6D6B"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E0B5" w14:textId="0D94F31B"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651">
      <w:rPr>
        <w:rStyle w:val="PageNumber"/>
        <w:noProof/>
      </w:rPr>
      <w:t>2</w:t>
    </w:r>
    <w:r>
      <w:rPr>
        <w:rStyle w:val="PageNumber"/>
      </w:rPr>
      <w:fldChar w:fldCharType="end"/>
    </w:r>
  </w:p>
  <w:p w14:paraId="35657DB6"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5C64" w14:textId="2F4ADC8B"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651">
      <w:rPr>
        <w:rStyle w:val="PageNumber"/>
        <w:noProof/>
      </w:rPr>
      <w:t>1</w:t>
    </w:r>
    <w:r>
      <w:rPr>
        <w:rStyle w:val="PageNumber"/>
      </w:rPr>
      <w:fldChar w:fldCharType="end"/>
    </w:r>
  </w:p>
  <w:p w14:paraId="2B642732"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5021" w14:textId="77777777" w:rsidR="00EE274A" w:rsidRDefault="00EE274A">
      <w:r>
        <w:separator/>
      </w:r>
    </w:p>
  </w:footnote>
  <w:footnote w:type="continuationSeparator" w:id="0">
    <w:p w14:paraId="244E7137" w14:textId="77777777" w:rsidR="00EE274A" w:rsidRDefault="00EE274A">
      <w:r>
        <w:continuationSeparator/>
      </w:r>
    </w:p>
  </w:footnote>
  <w:footnote w:id="1">
    <w:p w14:paraId="43A8DF64" w14:textId="38916E50" w:rsidR="003F4D2B" w:rsidRPr="00DF6686" w:rsidRDefault="003F4D2B" w:rsidP="00DF6686">
      <w:pPr>
        <w:pStyle w:val="FootnoteText"/>
        <w:spacing w:after="0"/>
        <w:rPr>
          <w:rFonts w:ascii="Times New Roman" w:hAnsi="Times New Roman"/>
        </w:rPr>
      </w:pPr>
      <w:r w:rsidRPr="00B661A6">
        <w:rPr>
          <w:rStyle w:val="FootnoteReference"/>
          <w:rFonts w:ascii="Times New Roman" w:hAnsi="Times New Roman"/>
        </w:rPr>
        <w:footnoteRef/>
      </w:r>
      <w:r w:rsidRPr="00B661A6">
        <w:rPr>
          <w:rFonts w:ascii="Times New Roman" w:hAnsi="Times New Roman"/>
        </w:rPr>
        <w:t xml:space="preserve"> </w:t>
      </w:r>
      <w:r w:rsidR="00DF6686">
        <w:rPr>
          <w:rFonts w:ascii="Times New Roman" w:hAnsi="Times New Roman"/>
        </w:rPr>
        <w:tab/>
      </w:r>
      <w:hyperlink r:id="rId1" w:history="1">
        <w:r w:rsidRPr="00DF6686">
          <w:rPr>
            <w:rStyle w:val="Hyperlink"/>
            <w:rFonts w:ascii="Times New Roman" w:hAnsi="Times New Roman"/>
          </w:rPr>
          <w:t>2023 Commission communication on enlargement, COM(2023) 690 final</w:t>
        </w:r>
      </w:hyperlink>
      <w:r w:rsidRPr="00DF6686">
        <w:rPr>
          <w:rFonts w:ascii="Times New Roman" w:hAnsi="Times New Roman"/>
        </w:rPr>
        <w:t>, paragraph 11</w:t>
      </w:r>
    </w:p>
  </w:footnote>
  <w:footnote w:id="2">
    <w:p w14:paraId="408EE6E1" w14:textId="16202851" w:rsidR="003F4D2B" w:rsidRPr="00DF6686" w:rsidRDefault="003F4D2B" w:rsidP="00DF6686">
      <w:pPr>
        <w:pStyle w:val="FootnoteText"/>
        <w:spacing w:after="0"/>
        <w:rPr>
          <w:rFonts w:ascii="Times New Roman" w:hAnsi="Times New Roman"/>
        </w:rPr>
      </w:pPr>
      <w:r w:rsidRPr="00DF6686">
        <w:rPr>
          <w:rStyle w:val="FootnoteReference"/>
          <w:rFonts w:ascii="Times New Roman" w:hAnsi="Times New Roman"/>
        </w:rPr>
        <w:footnoteRef/>
      </w:r>
      <w:r w:rsidRPr="00DF6686">
        <w:rPr>
          <w:rFonts w:ascii="Times New Roman" w:hAnsi="Times New Roman"/>
        </w:rPr>
        <w:t xml:space="preserve"> </w:t>
      </w:r>
      <w:r w:rsidR="00DF6686" w:rsidRPr="00DF6686">
        <w:rPr>
          <w:rFonts w:ascii="Times New Roman" w:hAnsi="Times New Roman"/>
        </w:rPr>
        <w:tab/>
      </w:r>
      <w:hyperlink r:id="rId2" w:history="1">
        <w:r w:rsidRPr="00DF6686">
          <w:rPr>
            <w:rStyle w:val="Hyperlink"/>
            <w:rFonts w:ascii="Times New Roman" w:hAnsi="Times New Roman"/>
          </w:rPr>
          <w:t>European Council conclusions, 14 December 2023</w:t>
        </w:r>
      </w:hyperlink>
      <w:r w:rsidRPr="00DF6686">
        <w:rPr>
          <w:rFonts w:ascii="Times New Roman" w:hAnsi="Times New Roman"/>
        </w:rPr>
        <w:t>, paragraph 17</w:t>
      </w:r>
    </w:p>
  </w:footnote>
  <w:footnote w:id="3">
    <w:p w14:paraId="1595A41F" w14:textId="18E8A846" w:rsidR="007035AD" w:rsidRPr="007035AD" w:rsidRDefault="007035AD" w:rsidP="00DF6686">
      <w:pPr>
        <w:pStyle w:val="FootnoteText"/>
        <w:spacing w:after="0"/>
        <w:rPr>
          <w:rStyle w:val="Hyperlink"/>
          <w:rFonts w:ascii="Times New Roman" w:hAnsi="Times New Roman"/>
        </w:rPr>
      </w:pPr>
      <w:r w:rsidRPr="00DF6686">
        <w:rPr>
          <w:rStyle w:val="FootnoteReference"/>
          <w:rFonts w:ascii="Times New Roman" w:hAnsi="Times New Roman"/>
        </w:rPr>
        <w:footnoteRef/>
      </w:r>
      <w:r w:rsidR="00DF6686" w:rsidRPr="00DF6686">
        <w:rPr>
          <w:rStyle w:val="Hyperlink"/>
          <w:rFonts w:ascii="Times New Roman" w:hAnsi="Times New Roman"/>
        </w:rPr>
        <w:t>.</w:t>
      </w:r>
      <w:r w:rsidR="00DF6686" w:rsidRPr="00DF6686">
        <w:rPr>
          <w:rStyle w:val="Hyperlink"/>
          <w:rFonts w:ascii="Times New Roman" w:hAnsi="Times New Roman"/>
        </w:rPr>
        <w:tab/>
      </w:r>
      <w:r w:rsidRPr="00DF6686">
        <w:rPr>
          <w:rStyle w:val="Hyperlink"/>
          <w:rFonts w:ascii="Times New Roman" w:hAnsi="Times New Roman"/>
        </w:rPr>
        <w:t>Commis</w:t>
      </w:r>
      <w:r w:rsidRPr="007035AD">
        <w:rPr>
          <w:rStyle w:val="Hyperlink"/>
          <w:rFonts w:ascii="Times New Roman" w:hAnsi="Times New Roman"/>
        </w:rPr>
        <w:t>sion Report on progress in Bosnia and Herzegovina – March 2024, COM(2024)129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9"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4"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386875168">
    <w:abstractNumId w:val="7"/>
  </w:num>
  <w:num w:numId="2" w16cid:durableId="170414123">
    <w:abstractNumId w:val="1"/>
  </w:num>
  <w:num w:numId="3" w16cid:durableId="577717949">
    <w:abstractNumId w:val="32"/>
  </w:num>
  <w:num w:numId="4" w16cid:durableId="283654333">
    <w:abstractNumId w:val="13"/>
  </w:num>
  <w:num w:numId="5" w16cid:durableId="526136952">
    <w:abstractNumId w:val="28"/>
  </w:num>
  <w:num w:numId="6" w16cid:durableId="637421301">
    <w:abstractNumId w:val="10"/>
  </w:num>
  <w:num w:numId="7" w16cid:durableId="758336014">
    <w:abstractNumId w:val="6"/>
  </w:num>
  <w:num w:numId="8" w16cid:durableId="1220440760">
    <w:abstractNumId w:val="15"/>
  </w:num>
  <w:num w:numId="9" w16cid:durableId="1640183169">
    <w:abstractNumId w:val="31"/>
  </w:num>
  <w:num w:numId="10" w16cid:durableId="1468278350">
    <w:abstractNumId w:val="23"/>
  </w:num>
  <w:num w:numId="11" w16cid:durableId="2026782924">
    <w:abstractNumId w:val="25"/>
  </w:num>
  <w:num w:numId="12" w16cid:durableId="1480809854">
    <w:abstractNumId w:val="12"/>
  </w:num>
  <w:num w:numId="13" w16cid:durableId="1011833651">
    <w:abstractNumId w:val="16"/>
  </w:num>
  <w:num w:numId="14" w16cid:durableId="1798523171">
    <w:abstractNumId w:val="29"/>
  </w:num>
  <w:num w:numId="15" w16cid:durableId="523787397">
    <w:abstractNumId w:val="14"/>
  </w:num>
  <w:num w:numId="16" w16cid:durableId="1581602994">
    <w:abstractNumId w:val="35"/>
  </w:num>
  <w:num w:numId="17" w16cid:durableId="170798506">
    <w:abstractNumId w:val="30"/>
  </w:num>
  <w:num w:numId="18" w16cid:durableId="697972026">
    <w:abstractNumId w:val="21"/>
  </w:num>
  <w:num w:numId="19" w16cid:durableId="1011109668">
    <w:abstractNumId w:val="22"/>
  </w:num>
  <w:num w:numId="20" w16cid:durableId="789779778">
    <w:abstractNumId w:val="27"/>
  </w:num>
  <w:num w:numId="21" w16cid:durableId="1797719066">
    <w:abstractNumId w:val="3"/>
  </w:num>
  <w:num w:numId="22" w16cid:durableId="757480475">
    <w:abstractNumId w:val="4"/>
  </w:num>
  <w:num w:numId="23" w16cid:durableId="887716542">
    <w:abstractNumId w:val="5"/>
  </w:num>
  <w:num w:numId="24" w16cid:durableId="16171784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3173323">
    <w:abstractNumId w:val="33"/>
  </w:num>
  <w:num w:numId="26" w16cid:durableId="909734368">
    <w:abstractNumId w:val="24"/>
  </w:num>
  <w:num w:numId="27" w16cid:durableId="1109396121">
    <w:abstractNumId w:val="17"/>
  </w:num>
  <w:num w:numId="28" w16cid:durableId="456602663">
    <w:abstractNumId w:val="34"/>
  </w:num>
  <w:num w:numId="29" w16cid:durableId="1137457499">
    <w:abstractNumId w:val="2"/>
  </w:num>
  <w:num w:numId="30" w16cid:durableId="675352315">
    <w:abstractNumId w:val="20"/>
  </w:num>
  <w:num w:numId="31" w16cid:durableId="1251038202">
    <w:abstractNumId w:val="19"/>
  </w:num>
  <w:num w:numId="32" w16cid:durableId="788545350">
    <w:abstractNumId w:val="9"/>
  </w:num>
  <w:num w:numId="33" w16cid:durableId="1015886814">
    <w:abstractNumId w:val="11"/>
  </w:num>
  <w:num w:numId="34" w16cid:durableId="1070540430">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en-US" w:vendorID="64" w:dllVersion="6" w:nlCheck="1" w:checkStyle="1"/>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0FAD"/>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BF4"/>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E3E"/>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4A"/>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BFD"/>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C92"/>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70C"/>
    <w:rsid w:val="0011485F"/>
    <w:rsid w:val="001148C2"/>
    <w:rsid w:val="00114954"/>
    <w:rsid w:val="00114C21"/>
    <w:rsid w:val="001152DC"/>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550"/>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6A2"/>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37F78"/>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16"/>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55"/>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CB"/>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15"/>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898"/>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2B"/>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880"/>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20"/>
    <w:rsid w:val="004600CC"/>
    <w:rsid w:val="00460494"/>
    <w:rsid w:val="004605BC"/>
    <w:rsid w:val="00460ACD"/>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689"/>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651"/>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ADA"/>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8BD"/>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DF1"/>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31"/>
    <w:rsid w:val="006B5A61"/>
    <w:rsid w:val="006B5FA3"/>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ACA"/>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AD"/>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52"/>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6A"/>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839"/>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31D"/>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4F9"/>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B0A"/>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49"/>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046"/>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7A1"/>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E85"/>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D6"/>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7C"/>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079"/>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6F"/>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5AA"/>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6E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A4A"/>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B3"/>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3EDD"/>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BCF"/>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3FE"/>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C58"/>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6FC8"/>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86"/>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6CF"/>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CD0"/>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B"/>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4A"/>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5DFE"/>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8A"/>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7F"/>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75B"/>
    <w:rsid w:val="00FE2839"/>
    <w:rsid w:val="00FE2AD3"/>
    <w:rsid w:val="00FE2BDA"/>
    <w:rsid w:val="00FE313D"/>
    <w:rsid w:val="00FE315A"/>
    <w:rsid w:val="00FE32E0"/>
    <w:rsid w:val="00FE35A4"/>
    <w:rsid w:val="00FE39B7"/>
    <w:rsid w:val="00FE3A18"/>
    <w:rsid w:val="00FE3E10"/>
    <w:rsid w:val="00FE4123"/>
    <w:rsid w:val="00FE413C"/>
    <w:rsid w:val="00FE464F"/>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EC3F6"/>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uiPriority w:val="59"/>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en-GB"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eastAsia="en-GB"/>
    </w:rPr>
  </w:style>
  <w:style w:type="character" w:customStyle="1" w:styleId="UnresolvedMention1">
    <w:name w:val="Unresolved Mention1"/>
    <w:uiPriority w:val="99"/>
    <w:semiHidden/>
    <w:unhideWhenUsed/>
    <w:rsid w:val="00027E3E"/>
    <w:rPr>
      <w:color w:val="605E5C"/>
      <w:shd w:val="clear" w:color="auto" w:fill="E1DFDD"/>
    </w:rPr>
  </w:style>
  <w:style w:type="character" w:customStyle="1" w:styleId="NormalHanging12aChar">
    <w:name w:val="NormalHanging12a Char"/>
    <w:link w:val="NormalHanging12a"/>
    <w:locked/>
    <w:rsid w:val="00027E3E"/>
    <w:rPr>
      <w:sz w:val="24"/>
    </w:rPr>
  </w:style>
  <w:style w:type="paragraph" w:customStyle="1" w:styleId="NormalHanging12a">
    <w:name w:val="NormalHanging12a"/>
    <w:basedOn w:val="Normal"/>
    <w:link w:val="NormalHanging12aChar"/>
    <w:rsid w:val="00027E3E"/>
    <w:pPr>
      <w:widowControl w:val="0"/>
      <w:ind w:left="567" w:hanging="567"/>
      <w:jc w:val="left"/>
    </w:pPr>
    <w:rPr>
      <w:rFonts w:ascii="Times New Roman" w:hAnsi="Times New Roman"/>
    </w:rPr>
  </w:style>
  <w:style w:type="character" w:customStyle="1" w:styleId="doceo-font-family-base">
    <w:name w:val="doceo-font-family-base"/>
    <w:basedOn w:val="DefaultParagraphFont"/>
    <w:rsid w:val="003E5898"/>
  </w:style>
  <w:style w:type="character" w:styleId="UnresolvedMention">
    <w:name w:val="Unresolved Mention"/>
    <w:uiPriority w:val="99"/>
    <w:semiHidden/>
    <w:unhideWhenUsed/>
    <w:rsid w:val="003F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7390">
      <w:bodyDiv w:val="1"/>
      <w:marLeft w:val="0"/>
      <w:marRight w:val="0"/>
      <w:marTop w:val="0"/>
      <w:marBottom w:val="0"/>
      <w:divBdr>
        <w:top w:val="none" w:sz="0" w:space="0" w:color="auto"/>
        <w:left w:val="none" w:sz="0" w:space="0" w:color="auto"/>
        <w:bottom w:val="none" w:sz="0" w:space="0" w:color="auto"/>
        <w:right w:val="none" w:sz="0" w:space="0" w:color="auto"/>
      </w:divBdr>
    </w:div>
    <w:div w:id="397558804">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987903655">
      <w:bodyDiv w:val="1"/>
      <w:marLeft w:val="0"/>
      <w:marRight w:val="0"/>
      <w:marTop w:val="0"/>
      <w:marBottom w:val="0"/>
      <w:divBdr>
        <w:top w:val="none" w:sz="0" w:space="0" w:color="auto"/>
        <w:left w:val="none" w:sz="0" w:space="0" w:color="auto"/>
        <w:bottom w:val="none" w:sz="0" w:space="0" w:color="auto"/>
        <w:right w:val="none" w:sz="0" w:space="0" w:color="auto"/>
      </w:divBdr>
    </w:div>
    <w:div w:id="1075012387">
      <w:bodyDiv w:val="1"/>
      <w:marLeft w:val="0"/>
      <w:marRight w:val="0"/>
      <w:marTop w:val="0"/>
      <w:marBottom w:val="0"/>
      <w:divBdr>
        <w:top w:val="none" w:sz="0" w:space="0" w:color="auto"/>
        <w:left w:val="none" w:sz="0" w:space="0" w:color="auto"/>
        <w:bottom w:val="none" w:sz="0" w:space="0" w:color="auto"/>
        <w:right w:val="none" w:sz="0" w:space="0" w:color="auto"/>
      </w:divBdr>
    </w:div>
    <w:div w:id="1371800658">
      <w:bodyDiv w:val="1"/>
      <w:marLeft w:val="0"/>
      <w:marRight w:val="0"/>
      <w:marTop w:val="0"/>
      <w:marBottom w:val="0"/>
      <w:divBdr>
        <w:top w:val="none" w:sz="0" w:space="0" w:color="auto"/>
        <w:left w:val="none" w:sz="0" w:space="0" w:color="auto"/>
        <w:bottom w:val="none" w:sz="0" w:space="0" w:color="auto"/>
        <w:right w:val="none" w:sz="0" w:space="0" w:color="auto"/>
      </w:divBdr>
    </w:div>
    <w:div w:id="1380403016">
      <w:bodyDiv w:val="1"/>
      <w:marLeft w:val="0"/>
      <w:marRight w:val="0"/>
      <w:marTop w:val="0"/>
      <w:marBottom w:val="0"/>
      <w:divBdr>
        <w:top w:val="none" w:sz="0" w:space="0" w:color="auto"/>
        <w:left w:val="none" w:sz="0" w:space="0" w:color="auto"/>
        <w:bottom w:val="none" w:sz="0" w:space="0" w:color="auto"/>
        <w:right w:val="none" w:sz="0" w:space="0" w:color="auto"/>
      </w:divBdr>
    </w:div>
    <w:div w:id="2046714430">
      <w:bodyDiv w:val="1"/>
      <w:marLeft w:val="0"/>
      <w:marRight w:val="0"/>
      <w:marTop w:val="0"/>
      <w:marBottom w:val="0"/>
      <w:divBdr>
        <w:top w:val="none" w:sz="0" w:space="0" w:color="auto"/>
        <w:left w:val="none" w:sz="0" w:space="0" w:color="auto"/>
        <w:bottom w:val="none" w:sz="0" w:space="0" w:color="auto"/>
        <w:right w:val="none" w:sz="0" w:space="0" w:color="auto"/>
      </w:divBdr>
    </w:div>
    <w:div w:id="2054307164">
      <w:bodyDiv w:val="1"/>
      <w:marLeft w:val="0"/>
      <w:marRight w:val="0"/>
      <w:marTop w:val="0"/>
      <w:marBottom w:val="0"/>
      <w:divBdr>
        <w:top w:val="none" w:sz="0" w:space="0" w:color="auto"/>
        <w:left w:val="none" w:sz="0" w:space="0" w:color="auto"/>
        <w:bottom w:val="none" w:sz="0" w:space="0" w:color="auto"/>
        <w:right w:val="none" w:sz="0" w:space="0" w:color="auto"/>
      </w:divBdr>
    </w:div>
    <w:div w:id="20891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en/meetings/european-council/2023/12/14-15/" TargetMode="External"/><Relationship Id="rId1" Type="http://schemas.openxmlformats.org/officeDocument/2006/relationships/hyperlink" Target="https://neighbourhood-enlargement.ec.europa.eu/system/files/2023-11/COM_2023_690%20Communication%20on%20EU%20Enlargement%20Policy_and_Annex.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C55A-CDB0-407D-BB2F-A067C551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0</TotalTime>
  <Pages>3</Pages>
  <Words>1427</Words>
  <Characters>8093</Characters>
  <Application>Microsoft Office Word</Application>
  <DocSecurity>0</DocSecurity>
  <PresentationFormat>Microsoft Word 8.0b</PresentationFormat>
  <Lines>112</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9499</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ALMEIDA Maria Jose (SG)</cp:lastModifiedBy>
  <cp:revision>2</cp:revision>
  <cp:lastPrinted>2017-11-23T08:27:00Z</cp:lastPrinted>
  <dcterms:created xsi:type="dcterms:W3CDTF">2024-04-11T15:27:00Z</dcterms:created>
  <dcterms:modified xsi:type="dcterms:W3CDTF">2024-04-11T15:27:00Z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2023-07-18T15:48:51Z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66048089-fdd1-41aa-b40a-e6a5533ab26b</vt:lpwstr>
  </property>
  <property fmtid="{D5CDD505-2E9C-101B-9397-08002B2CF9AE}" pid="19" name="MSIP_Label_6bd9ddd1-4d20-43f6-abfa-fc3c07406f94_ContentBits">
    <vt:lpwstr>0</vt:lpwstr>
  </property>
</Properties>
</file>