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ED311" w14:textId="130D3ED2" w:rsidR="00696F22" w:rsidRPr="00C67738" w:rsidRDefault="00696F22" w:rsidP="00F83D67">
      <w:pPr>
        <w:spacing w:after="600" w:line="240" w:lineRule="auto"/>
        <w:jc w:val="center"/>
        <w:rPr>
          <w:b/>
          <w:bCs/>
          <w:szCs w:val="24"/>
        </w:rPr>
      </w:pPr>
      <w:r>
        <w:rPr>
          <w:b/>
        </w:rPr>
        <w:t xml:space="preserve">Suite donnée à la résolution non législative du Parlement européen sur Frontex s’appuyant sur l’enquête du groupe de travail LIBE sur le contrôle de Frontex</w:t>
      </w:r>
    </w:p>
    <w:p w14:paraId="10F9B5A1" w14:textId="326D0345" w:rsidR="00696F22" w:rsidRPr="00C67738" w:rsidRDefault="00A83948" w:rsidP="00A83948">
      <w:pPr>
        <w:pStyle w:val="ListParagraph"/>
        <w:numPr>
          <w:ilvl w:val="0"/>
          <w:numId w:val="38"/>
        </w:numPr>
        <w:spacing w:after="240"/>
        <w:ind w:left="567" w:hanging="567"/>
        <w:contextualSpacing w:val="0"/>
        <w:rPr>
          <w:szCs w:val="24"/>
        </w:rPr>
      </w:pPr>
      <w:r>
        <w:rPr>
          <w:b/>
        </w:rPr>
        <w:t xml:space="preserve">Résolution présentée conformément à l’article 132, paragraphe 2, du règlement intérieur du Parlement européen</w:t>
      </w:r>
    </w:p>
    <w:p w14:paraId="56B99B1B" w14:textId="2F239C4D" w:rsidR="00696F22" w:rsidRPr="00C67738" w:rsidRDefault="00696F22" w:rsidP="00A83948">
      <w:pPr>
        <w:pStyle w:val="ListParagraph"/>
        <w:numPr>
          <w:ilvl w:val="0"/>
          <w:numId w:val="38"/>
        </w:numPr>
        <w:spacing w:after="240"/>
        <w:ind w:left="567" w:hanging="567"/>
        <w:contextualSpacing w:val="0"/>
        <w:rPr>
          <w:szCs w:val="24"/>
        </w:rPr>
      </w:pPr>
      <w:r>
        <w:rPr>
          <w:b/>
        </w:rPr>
        <w:t xml:space="preserve">Numéro de référence:</w:t>
      </w:r>
      <w:r>
        <w:rPr>
          <w:b/>
        </w:rPr>
        <w:t xml:space="preserve"> </w:t>
      </w:r>
      <w:r>
        <w:t xml:space="preserve">2023/2729 (RSP) / B9-0499/2023 / P9_TA(2023)0483</w:t>
      </w:r>
    </w:p>
    <w:p w14:paraId="29804ECD" w14:textId="70791D64" w:rsidR="00696F22" w:rsidRPr="00C67738" w:rsidRDefault="00696F22" w:rsidP="00A83948">
      <w:pPr>
        <w:pStyle w:val="ListParagraph"/>
        <w:numPr>
          <w:ilvl w:val="0"/>
          <w:numId w:val="38"/>
        </w:numPr>
        <w:spacing w:after="240"/>
        <w:ind w:left="567" w:hanging="567"/>
        <w:contextualSpacing w:val="0"/>
        <w:rPr>
          <w:szCs w:val="24"/>
        </w:rPr>
      </w:pPr>
      <w:r>
        <w:rPr>
          <w:b/>
        </w:rPr>
        <w:t xml:space="preserve">Date d'adoption de la résolution:</w:t>
      </w:r>
      <w:r>
        <w:t xml:space="preserve"> </w:t>
      </w:r>
      <w:r>
        <w:t xml:space="preserve">14 décembre 2023</w:t>
      </w:r>
    </w:p>
    <w:p w14:paraId="3A5BC8D8" w14:textId="7DDE4389" w:rsidR="00696F22" w:rsidRPr="00C67738" w:rsidRDefault="00696F22" w:rsidP="00A83948">
      <w:pPr>
        <w:pStyle w:val="ListParagraph"/>
        <w:numPr>
          <w:ilvl w:val="0"/>
          <w:numId w:val="38"/>
        </w:numPr>
        <w:spacing w:after="240"/>
        <w:ind w:left="567" w:hanging="567"/>
        <w:contextualSpacing w:val="0"/>
        <w:rPr>
          <w:szCs w:val="24"/>
        </w:rPr>
      </w:pPr>
      <w:r>
        <w:rPr>
          <w:b/>
        </w:rPr>
        <w:t xml:space="preserve">Commission parlementaire compétente:</w:t>
      </w:r>
      <w:r>
        <w:rPr>
          <w:b/>
        </w:rPr>
        <w:t xml:space="preserve"> </w:t>
      </w:r>
      <w:r>
        <w:t xml:space="preserve">commission des libertés civiles, de la justice et des affaires intérieures (LIBE)</w:t>
      </w:r>
    </w:p>
    <w:p w14:paraId="0A869C2B" w14:textId="4EBA8130" w:rsidR="00B14608" w:rsidRPr="00C67738" w:rsidRDefault="00696F22" w:rsidP="00A83948">
      <w:pPr>
        <w:pStyle w:val="ListParagraph"/>
        <w:widowControl w:val="0"/>
        <w:numPr>
          <w:ilvl w:val="0"/>
          <w:numId w:val="38"/>
        </w:numPr>
        <w:spacing w:after="240"/>
        <w:ind w:left="567" w:hanging="567"/>
        <w:contextualSpacing w:val="0"/>
        <w:rPr>
          <w:b/>
          <w:szCs w:val="24"/>
        </w:rPr>
      </w:pPr>
      <w:r>
        <w:rPr>
          <w:b/>
        </w:rPr>
        <w:t xml:space="preserve">Analyse/évaluation succincte de la résolution et des demandes qu’elle contient:</w:t>
      </w:r>
    </w:p>
    <w:p w14:paraId="092E1ED7" w14:textId="30489908" w:rsidR="009C725D" w:rsidRPr="009C725D" w:rsidRDefault="009C725D" w:rsidP="00A01E96">
      <w:pPr>
        <w:pStyle w:val="paragraph"/>
        <w:spacing w:before="0" w:beforeAutospacing="0" w:after="120" w:afterAutospacing="0"/>
        <w:jc w:val="both"/>
        <w:textAlignment w:val="baseline"/>
        <w:rPr>
          <w:rStyle w:val="normaltextrun"/>
          <w:color w:val="000000"/>
          <w:shd w:val="clear" w:color="auto" w:fill="FFFFFF"/>
        </w:rPr>
      </w:pPr>
      <w:r>
        <w:rPr>
          <w:color w:val="000000"/>
          <w:shd w:val="clear" w:color="auto" w:fill="FFFFFF"/>
          <w:rStyle w:val="normaltextrun"/>
        </w:rPr>
        <w:t xml:space="preserve">La commission LIBE du Parlement européen a institué, en janvier 2021, le groupe de travail sur le contrôle de Frontex, afin de surveiller tous les aspects du fonctionnement de l’Agence européenne de garde-frontières et de garde-côtes (ci-après l’«Agence» ou «Frontex»), compte tenu notamment du renforcement de son rôle et de ses ressources dans la gestion intégrée des frontières dans le cadre du règlement révisé relatif au corps européen de garde-frontières et de garde-côtes («règlement relatif au corps européen de garde-frontières et de garde-côtes»)</w:t>
      </w:r>
      <w:r w:rsidR="004B653B">
        <w:rPr>
          <w:rStyle w:val="FootnoteReference"/>
          <w:color w:val="000000"/>
          <w:shd w:val="clear" w:color="auto" w:fill="FFFFFF"/>
        </w:rPr>
        <w:footnoteReference w:id="1"/>
      </w:r>
      <w:r>
        <w:rPr>
          <w:color w:val="000000"/>
          <w:shd w:val="clear" w:color="auto" w:fill="FFFFFF"/>
          <w:rStyle w:val="normaltextrun"/>
        </w:rPr>
        <w:t xml:space="preserve">.</w:t>
      </w:r>
      <w:r>
        <w:rPr>
          <w:color w:val="000000"/>
          <w:shd w:val="clear" w:color="auto" w:fill="FFFFFF"/>
          <w:rStyle w:val="normaltextrun"/>
        </w:rPr>
        <w:t xml:space="preserve"> </w:t>
      </w:r>
      <w:r>
        <w:rPr>
          <w:color w:val="000000"/>
          <w:shd w:val="clear" w:color="auto" w:fill="FFFFFF"/>
          <w:rStyle w:val="normaltextrun"/>
        </w:rPr>
        <w:t xml:space="preserve">En particulier, le groupe de travail a examiné la bonne mise en œuvre de l’acquis de l’UE, y compris le règlement relatif au corps européen de garde-frontières et de garde-côtes et le règlement (UE) n° 656/2014 relatif à la surveillance des frontières maritimes extérieures.</w:t>
      </w:r>
      <w:r>
        <w:rPr>
          <w:color w:val="000000"/>
          <w:shd w:val="clear" w:color="auto" w:fill="FFFFFF"/>
          <w:rStyle w:val="normaltextrun"/>
        </w:rPr>
        <w:t xml:space="preserve"> </w:t>
      </w:r>
      <w:r>
        <w:rPr>
          <w:color w:val="000000"/>
          <w:shd w:val="clear" w:color="auto" w:fill="FFFFFF"/>
          <w:rStyle w:val="normaltextrun"/>
        </w:rPr>
        <w:t xml:space="preserve">Le groupe de travail a principalement concentré son attention sur le respect par Frontex de ses obligations relatives au respect des droits fondamentaux (notamment l’article 80 du règlement relatif au corps européen de garde-frontières et de garde-côtes), à la transparence (notamment l’article 114 dudit règlement) et à la responsabilité à l’égard du Parlement européen (notamment l’article 6 dudit règlement).</w:t>
      </w:r>
      <w:r>
        <w:rPr>
          <w:color w:val="000000"/>
          <w:shd w:val="clear" w:color="auto" w:fill="FFFFFF"/>
          <w:rStyle w:val="normaltextrun"/>
        </w:rPr>
        <w:t xml:space="preserve"> </w:t>
      </w:r>
      <w:r>
        <w:rPr>
          <w:color w:val="000000"/>
          <w:shd w:val="clear" w:color="auto" w:fill="FFFFFF"/>
          <w:rStyle w:val="normaltextrun"/>
        </w:rPr>
        <w:t xml:space="preserve">Le groupe de travail a mené une enquête, recueilli des éléments de preuve et présenté son rapport final en juillet 2021, qui comprenait un certain nombre de recommandations à mettre en œuvre par l’Agence.</w:t>
      </w:r>
      <w:r>
        <w:rPr>
          <w:color w:val="000000"/>
          <w:shd w:val="clear" w:color="auto" w:fill="FFFFFF"/>
          <w:rStyle w:val="normaltextrun"/>
        </w:rPr>
        <w:t xml:space="preserve"> </w:t>
      </w:r>
      <w:r>
        <w:rPr>
          <w:color w:val="000000"/>
          <w:shd w:val="clear" w:color="auto" w:fill="FFFFFF"/>
          <w:rStyle w:val="normaltextrun"/>
        </w:rPr>
        <w:t xml:space="preserve">Cela l’a conduit à prendre une série de mesures pour remédier aux lacunes constatées et mettre en œuvre les recommandations correspondantes.</w:t>
      </w:r>
      <w:r>
        <w:rPr>
          <w:color w:val="000000"/>
          <w:shd w:val="clear" w:color="auto" w:fill="FFFFFF"/>
          <w:rStyle w:val="normaltextrun"/>
        </w:rPr>
        <w:t xml:space="preserve"> </w:t>
      </w:r>
      <w:r>
        <w:rPr>
          <w:color w:val="000000"/>
          <w:shd w:val="clear" w:color="auto" w:fill="FFFFFF"/>
          <w:rStyle w:val="normaltextrun"/>
        </w:rPr>
        <w:t xml:space="preserve">À ce jour, 39 recommandations du groupe de travail ont été pleinement mises en œuvre, tandis que les trois autres n’ont pas été jugées réalisables par Frontex et ont donc été clôturées.</w:t>
      </w:r>
    </w:p>
    <w:p w14:paraId="4FDD3BFB" w14:textId="6C238A84" w:rsidR="003B4E1C" w:rsidRDefault="00082868" w:rsidP="00A01E96">
      <w:pPr>
        <w:pStyle w:val="paragraph"/>
        <w:spacing w:before="0" w:beforeAutospacing="0" w:after="120" w:afterAutospacing="0"/>
        <w:jc w:val="both"/>
        <w:textAlignment w:val="baseline"/>
        <w:rPr>
          <w:rStyle w:val="normaltextrun"/>
          <w:color w:val="000000"/>
          <w:shd w:val="clear" w:color="auto" w:fill="FFFFFF"/>
        </w:rPr>
      </w:pPr>
      <w:r>
        <w:rPr>
          <w:rStyle w:val="normaltextrun"/>
          <w:color w:val="000000"/>
          <w:shd w:val="clear" w:color="auto" w:fill="FFFFFF"/>
        </w:rPr>
        <w:t xml:space="preserve">La résolution aborde divers sujets généraux importants concernant principalement la gouvernance, la responsabilité et la transparence de Frontex, la nécessité de garantir le respect du droit international et du droit de l’Union, y compris les droits fondamentaux, dans toutes les activités de Frontex, ainsi que d’autres priorités plus thématiques telles que la recherche et le sauvetage et la coopération avec les pays tiers.</w:t>
      </w:r>
    </w:p>
    <w:p w14:paraId="1DAE3BF8" w14:textId="2A85D627" w:rsidR="00843EE1" w:rsidRDefault="00082868" w:rsidP="00A01E96">
      <w:pPr>
        <w:pStyle w:val="paragraph"/>
        <w:spacing w:before="0" w:beforeAutospacing="0" w:after="120" w:afterAutospacing="0"/>
        <w:jc w:val="both"/>
        <w:textAlignment w:val="baseline"/>
        <w:rPr>
          <w:rStyle w:val="normaltextrun"/>
          <w:color w:val="000000"/>
          <w:shd w:val="clear" w:color="auto" w:fill="FFFFFF"/>
        </w:rPr>
      </w:pPr>
      <w:r>
        <w:rPr>
          <w:rStyle w:val="normaltextrun"/>
          <w:color w:val="000000"/>
          <w:shd w:val="clear" w:color="auto" w:fill="FFFFFF"/>
        </w:rPr>
        <w:t xml:space="preserve">Dans l’ensemble, la résolution reconnaît les progrès accomplis par l’Agence en ce qui concerne la mise en œuvre des conclusions et recommandations formulées par le Parlement européen.</w:t>
      </w:r>
      <w:r>
        <w:rPr>
          <w:rStyle w:val="normaltextrun"/>
          <w:color w:val="000000"/>
          <w:shd w:val="clear" w:color="auto" w:fill="FFFFFF"/>
        </w:rPr>
        <w:t xml:space="preserve"> </w:t>
      </w:r>
      <w:r>
        <w:rPr>
          <w:rStyle w:val="normaltextrun"/>
          <w:color w:val="000000"/>
          <w:shd w:val="clear" w:color="auto" w:fill="FFFFFF"/>
        </w:rPr>
        <w:t xml:space="preserve">Frontex dispose d’un cadre solide en matière de bonne gouvernance, de responsabilité et de respect des droits fondamentaux.</w:t>
      </w:r>
      <w:r>
        <w:rPr>
          <w:rStyle w:val="normaltextrun"/>
          <w:color w:val="000000"/>
          <w:shd w:val="clear" w:color="auto" w:fill="FFFFFF"/>
        </w:rPr>
        <w:t xml:space="preserve"> </w:t>
      </w:r>
      <w:r>
        <w:rPr>
          <w:rStyle w:val="normaltextrun"/>
          <w:color w:val="000000"/>
          <w:shd w:val="clear" w:color="auto" w:fill="FFFFFF"/>
        </w:rPr>
        <w:t xml:space="preserve">Dans le même temps, elle met en évidence certaines lacunes qui persistent.</w:t>
      </w:r>
      <w:r>
        <w:rPr>
          <w:rStyle w:val="normaltextrun"/>
          <w:color w:val="000000"/>
          <w:shd w:val="clear" w:color="auto" w:fill="FFFFFF"/>
        </w:rPr>
        <w:t xml:space="preserve"> </w:t>
      </w:r>
      <w:r>
        <w:rPr>
          <w:rStyle w:val="normaltextrun"/>
          <w:color w:val="000000"/>
          <w:shd w:val="clear" w:color="auto" w:fill="FFFFFF"/>
        </w:rPr>
        <w:t xml:space="preserve">Par conséquent, il est nécessaire que la Commission poursuive son engagement en faveur de l’amélioration de la bonne gouvernance de l’Agence et se concentre sur ces priorités et sur d’autres priorités importantes, y compris dans son rôle de membre du conseil d’administration de Frontex.</w:t>
      </w:r>
    </w:p>
    <w:p w14:paraId="1B55A604" w14:textId="0F4A7E54" w:rsidR="00B14608" w:rsidRPr="00A01E96" w:rsidRDefault="00843EE1" w:rsidP="00A01E96">
      <w:pPr>
        <w:pStyle w:val="paragraph"/>
        <w:spacing w:before="0" w:beforeAutospacing="0" w:after="120" w:afterAutospacing="0"/>
        <w:jc w:val="both"/>
        <w:textAlignment w:val="baseline"/>
      </w:pPr>
      <w:r>
        <w:rPr>
          <w:rStyle w:val="normaltextrun"/>
          <w:color w:val="000000"/>
          <w:shd w:val="clear" w:color="auto" w:fill="FFFFFF"/>
        </w:rPr>
        <w:t xml:space="preserve">Cette résolution est adressée à la Commission, à Frontex et à l’Office européen de lutte antifraude (OLAF).</w:t>
      </w:r>
      <w:r>
        <w:rPr>
          <w:rStyle w:val="normaltextrun"/>
          <w:color w:val="000000"/>
          <w:shd w:val="clear" w:color="auto" w:fill="FFFFFF"/>
        </w:rPr>
        <w:t xml:space="preserve"> </w:t>
      </w:r>
      <w:r>
        <w:rPr>
          <w:rStyle w:val="normaltextrun"/>
          <w:color w:val="000000"/>
          <w:shd w:val="clear" w:color="auto" w:fill="FFFFFF"/>
        </w:rPr>
        <w:t xml:space="preserve">Elle contient plusieurs recommandations à l’intention de la Commission et de Frontex, ainsi que de quelques-unes à l’OLAF, à adopter sur la base des conclusions du groupe de travail.</w:t>
      </w:r>
      <w:r>
        <w:rPr>
          <w:rStyle w:val="normaltextrun"/>
          <w:color w:val="000000"/>
          <w:shd w:val="clear" w:color="auto" w:fill="FFFFFF"/>
        </w:rPr>
        <w:t xml:space="preserve"> </w:t>
      </w:r>
      <w:r>
        <w:rPr>
          <w:rStyle w:val="normaltextrun"/>
          <w:color w:val="000000"/>
          <w:shd w:val="clear" w:color="auto" w:fill="FFFFFF"/>
        </w:rPr>
        <w:t xml:space="preserve">La Commission a consulté Frontex et l’OLAF sur les recommandations qui lui ont été adressées.</w:t>
      </w:r>
      <w:r>
        <w:rPr>
          <w:rStyle w:val="normaltextrun"/>
          <w:color w:val="000000"/>
          <w:shd w:val="clear" w:color="auto" w:fill="FFFFFF"/>
        </w:rPr>
        <w:t xml:space="preserve"> </w:t>
      </w:r>
      <w:r>
        <w:rPr>
          <w:rStyle w:val="normaltextrun"/>
          <w:color w:val="000000"/>
          <w:shd w:val="clear" w:color="auto" w:fill="FFFFFF"/>
        </w:rPr>
        <w:t xml:space="preserve">Les réponses de la Commission, de Frontex et de l’OLAF à chaque recommandation sont présentées ci-dessous.</w:t>
      </w:r>
    </w:p>
    <w:p w14:paraId="77C656D2" w14:textId="405EF089" w:rsidR="00696F22" w:rsidRDefault="00B14608" w:rsidP="00A83948">
      <w:pPr>
        <w:pStyle w:val="ListParagraph"/>
        <w:widowControl w:val="0"/>
        <w:numPr>
          <w:ilvl w:val="0"/>
          <w:numId w:val="38"/>
        </w:numPr>
        <w:spacing w:after="240"/>
        <w:ind w:left="567" w:hanging="567"/>
        <w:rPr>
          <w:b/>
          <w:szCs w:val="24"/>
        </w:rPr>
      </w:pPr>
      <w:r>
        <w:rPr>
          <w:b/>
        </w:rPr>
        <w:t xml:space="preserve">Réponse aux demandes et aperçu des mesures que la Commission a prises ou envisage de prendre:</w:t>
      </w:r>
    </w:p>
    <w:p w14:paraId="06AABA40" w14:textId="52AF7708" w:rsidR="005D0ABB" w:rsidRDefault="00854F5C" w:rsidP="005B3E78">
      <w:pPr>
        <w:pStyle w:val="paragraph"/>
        <w:spacing w:before="0" w:beforeAutospacing="0" w:after="120" w:afterAutospacing="0"/>
        <w:jc w:val="both"/>
        <w:textAlignment w:val="baseline"/>
        <w:rPr>
          <w:shd w:val="clear" w:color="auto" w:fill="FFFFFF"/>
        </w:rPr>
      </w:pPr>
      <w:r>
        <w:rPr>
          <w:shd w:val="clear" w:color="auto" w:fill="FFFFFF"/>
        </w:rPr>
        <w:t xml:space="preserve">La Commission partage l’avis du Parlement européen sur l’importance de la responsabilité, de la transparence et du contrôle de la conformité de l’action de l’Agence avec le droit de l’Union.</w:t>
      </w:r>
      <w:r>
        <w:rPr>
          <w:shd w:val="clear" w:color="auto" w:fill="FFFFFF"/>
        </w:rPr>
        <w:t xml:space="preserve"> </w:t>
      </w:r>
      <w:r>
        <w:rPr>
          <w:shd w:val="clear" w:color="auto" w:fill="FFFFFF"/>
        </w:rPr>
        <w:t xml:space="preserve">Ces principes ont également été spécifiquement mentionnés par le nouveau directeur exécutif de Frontex comme des priorités essentielles pour sa direction de l’Agence.</w:t>
      </w:r>
      <w:r>
        <w:rPr>
          <w:shd w:val="clear" w:color="auto" w:fill="FFFFFF"/>
        </w:rPr>
        <w:t xml:space="preserve"> </w:t>
      </w:r>
      <w:r>
        <w:rPr>
          <w:shd w:val="clear" w:color="auto" w:fill="FFFFFF"/>
        </w:rPr>
        <w:t xml:space="preserve">L’Agence a accompli des progrès significatifs dans le renforcement de la transparence et de la responsabilité, en particulier à l’égard des institutions européennes, et s’efforce de veiller à ce que le public reçoive des informations complètes, fiables et facilement compréhensibles sur ses activités, y compris par la mise en œuvre de la stratégie de communication externe.</w:t>
      </w:r>
      <w:r>
        <w:rPr>
          <w:shd w:val="clear" w:color="auto" w:fill="FFFFFF"/>
        </w:rPr>
        <w:t xml:space="preserve"> </w:t>
      </w:r>
      <w:r>
        <w:rPr>
          <w:shd w:val="clear" w:color="auto" w:fill="FFFFFF"/>
        </w:rPr>
        <w:t xml:space="preserve">Frontex renforce également sa communication avec le Parlement européen.</w:t>
      </w:r>
      <w:r>
        <w:rPr>
          <w:shd w:val="clear" w:color="auto" w:fill="FFFFFF"/>
        </w:rPr>
        <w:t xml:space="preserve"> </w:t>
      </w:r>
      <w:r>
        <w:rPr>
          <w:shd w:val="clear" w:color="auto" w:fill="FFFFFF"/>
        </w:rPr>
        <w:t xml:space="preserve">Le directeur exécutif participe souvent aux sessions et auditions du Parlement européen, prenant la parole pour rendre compte des activités de l’Agence et répondre directement aux questions des députés au Parlement européen.</w:t>
      </w:r>
      <w:r>
        <w:rPr>
          <w:shd w:val="clear" w:color="auto" w:fill="FFFFFF"/>
        </w:rPr>
        <w:t xml:space="preserve"> </w:t>
      </w:r>
      <w:r>
        <w:rPr>
          <w:shd w:val="clear" w:color="auto" w:fill="FFFFFF"/>
        </w:rPr>
        <w:t xml:space="preserve">En outre, un représentant du Parlement européen est régulièrement invité aux réunions du conseil d’administration.</w:t>
      </w:r>
      <w:r>
        <w:rPr>
          <w:shd w:val="clear" w:color="auto" w:fill="FFFFFF"/>
        </w:rPr>
        <w:t xml:space="preserve"> </w:t>
      </w:r>
      <w:r>
        <w:rPr>
          <w:shd w:val="clear" w:color="auto" w:fill="FFFFFF"/>
        </w:rPr>
        <w:t xml:space="preserve">Depuis avril 2023, l’Agence communique chaque trimestre un «tableau de bord» au groupe de travail sur le contrôle de Frontex de la commission LIBE ainsi qu’à la commission du contrôle budgétaire (CONT) et au forum consultatif.</w:t>
      </w:r>
      <w:r>
        <w:rPr>
          <w:shd w:val="clear" w:color="auto" w:fill="FFFFFF"/>
        </w:rPr>
        <w:t xml:space="preserve"> </w:t>
      </w:r>
      <w:r>
        <w:rPr>
          <w:shd w:val="clear" w:color="auto" w:fill="FFFFFF"/>
        </w:rPr>
        <w:t xml:space="preserve">Cet outil complet d’établissement de rapports comprend des informations détaillées sur les activités opérationnelles en cours, un aperçu des rapports sur les incidents graves, élaboré par l’Office des droits fondamentaux, et l’état d’avancement de la mise en œuvre des recommandations des organes de contrôle (</w:t>
      </w:r>
      <w:r>
        <w:rPr>
          <w:shd w:val="clear" w:color="auto" w:fill="FFFFFF"/>
          <w:b/>
        </w:rPr>
        <w:t xml:space="preserve">paragraphe 2</w:t>
      </w:r>
      <w:r>
        <w:rPr>
          <w:shd w:val="clear" w:color="auto" w:fill="FFFFFF"/>
        </w:rPr>
        <w:t xml:space="preserve">).</w:t>
      </w:r>
    </w:p>
    <w:p w14:paraId="02E141A4" w14:textId="0BDBF5BF" w:rsidR="00854F5C" w:rsidRDefault="00856A2C" w:rsidP="005B3E78">
      <w:pPr>
        <w:pStyle w:val="paragraph"/>
        <w:spacing w:before="0" w:beforeAutospacing="0" w:after="120" w:afterAutospacing="0"/>
        <w:jc w:val="both"/>
        <w:textAlignment w:val="baseline"/>
        <w:rPr>
          <w:shd w:val="clear" w:color="auto" w:fill="FFFFFF"/>
        </w:rPr>
      </w:pPr>
      <w:r>
        <w:rPr>
          <w:shd w:val="clear" w:color="auto" w:fill="FFFFFF"/>
        </w:rPr>
        <w:t xml:space="preserve">La Commission, également en tant que membre du conseil d’administration de Frontex, continuera de donner la priorité à la bonne gouvernance, à la transparence, à la responsabilité et au respect par l’Agence du droit de l’Union et du droit international.</w:t>
      </w:r>
      <w:r>
        <w:rPr>
          <w:shd w:val="clear" w:color="auto" w:fill="FFFFFF"/>
        </w:rPr>
        <w:t xml:space="preserve"> </w:t>
      </w:r>
      <w:r>
        <w:rPr>
          <w:shd w:val="clear" w:color="auto" w:fill="FFFFFF"/>
        </w:rPr>
        <w:t xml:space="preserve">Fin novembre 2023, le conseil d’administration de l’Agence a approuvé une nouvelle structure organisationnelle de Frontex.</w:t>
      </w:r>
      <w:r>
        <w:rPr>
          <w:shd w:val="clear" w:color="auto" w:fill="FFFFFF"/>
        </w:rPr>
        <w:t xml:space="preserve"> </w:t>
      </w:r>
      <w:r>
        <w:rPr>
          <w:shd w:val="clear" w:color="auto" w:fill="FFFFFF"/>
        </w:rPr>
        <w:t xml:space="preserve">En raison du rôle de premier plan que jouent la responsabilité et la transparence dans les relations avec les parties prenantes et les organes de contrôle de Frontex, ces questions relèvent désormais de la responsabilité du directeur exécutif.</w:t>
      </w:r>
      <w:r>
        <w:rPr>
          <w:shd w:val="clear" w:color="auto" w:fill="FFFFFF"/>
        </w:rPr>
        <w:t xml:space="preserve"> </w:t>
      </w:r>
      <w:r>
        <w:rPr>
          <w:shd w:val="clear" w:color="auto" w:fill="FFFFFF"/>
        </w:rPr>
        <w:t xml:space="preserve">À cet égard, une nouvelle division «Stratégie, gouvernance et relations extérieures» a été créée, qui intègre l’unité Stratégie, gouvernance et transparence.</w:t>
      </w:r>
      <w:r>
        <w:rPr>
          <w:shd w:val="clear" w:color="auto" w:fill="FFFFFF"/>
        </w:rPr>
        <w:t xml:space="preserve"> </w:t>
      </w:r>
      <w:r>
        <w:rPr>
          <w:shd w:val="clear" w:color="auto" w:fill="FFFFFF"/>
        </w:rPr>
        <w:t xml:space="preserve">Cette unité a pour mission, entre autres, de renforcer la transparence au sein de l’Agence.</w:t>
      </w:r>
      <w:r>
        <w:rPr>
          <w:shd w:val="clear" w:color="auto" w:fill="FFFFFF"/>
        </w:rPr>
        <w:t xml:space="preserve"> </w:t>
      </w:r>
      <w:r>
        <w:rPr>
          <w:shd w:val="clear" w:color="auto" w:fill="FFFFFF"/>
        </w:rPr>
        <w:t xml:space="preserve">Cette nouvelle structure devrait apporter des améliorations en matière de gouvernance, notamment en augmentant l’efficacité des procédures internes, et produire des effets opérationnels à valeur ajoutée.</w:t>
      </w:r>
      <w:r>
        <w:rPr>
          <w:shd w:val="clear" w:color="auto" w:fill="FFFFFF"/>
        </w:rPr>
        <w:t xml:space="preserve"> </w:t>
      </w:r>
      <w:r>
        <w:rPr>
          <w:shd w:val="clear" w:color="auto" w:fill="FFFFFF"/>
        </w:rPr>
        <w:t xml:space="preserve">Le respect des droits fondamentaux continue de faire partie intégrante des activités de gestion des frontières et il constitue une valeur essentielle de l’Agence, qui continuera de se concentrer sur la mise en œuvre du plan d’action en faveur des droits fondamentaux</w:t>
      </w:r>
      <w:r w:rsidR="004A7370">
        <w:rPr>
          <w:rStyle w:val="FootnoteReference"/>
          <w:shd w:val="clear" w:color="auto" w:fill="FFFFFF"/>
        </w:rPr>
        <w:footnoteReference w:id="2"/>
      </w:r>
      <w:r>
        <w:rPr>
          <w:shd w:val="clear" w:color="auto" w:fill="FFFFFF"/>
        </w:rPr>
        <w:t xml:space="preserve">, ainsi que sur les aspects du plan de mise en œuvre de la stratégie technique et opérationnelle pour la gestion européenne intégrée des frontières (GEIF) qui concernent les droits fondamentaux.</w:t>
      </w:r>
      <w:r>
        <w:rPr>
          <w:shd w:val="clear" w:color="auto" w:fill="FFFFFF"/>
        </w:rPr>
        <w:t xml:space="preserve"> </w:t>
      </w:r>
      <w:r>
        <w:rPr>
          <w:shd w:val="clear" w:color="auto" w:fill="FFFFFF"/>
        </w:rPr>
        <w:t xml:space="preserve">En outre, un nouveau renforcement du bureau indépendant des droits fondamentaux de l’Agence est prévu pour 2024 (</w:t>
      </w:r>
      <w:r>
        <w:rPr>
          <w:shd w:val="clear" w:color="auto" w:fill="FFFFFF"/>
          <w:b/>
          <w:bCs/>
        </w:rPr>
        <w:t xml:space="preserve">paragraphe 3</w:t>
      </w:r>
      <w:r>
        <w:rPr>
          <w:shd w:val="clear" w:color="auto" w:fill="FFFFFF"/>
        </w:rPr>
        <w:t xml:space="preserve">).</w:t>
      </w:r>
    </w:p>
    <w:p w14:paraId="2EC82073" w14:textId="6293F26D" w:rsidR="00854F5C" w:rsidRDefault="00BA3B96" w:rsidP="005B3E78">
      <w:pPr>
        <w:pStyle w:val="paragraph"/>
        <w:spacing w:before="0" w:beforeAutospacing="0" w:after="120" w:afterAutospacing="0"/>
        <w:jc w:val="both"/>
        <w:textAlignment w:val="baseline"/>
        <w:rPr>
          <w:shd w:val="clear" w:color="auto" w:fill="FFFFFF"/>
        </w:rPr>
      </w:pPr>
      <w:r>
        <w:rPr>
          <w:shd w:val="clear" w:color="auto" w:fill="FFFFFF"/>
        </w:rPr>
        <w:t xml:space="preserve">La Commission a connaissance de la position du Parlement européen sur l’enquête de l’OLAF qui était en cours au moment de la procédure de sélection du directeur exécutif.</w:t>
      </w:r>
      <w:r>
        <w:rPr>
          <w:shd w:val="clear" w:color="auto" w:fill="FFFFFF"/>
        </w:rPr>
        <w:t xml:space="preserve"> </w:t>
      </w:r>
      <w:r>
        <w:rPr>
          <w:shd w:val="clear" w:color="auto" w:fill="FFFFFF"/>
        </w:rPr>
        <w:t xml:space="preserve">L’OLAF tient à noter qu’il mène toutes les enquêtes dans le strict respect des règles de confidentialité et des exigences en matière de protection des données, en raison de la nécessité de protéger les droits procéduraux des personnes concernées, et notamment la présomption d’innocence, ainsi que toute action de suivi (</w:t>
      </w:r>
      <w:r>
        <w:rPr>
          <w:shd w:val="clear" w:color="auto" w:fill="FFFFFF"/>
          <w:b/>
          <w:bCs/>
        </w:rPr>
        <w:t xml:space="preserve">paragraphes 5 et 6</w:t>
      </w:r>
      <w:r>
        <w:rPr>
          <w:shd w:val="clear" w:color="auto" w:fill="FFFFFF"/>
        </w:rPr>
        <w:t xml:space="preserve">).</w:t>
      </w:r>
    </w:p>
    <w:p w14:paraId="26E027B7" w14:textId="2880679A" w:rsidR="00854F5C" w:rsidRDefault="00854F5C" w:rsidP="005B3E78">
      <w:pPr>
        <w:pStyle w:val="paragraph"/>
        <w:spacing w:before="0" w:beforeAutospacing="0" w:after="120" w:afterAutospacing="0"/>
        <w:jc w:val="both"/>
        <w:textAlignment w:val="baseline"/>
        <w:rPr>
          <w:shd w:val="clear" w:color="auto" w:fill="FFFFFF"/>
        </w:rPr>
      </w:pPr>
      <w:r>
        <w:rPr>
          <w:shd w:val="clear" w:color="auto" w:fill="FFFFFF"/>
        </w:rPr>
        <w:t xml:space="preserve">La Commission a suivi de près la mise en œuvre des recommandations du groupe de travail et a soutenu ce processus dans son rôle de membre du conseil d’administration.</w:t>
      </w:r>
      <w:r>
        <w:rPr>
          <w:shd w:val="clear" w:color="auto" w:fill="FFFFFF"/>
        </w:rPr>
        <w:t xml:space="preserve"> </w:t>
      </w:r>
      <w:r>
        <w:rPr>
          <w:shd w:val="clear" w:color="auto" w:fill="FFFFFF"/>
        </w:rPr>
        <w:t xml:space="preserve">Il est important de reconnaître les efforts considérables déployés à l’échelle de l’Agence pour permettre la mise en œuvre de la quasi-totalité des 42 recommandations du groupe de travail.</w:t>
      </w:r>
      <w:r>
        <w:rPr>
          <w:shd w:val="clear" w:color="auto" w:fill="FFFFFF"/>
        </w:rPr>
        <w:t xml:space="preserve"> </w:t>
      </w:r>
      <w:r>
        <w:rPr>
          <w:shd w:val="clear" w:color="auto" w:fill="FFFFFF"/>
        </w:rPr>
        <w:t xml:space="preserve">À ce jour, 39 recommandations ont été pleinement mises en œuvre, tandis que l’Agence a clôturé les trois autres recommandations car elles n’ont pas été jugées réalisables (</w:t>
      </w:r>
      <w:r>
        <w:rPr>
          <w:shd w:val="clear" w:color="auto" w:fill="FFFFFF"/>
          <w:b/>
          <w:bCs/>
        </w:rPr>
        <w:t xml:space="preserve">paragraphe 7</w:t>
      </w:r>
      <w:r>
        <w:rPr>
          <w:shd w:val="clear" w:color="auto" w:fill="FFFFFF"/>
        </w:rPr>
        <w:t xml:space="preserve">).</w:t>
      </w:r>
    </w:p>
    <w:p w14:paraId="1408DDF7" w14:textId="3E713431" w:rsidR="00355BB8" w:rsidRDefault="005D0ABB" w:rsidP="00E82B94">
      <w:pPr>
        <w:pStyle w:val="paragraph"/>
        <w:spacing w:before="0" w:beforeAutospacing="0" w:after="120" w:afterAutospacing="0"/>
        <w:jc w:val="both"/>
        <w:textAlignment w:val="baseline"/>
        <w:rPr>
          <w:shd w:val="clear" w:color="auto" w:fill="FFFFFF"/>
        </w:rPr>
      </w:pPr>
      <w:r>
        <w:rPr>
          <w:shd w:val="clear" w:color="auto" w:fill="FFFFFF"/>
        </w:rPr>
        <w:t xml:space="preserve">La Commission partage l’avis du Parlement selon lequel l’officier aux droits fondamentaux (ODF) devrait être consulté systématiquement, proactivement et à un stade précoce dans le processus d’élaboration ou de renouvellement des plans opérationnels (OPLAN).</w:t>
      </w:r>
      <w:r>
        <w:rPr>
          <w:shd w:val="clear" w:color="auto" w:fill="FFFFFF"/>
        </w:rPr>
        <w:t xml:space="preserve"> </w:t>
      </w:r>
      <w:r>
        <w:rPr>
          <w:shd w:val="clear" w:color="auto" w:fill="FFFFFF"/>
        </w:rPr>
        <w:t xml:space="preserve">L’Agence confirme qu’aujourd’hui, tous les OPLAN sont élaborés conformément à la procédure opérationnelle standard interne relative aux OPLAN telle qu’approuvée par la décision R-ED-2023-57 du directeur exécutif.</w:t>
      </w:r>
      <w:r>
        <w:rPr>
          <w:shd w:val="clear" w:color="auto" w:fill="FFFFFF"/>
        </w:rPr>
        <w:t xml:space="preserve"> </w:t>
      </w:r>
      <w:r>
        <w:rPr>
          <w:shd w:val="clear" w:color="auto" w:fill="FFFFFF"/>
        </w:rPr>
        <w:t xml:space="preserve">Conformément à cette décision, l’ODF contribue aux OPLAN lors de la phase initiale de rédaction et émet un avis après que les dispositions des OPLAN ont été convenues avec l’État membre d’accueil ou le pays tiers.</w:t>
      </w:r>
      <w:r>
        <w:rPr>
          <w:shd w:val="clear" w:color="auto" w:fill="FFFFFF"/>
        </w:rPr>
        <w:t xml:space="preserve"> </w:t>
      </w:r>
      <w:r>
        <w:rPr>
          <w:shd w:val="clear" w:color="auto" w:fill="FFFFFF"/>
        </w:rPr>
        <w:t xml:space="preserve">En outre, l’ODF peut émettre des avis supplémentaires à tout moment, si une situation le nécessite.</w:t>
      </w:r>
      <w:r>
        <w:rPr>
          <w:shd w:val="clear" w:color="auto" w:fill="FFFFFF"/>
        </w:rPr>
        <w:t xml:space="preserve"> </w:t>
      </w:r>
      <w:r>
        <w:rPr>
          <w:shd w:val="clear" w:color="auto" w:fill="FFFFFF"/>
        </w:rPr>
        <w:t xml:space="preserve">Frontex confirme également qu’elle fournit un retour d’information à l’ODF en ce qui concerne ses recommandations et justifie dûment pourquoi une recommandation donnée ne pourrait pas être acceptée (</w:t>
      </w:r>
      <w:r>
        <w:rPr>
          <w:shd w:val="clear" w:color="auto" w:fill="FFFFFF"/>
          <w:b/>
          <w:bCs/>
        </w:rPr>
        <w:t xml:space="preserve">paragraphe 7.1</w:t>
      </w:r>
      <w:r>
        <w:rPr>
          <w:shd w:val="clear" w:color="auto" w:fill="FFFFFF"/>
        </w:rPr>
        <w:t xml:space="preserve">).</w:t>
      </w:r>
    </w:p>
    <w:p w14:paraId="1FB833F0" w14:textId="1CD50621" w:rsidR="00854F5C" w:rsidRDefault="001F0367" w:rsidP="001F0367">
      <w:pPr>
        <w:pStyle w:val="paragraph"/>
        <w:spacing w:before="0" w:beforeAutospacing="0" w:after="120" w:afterAutospacing="0"/>
        <w:jc w:val="both"/>
        <w:textAlignment w:val="baseline"/>
        <w:rPr>
          <w:shd w:val="clear" w:color="auto" w:fill="FFFFFF"/>
        </w:rPr>
      </w:pPr>
      <w:r>
        <w:rPr>
          <w:shd w:val="clear" w:color="auto" w:fill="FFFFFF"/>
        </w:rPr>
        <w:t xml:space="preserve">L’Agence note que, dans la pratique, la recommandation d’intégrer un mécanisme d’information transparent dans chaque OPLAN est déjà en cours de mise en œuvre.</w:t>
      </w:r>
      <w:r>
        <w:rPr>
          <w:shd w:val="clear" w:color="auto" w:fill="FFFFFF"/>
        </w:rPr>
        <w:t xml:space="preserve"> </w:t>
      </w:r>
      <w:r>
        <w:rPr>
          <w:shd w:val="clear" w:color="auto" w:fill="FFFFFF"/>
        </w:rPr>
        <w:t xml:space="preserve">Les plans d’activité spécifiques définissent le mécanisme de rapport et le modèle pour les rapports de mission sur les équipements techniques, qui s’appliquent aux moyens déployés par les États membres participants et hôtes, ainsi qu’aux moyens déployés par Frontex (tels que les aéronefs de surveillance Frontex ou les systèmes de surveillance mobiles) dans le cadre de cette même opération conjointe.</w:t>
      </w:r>
      <w:r>
        <w:rPr>
          <w:shd w:val="clear" w:color="auto" w:fill="FFFFFF"/>
        </w:rPr>
        <w:t xml:space="preserve"> </w:t>
      </w:r>
      <w:r>
        <w:rPr>
          <w:shd w:val="clear" w:color="auto" w:fill="FFFFFF"/>
        </w:rPr>
        <w:t xml:space="preserve">Ces rapports de mission garantissent au personnel de Frontex un accès et des informations sur tous les moyens participant à une opération conjointe donnée.</w:t>
      </w:r>
      <w:r>
        <w:rPr>
          <w:shd w:val="clear" w:color="auto" w:fill="FFFFFF"/>
        </w:rPr>
        <w:t xml:space="preserve"> </w:t>
      </w:r>
      <w:r>
        <w:rPr>
          <w:shd w:val="clear" w:color="auto" w:fill="FFFFFF"/>
        </w:rPr>
        <w:t xml:space="preserve">En outre, la Commission maintient qu’il est également essentiel que les contrôleurs des droits fondamentaux se voient accorder le même degré d’accès à toutes les zones opérationnelles que celui accordé à tous les autres membres du personnel déployés par Frontex, comme convenu dans l’OPLAN spécifique et conformément au règlement relatif au corps européen de garde-frontières et de garde-côtes.</w:t>
      </w:r>
      <w:r>
        <w:rPr>
          <w:shd w:val="clear" w:color="auto" w:fill="FFFFFF"/>
        </w:rPr>
        <w:t xml:space="preserve"> </w:t>
      </w:r>
      <w:r>
        <w:rPr>
          <w:shd w:val="clear" w:color="auto" w:fill="FFFFFF"/>
        </w:rPr>
        <w:t xml:space="preserve">Néanmoins, comme indiqué également dans la présente résolution, l’État membre d’accueil a toujours le dernier mot sur la question de savoir s’il y a lieu d’autoriser l’accès, ou dans quelle mesure, à tout membre du personnel de Frontex, y compris les contrôleurs des droits fondamentaux (</w:t>
      </w:r>
      <w:r>
        <w:rPr>
          <w:shd w:val="clear" w:color="auto" w:fill="FFFFFF"/>
          <w:b/>
          <w:bCs/>
        </w:rPr>
        <w:t xml:space="preserve">paragraphe 7.2</w:t>
      </w:r>
      <w:r>
        <w:rPr>
          <w:shd w:val="clear" w:color="auto" w:fill="FFFFFF"/>
        </w:rPr>
        <w:t xml:space="preserve">).</w:t>
      </w:r>
    </w:p>
    <w:p w14:paraId="7DBA3470" w14:textId="00E71714" w:rsidR="00251D83" w:rsidRDefault="00EF3D13" w:rsidP="0052182F">
      <w:pPr>
        <w:pStyle w:val="paragraph"/>
        <w:spacing w:before="0" w:beforeAutospacing="0" w:after="120" w:afterAutospacing="0"/>
        <w:jc w:val="both"/>
        <w:textAlignment w:val="baseline"/>
        <w:rPr>
          <w:shd w:val="clear" w:color="auto" w:fill="FFFFFF"/>
        </w:rPr>
      </w:pPr>
      <w:r>
        <w:rPr>
          <w:shd w:val="clear" w:color="auto" w:fill="FFFFFF"/>
        </w:rPr>
        <w:t xml:space="preserve">Depuis 2021, l’Agence a remanié le mécanisme des lanceurs d’alerte, y compris l’extension de son champ d’application.</w:t>
      </w:r>
      <w:r>
        <w:rPr>
          <w:shd w:val="clear" w:color="auto" w:fill="FFFFFF"/>
        </w:rPr>
        <w:t xml:space="preserve"> </w:t>
      </w:r>
      <w:r>
        <w:rPr>
          <w:shd w:val="clear" w:color="auto" w:fill="FFFFFF"/>
        </w:rPr>
        <w:t xml:space="preserve">La décision 17/2019 du conseil d’administration du 18 juillet 2019 adoptant les lignes directrices de Frontex sur la dénonciation des dysfonctionnements graves («politique en matière de dénonciation des dysfonctionnements») et le code de conduite du personnel de Frontex élargissent explicitement la définition de «membre du personnel» à la totalité des membres du personnel, indépendamment de leur position administrative.</w:t>
      </w:r>
      <w:r>
        <w:rPr>
          <w:shd w:val="clear" w:color="auto" w:fill="FFFFFF"/>
        </w:rPr>
        <w:t xml:space="preserve"> </w:t>
      </w:r>
      <w:r>
        <w:rPr>
          <w:shd w:val="clear" w:color="auto" w:fill="FFFFFF"/>
        </w:rPr>
        <w:t xml:space="preserve">Conformément à son article 3, le code de conduite du personnel de Frontex est applicable aux experts nationaux détachés, aux personnes employées dans le cadre de contrats de droit privé et aux stagiaires.</w:t>
      </w:r>
      <w:r>
        <w:rPr>
          <w:shd w:val="clear" w:color="auto" w:fill="FFFFFF"/>
        </w:rPr>
        <w:t xml:space="preserve"> </w:t>
      </w:r>
      <w:r>
        <w:rPr>
          <w:shd w:val="clear" w:color="auto" w:fill="FFFFFF"/>
        </w:rPr>
        <w:t xml:space="preserve">L’obligation de signaler les irrégularités graves découle des articles 4 et 5 du code de conduite du personnel de Frontex.</w:t>
      </w:r>
      <w:r>
        <w:rPr>
          <w:shd w:val="clear" w:color="auto" w:fill="FFFFFF"/>
        </w:rPr>
        <w:t xml:space="preserve"> </w:t>
      </w:r>
      <w:r>
        <w:rPr>
          <w:shd w:val="clear" w:color="auto" w:fill="FFFFFF"/>
        </w:rPr>
        <w:t xml:space="preserve">En ce qui concerne la protection des lanceurs d’alerte, la protection est accordée aux experts nationaux détachés, aux stagiaires, au personnel intérimaire et aux agents locaux si la dénonciation a eu lieu «de bonne foi», conformément à la décision 17/2019 du conseil d’administration.</w:t>
      </w:r>
      <w:r>
        <w:rPr>
          <w:shd w:val="clear" w:color="auto" w:fill="FFFFFF"/>
        </w:rPr>
        <w:t xml:space="preserve"> </w:t>
      </w:r>
      <w:r>
        <w:rPr>
          <w:shd w:val="clear" w:color="auto" w:fill="FFFFFF"/>
        </w:rPr>
        <w:t xml:space="preserve">L’Agence a également pris des mesures supplémentaires pour promouvoir le signalement des actes répréhensibles, et elle consacre une partie de la formation à l’entrée en service destinée aux nouveaux arrivants à expliquer la politique en matière de dénonciation des dysfonctionnements et à informer sur le processus et les canaux de signalement disponibles (</w:t>
      </w:r>
      <w:r>
        <w:rPr>
          <w:shd w:val="clear" w:color="auto" w:fill="FFFFFF"/>
          <w:b/>
          <w:bCs/>
        </w:rPr>
        <w:t xml:space="preserve">paragraphe 7.3</w:t>
      </w:r>
      <w:r>
        <w:rPr>
          <w:shd w:val="clear" w:color="auto" w:fill="FFFFFF"/>
        </w:rPr>
        <w:t xml:space="preserve">).</w:t>
      </w:r>
    </w:p>
    <w:p w14:paraId="4B676560" w14:textId="3F27FE86" w:rsidR="007A5761" w:rsidRDefault="00BA3B96" w:rsidP="0052182F">
      <w:pPr>
        <w:pStyle w:val="paragraph"/>
        <w:spacing w:before="0" w:beforeAutospacing="0" w:after="120" w:afterAutospacing="0"/>
        <w:jc w:val="both"/>
        <w:textAlignment w:val="baseline"/>
        <w:rPr>
          <w:shd w:val="clear" w:color="auto" w:fill="FFFFFF"/>
        </w:rPr>
      </w:pPr>
      <w:r>
        <w:rPr>
          <w:shd w:val="clear" w:color="auto" w:fill="FFFFFF"/>
        </w:rPr>
        <w:t xml:space="preserve">L’OLAF s’engage, dans le cadre juridique applicable aux enquêtes de l’OLAF, à partager avec le Parlement européen les informations nécessaires à l’exercice de sa fonction de contrôle, notamment en ce qui concerne ses pouvoirs budgétaires.</w:t>
      </w:r>
      <w:r>
        <w:rPr>
          <w:shd w:val="clear" w:color="auto" w:fill="FFFFFF"/>
        </w:rPr>
        <w:t xml:space="preserve"> </w:t>
      </w:r>
      <w:r>
        <w:rPr>
          <w:shd w:val="clear" w:color="auto" w:fill="FFFFFF"/>
        </w:rPr>
        <w:t xml:space="preserve">Un juste équilibre doit être trouvé afin de garantir le respect de la confidentialité des enquêtes, des droits légitimes des personnes concernées et des procédures de suivi (</w:t>
      </w:r>
      <w:r>
        <w:rPr>
          <w:shd w:val="clear" w:color="auto" w:fill="FFFFFF"/>
          <w:b/>
          <w:bCs/>
        </w:rPr>
        <w:t xml:space="preserve">paragraphe 9</w:t>
      </w:r>
      <w:r>
        <w:rPr>
          <w:shd w:val="clear" w:color="auto" w:fill="FFFFFF"/>
        </w:rPr>
        <w:t xml:space="preserve">).</w:t>
      </w:r>
    </w:p>
    <w:p w14:paraId="5399B5E1" w14:textId="784944A2" w:rsidR="00EF3D13" w:rsidRDefault="00EF4328" w:rsidP="00EF4328">
      <w:pPr>
        <w:pStyle w:val="paragraph"/>
        <w:spacing w:before="0" w:beforeAutospacing="0" w:after="120" w:afterAutospacing="0"/>
        <w:jc w:val="both"/>
        <w:textAlignment w:val="baseline"/>
        <w:rPr>
          <w:shd w:val="clear" w:color="auto" w:fill="FFFFFF"/>
        </w:rPr>
      </w:pPr>
      <w:r>
        <w:rPr>
          <w:shd w:val="clear" w:color="auto" w:fill="FFFFFF"/>
        </w:rPr>
        <w:t xml:space="preserve">L’Agence a mis en œuvre 11 des 14 recommandations émises par le Médiateur européen.</w:t>
      </w:r>
      <w:r>
        <w:rPr>
          <w:shd w:val="clear" w:color="auto" w:fill="FFFFFF"/>
        </w:rPr>
        <w:t xml:space="preserve"> </w:t>
      </w:r>
      <w:r>
        <w:rPr>
          <w:shd w:val="clear" w:color="auto" w:fill="FFFFFF"/>
        </w:rPr>
        <w:t xml:space="preserve">L’Agence confirme qu’elle n’a pas été en mesure de respecter pleinement la recommandation de publier les résumés des OPLAN, étant donné que ces résumés contiennent des renseignements susceptibles d’entraver l’efficacité des opérations de gestion des frontières et d’être utilisés à mauvais escient par des organisations criminelles.</w:t>
      </w:r>
      <w:r>
        <w:rPr>
          <w:shd w:val="clear" w:color="auto" w:fill="FFFFFF"/>
        </w:rPr>
        <w:t xml:space="preserve"> </w:t>
      </w:r>
      <w:r>
        <w:rPr>
          <w:shd w:val="clear" w:color="auto" w:fill="FFFFFF"/>
        </w:rPr>
        <w:t xml:space="preserve">Néanmoins, afin d’accroître la transparence, l’Agence a commencé à produire chaque année une «note opérationnelle» sur les activités opérationnelles de Frontex, qui informe le public des opérations de l’Agence et des responsabilités de tous les acteurs concernés.</w:t>
      </w:r>
      <w:r>
        <w:rPr>
          <w:shd w:val="clear" w:color="auto" w:fill="FFFFFF"/>
        </w:rPr>
        <w:t xml:space="preserve"> </w:t>
      </w:r>
      <w:r>
        <w:rPr>
          <w:shd w:val="clear" w:color="auto" w:fill="FFFFFF"/>
        </w:rPr>
        <w:t xml:space="preserve">Le numéro 2023 de la «note opérationnelle», qui couvre l’année opérationnelle 2022, est disponible dans le registre public des documents de Frontex.</w:t>
      </w:r>
      <w:r>
        <w:rPr>
          <w:shd w:val="clear" w:color="auto" w:fill="FFFFFF"/>
        </w:rPr>
        <w:t xml:space="preserve"> </w:t>
      </w:r>
      <w:r>
        <w:rPr>
          <w:shd w:val="clear" w:color="auto" w:fill="FFFFFF"/>
        </w:rPr>
        <w:t xml:space="preserve">En ce qui concerne les demandes d’accès aux documents, l’Agence informe que, conformément au règlement (CE) n° 1049/2001, Frontex traite rapidement toutes les demandes d’accès du public aux documents.</w:t>
      </w:r>
      <w:r>
        <w:rPr>
          <w:shd w:val="clear" w:color="auto" w:fill="FFFFFF"/>
        </w:rPr>
        <w:t xml:space="preserve"> </w:t>
      </w:r>
      <w:r>
        <w:rPr>
          <w:shd w:val="clear" w:color="auto" w:fill="FFFFFF"/>
        </w:rPr>
        <w:t xml:space="preserve">Frontex accuse réception des demandes et commence à les traiter, quel que soit leur volume ou leur complexité, le jour de leur réception ou, au plus tard, le jour ouvrable suivant.</w:t>
      </w:r>
      <w:r>
        <w:rPr>
          <w:shd w:val="clear" w:color="auto" w:fill="FFFFFF"/>
        </w:rPr>
        <w:t xml:space="preserve"> </w:t>
      </w:r>
      <w:r>
        <w:rPr>
          <w:shd w:val="clear" w:color="auto" w:fill="FFFFFF"/>
        </w:rPr>
        <w:t xml:space="preserve">Dans les cas exceptionnels où la demande concerne de nombreux documents, Frontex collabore activement avec les demandeurs pour trouver une solution équitable, comme le recommande le Médiateur européen.</w:t>
      </w:r>
      <w:r>
        <w:rPr>
          <w:shd w:val="clear" w:color="auto" w:fill="FFFFFF"/>
        </w:rPr>
        <w:t xml:space="preserve"> </w:t>
      </w:r>
      <w:r>
        <w:rPr>
          <w:shd w:val="clear" w:color="auto" w:fill="FFFFFF"/>
        </w:rPr>
        <w:t xml:space="preserve">En outre, l’Agence met progressivement à disposition les documents qui ont été publiés à la suite de précédentes demandes d’accès public dans le registre public des documents de Frontex.</w:t>
      </w:r>
      <w:r>
        <w:rPr>
          <w:shd w:val="clear" w:color="auto" w:fill="FFFFFF"/>
        </w:rPr>
        <w:t xml:space="preserve"> </w:t>
      </w:r>
      <w:r>
        <w:rPr>
          <w:shd w:val="clear" w:color="auto" w:fill="FFFFFF"/>
        </w:rPr>
        <w:t xml:space="preserve">Par ailleurs, Frontex s’engage à continuer de coopérer avec les institutions, organes et agences de l’UE afin d’améliorer, dans la mesure du possible, son traitement des demandes d’accès aux documents (</w:t>
      </w:r>
      <w:r>
        <w:rPr>
          <w:shd w:val="clear" w:color="auto" w:fill="FFFFFF"/>
          <w:b/>
          <w:bCs/>
        </w:rPr>
        <w:t xml:space="preserve">paragraphe 10</w:t>
      </w:r>
      <w:r>
        <w:rPr>
          <w:shd w:val="clear" w:color="auto" w:fill="FFFFFF"/>
        </w:rPr>
        <w:t xml:space="preserve">).</w:t>
      </w:r>
    </w:p>
    <w:p w14:paraId="52ED90B0" w14:textId="05B0C950" w:rsidR="00207FD2" w:rsidRDefault="00207FD2" w:rsidP="00A83948">
      <w:pPr>
        <w:pStyle w:val="paragraph"/>
        <w:spacing w:before="0" w:beforeAutospacing="0" w:after="120" w:afterAutospacing="0"/>
        <w:jc w:val="both"/>
        <w:textAlignment w:val="baseline"/>
        <w:rPr>
          <w:shd w:val="clear" w:color="auto" w:fill="FFFFFF"/>
        </w:rPr>
      </w:pPr>
      <w:r>
        <w:rPr>
          <w:shd w:val="clear" w:color="auto" w:fill="FFFFFF"/>
        </w:rPr>
        <w:t xml:space="preserve">La Commission note qu’un expert du Parlement européen est toujours invité à assister aux réunions du conseil d’administration de l’Agence, conformément à l’article 104, paragraphe 7, du règlement (UE) 2019/1896 (</w:t>
      </w:r>
      <w:r>
        <w:rPr>
          <w:shd w:val="clear" w:color="auto" w:fill="FFFFFF"/>
          <w:b/>
          <w:bCs/>
        </w:rPr>
        <w:t xml:space="preserve">paragraphe 11</w:t>
      </w:r>
      <w:r>
        <w:rPr>
          <w:shd w:val="clear" w:color="auto" w:fill="FFFFFF"/>
        </w:rPr>
        <w:t xml:space="preserve">).</w:t>
      </w:r>
    </w:p>
    <w:p w14:paraId="74AEAA41" w14:textId="42267921" w:rsidR="00593CCD" w:rsidRDefault="00D555B9" w:rsidP="00A83948">
      <w:pPr>
        <w:pStyle w:val="paragraph"/>
        <w:spacing w:before="0" w:beforeAutospacing="0" w:after="120" w:afterAutospacing="0"/>
        <w:jc w:val="both"/>
        <w:textAlignment w:val="baseline"/>
        <w:rPr>
          <w:shd w:val="clear" w:color="auto" w:fill="FFFFFF"/>
        </w:rPr>
      </w:pPr>
      <w:r>
        <w:rPr>
          <w:shd w:val="clear" w:color="auto" w:fill="FFFFFF"/>
        </w:rPr>
        <w:t xml:space="preserve">La Commission, également en tant que membre du conseil d’administration de Frontex, confirme sa volonté de veiller à ce que le nombre de contrôleurs des droits fondamentaux reflète le nombre croissant d’opérations et de membres du personnel de Frontex.</w:t>
      </w:r>
      <w:r>
        <w:rPr>
          <w:shd w:val="clear" w:color="auto" w:fill="FFFFFF"/>
        </w:rPr>
        <w:t xml:space="preserve"> </w:t>
      </w:r>
      <w:r>
        <w:rPr>
          <w:shd w:val="clear" w:color="auto" w:fill="FFFFFF"/>
        </w:rPr>
        <w:t xml:space="preserve">Frontex note que, contrairement aux fonctionnaires de l’UE, le personnel de l’Agence de niveau AST n’a pas la possibilité de passer à un groupe de fonctions supérieur.</w:t>
      </w:r>
      <w:r>
        <w:rPr>
          <w:shd w:val="clear" w:color="auto" w:fill="FFFFFF"/>
        </w:rPr>
        <w:t xml:space="preserve">  </w:t>
      </w:r>
      <w:r>
        <w:rPr>
          <w:shd w:val="clear" w:color="auto" w:fill="FFFFFF"/>
        </w:rPr>
        <w:t xml:space="preserve">Néanmoins, compte tenu du nombre limité de nouveaux postes AD disponibles dans le tableau des effectifs de Frontex en 2024, Frontex confirme qu’elle recrutera du personnel AD supplémentaire pour le bureau des droits fondamentaux cette année (</w:t>
      </w:r>
      <w:r>
        <w:rPr>
          <w:shd w:val="clear" w:color="auto" w:fill="FFFFFF"/>
          <w:b/>
          <w:bCs/>
        </w:rPr>
        <w:t xml:space="preserve">paragraphe 12</w:t>
      </w:r>
      <w:r>
        <w:rPr>
          <w:shd w:val="clear" w:color="auto" w:fill="FFFFFF"/>
        </w:rPr>
        <w:t xml:space="preserve">).</w:t>
      </w:r>
    </w:p>
    <w:p w14:paraId="6AB1B4E1" w14:textId="173F8A25" w:rsidR="002A7963" w:rsidRDefault="00593CCD" w:rsidP="00A83948">
      <w:pPr>
        <w:pStyle w:val="paragraph"/>
        <w:spacing w:before="0" w:beforeAutospacing="0" w:after="120" w:afterAutospacing="0"/>
        <w:jc w:val="both"/>
        <w:textAlignment w:val="baseline"/>
        <w:rPr>
          <w:shd w:val="clear" w:color="auto" w:fill="FFFFFF"/>
        </w:rPr>
      </w:pPr>
      <w:r>
        <w:rPr>
          <w:shd w:val="clear" w:color="auto" w:fill="FFFFFF"/>
        </w:rPr>
        <w:t xml:space="preserve">La Commission rappelle que toute violation des droits fondamentaux dans le cadre de la gestion des frontières extérieures n’est pas acceptable et que la gestion sûre et efficace des frontières extérieures de l’Union doit être fermement ancrée dans le respect du droit international et du droit de l’Union.</w:t>
      </w:r>
      <w:r>
        <w:rPr>
          <w:shd w:val="clear" w:color="auto" w:fill="FFFFFF"/>
        </w:rPr>
        <w:t xml:space="preserve"> </w:t>
      </w:r>
      <w:r>
        <w:rPr>
          <w:shd w:val="clear" w:color="auto" w:fill="FFFFFF"/>
        </w:rPr>
        <w:t xml:space="preserve">Il s’agit notamment du respect des droits fondamentaux consacrés par la charte des droits fondamentaux de l’UE et du principe de non-refoulement.</w:t>
      </w:r>
      <w:r>
        <w:rPr>
          <w:shd w:val="clear" w:color="auto" w:fill="FFFFFF"/>
        </w:rPr>
        <w:t xml:space="preserve"> </w:t>
      </w:r>
      <w:r>
        <w:rPr>
          <w:shd w:val="clear" w:color="auto" w:fill="FFFFFF"/>
        </w:rPr>
        <w:t xml:space="preserve">En ce qui concerne les situations mentionnées à l’article 46, l’Agence a adopté la «procédure opérationnelle standard (POS) — Mécanisme visant à retirer le financement d’activités de Frontex, à les suspendre ou à y mettre un terme, ou à ne pas les lancer (conformément à l’article 46)» par décision du directeur exécutif R-ED-2022-12 du 25 janvier 2022.</w:t>
      </w:r>
      <w:r>
        <w:rPr>
          <w:shd w:val="clear" w:color="auto" w:fill="FFFFFF"/>
        </w:rPr>
        <w:t xml:space="preserve"> </w:t>
      </w:r>
      <w:r>
        <w:rPr>
          <w:shd w:val="clear" w:color="auto" w:fill="FFFFFF"/>
        </w:rPr>
        <w:t xml:space="preserve">Comme le prévoit également cette décision, l’Agence a depuis mis en place un groupe de travail chargé de préparer des évaluations détaillées des situations visées à l’article 46.</w:t>
      </w:r>
      <w:r>
        <w:rPr>
          <w:shd w:val="clear" w:color="auto" w:fill="FFFFFF"/>
        </w:rPr>
        <w:t xml:space="preserve"> </w:t>
      </w:r>
      <w:r>
        <w:rPr>
          <w:shd w:val="clear" w:color="auto" w:fill="FFFFFF"/>
        </w:rPr>
        <w:t xml:space="preserve">En ce qui concerne plus particulièrement la Grèce, l’Agence et son ODF ont noué une coopération continue avec les autorités grecques, en mettant particulièrement l’accent sur l’obtention d’améliorations urgentes et tangibles de la situation sur le terrain en ce qui concerne le respect des droits fondamentaux.</w:t>
      </w:r>
      <w:r>
        <w:rPr>
          <w:shd w:val="clear" w:color="auto" w:fill="FFFFFF"/>
        </w:rPr>
        <w:t xml:space="preserve"> </w:t>
      </w:r>
      <w:r>
        <w:rPr>
          <w:shd w:val="clear" w:color="auto" w:fill="FFFFFF"/>
        </w:rPr>
        <w:t xml:space="preserve">Le groupe de travail susmentionné a également élaboré des propositions de mesures correctives dans le contexte de la Grèce, en coopération avec l’ODF, qui visent à garantir le respect des droits fondamentaux et de l’obligation de protection internationale.</w:t>
      </w:r>
      <w:r>
        <w:rPr>
          <w:shd w:val="clear" w:color="auto" w:fill="FFFFFF"/>
        </w:rPr>
        <w:t xml:space="preserve"> </w:t>
      </w:r>
      <w:r>
        <w:rPr>
          <w:shd w:val="clear" w:color="auto" w:fill="FFFFFF"/>
        </w:rPr>
        <w:t xml:space="preserve">L’Agence et l’Office des droits fondamentaux assurent le suivi de leur mise en œuvre.</w:t>
      </w:r>
      <w:r>
        <w:rPr>
          <w:shd w:val="clear" w:color="auto" w:fill="FFFFFF"/>
        </w:rPr>
        <w:t xml:space="preserve"> </w:t>
      </w:r>
      <w:r>
        <w:rPr>
          <w:shd w:val="clear" w:color="auto" w:fill="FFFFFF"/>
        </w:rPr>
        <w:t xml:space="preserve">La Commission, en tant que membre du conseil d’administration, a soutenu à plusieurs reprises ce processus et a réaffirmé l’urgence et l’importance de voir de tels progrès sur le terrain.</w:t>
      </w:r>
      <w:r>
        <w:rPr>
          <w:shd w:val="clear" w:color="auto" w:fill="FFFFFF"/>
        </w:rPr>
        <w:t xml:space="preserve"> </w:t>
      </w:r>
      <w:r>
        <w:t xml:space="preserve">L’Agence indique que, depuis le dernier examen, des progrès notables ont été accomplis dans la mise en œuvre des recommandations du groupe de travail (quatre d’entre elles ont été considérées comme mises en œuvre) et que des progrès ont été accomplis en ce qui concerne le plan de mise en œuvre.</w:t>
      </w:r>
      <w:r>
        <w:rPr>
          <w:shd w:val="clear" w:color="auto" w:fill="FFFFFF"/>
        </w:rPr>
        <w:t xml:space="preserve"> </w:t>
      </w:r>
      <w:r>
        <w:rPr>
          <w:shd w:val="clear" w:color="auto" w:fill="FFFFFF"/>
        </w:rPr>
        <w:t xml:space="preserve">Néanmoins, même après l’évaluation de la mise en œuvre d’un point ou d’une  recommandation, le groupe de travail a l’intention de veiller à ce que les mesures recommandées continuent d’être appliquées.</w:t>
      </w:r>
      <w:r>
        <w:rPr>
          <w:shd w:val="clear" w:color="auto" w:fill="FFFFFF"/>
        </w:rPr>
        <w:t xml:space="preserve"> </w:t>
      </w:r>
      <w:r>
        <w:rPr>
          <w:shd w:val="clear" w:color="auto" w:fill="FFFFFF"/>
        </w:rPr>
        <w:t xml:space="preserve">Dans un deuxième temps, le groupe de travail affinera les indicateurs et les mesures à prendre pour mettre en œuvre les mesures recommandées, mieux rendre compte de l’état d’avancement et indiquer plus clairement à la partie grecque les actions et les résultats escomptés.</w:t>
      </w:r>
      <w:r>
        <w:rPr>
          <w:shd w:val="clear" w:color="auto" w:fill="FFFFFF"/>
        </w:rPr>
        <w:t xml:space="preserve"> </w:t>
      </w:r>
      <w:r>
        <w:rPr>
          <w:shd w:val="clear" w:color="auto" w:fill="FFFFFF"/>
        </w:rPr>
        <w:t xml:space="preserve">D’une manière générale, la nouvelle procédure opérationnelle standard (POS) susmentionnée de l’Agence établit une approche progressive, selon laquelle d’éventuelles mesures visant à atténuer les risques et à corriger les problèmes sont mises en place pour résoudre la situation, avant de déclencher l’article 46.</w:t>
      </w:r>
      <w:r>
        <w:rPr>
          <w:shd w:val="clear" w:color="auto" w:fill="FFFFFF"/>
        </w:rPr>
        <w:t xml:space="preserve"> </w:t>
      </w:r>
      <w:r>
        <w:rPr>
          <w:shd w:val="clear" w:color="auto" w:fill="FFFFFF"/>
        </w:rPr>
        <w:t xml:space="preserve">Toutefois, chaque cas est évalué individuellement en fonction de ses circonstances particulières, et la POS garantit que l’activation du mécanisme lié à l’article 46 peut être (ré)engagée en cas de besoin (</w:t>
      </w:r>
      <w:r>
        <w:rPr>
          <w:shd w:val="clear" w:color="auto" w:fill="FFFFFF"/>
          <w:b/>
          <w:bCs/>
        </w:rPr>
        <w:t xml:space="preserve">paragraphe 13</w:t>
      </w:r>
      <w:r>
        <w:rPr>
          <w:shd w:val="clear" w:color="auto" w:fill="FFFFFF"/>
        </w:rPr>
        <w:t xml:space="preserve">).</w:t>
      </w:r>
    </w:p>
    <w:p w14:paraId="00C44695" w14:textId="7DFCCB08" w:rsidR="002A7963" w:rsidRDefault="00B4150D" w:rsidP="00A83948">
      <w:pPr>
        <w:pStyle w:val="paragraph"/>
        <w:spacing w:before="0" w:beforeAutospacing="0" w:after="120" w:afterAutospacing="0"/>
        <w:jc w:val="both"/>
        <w:textAlignment w:val="baseline"/>
        <w:rPr>
          <w:shd w:val="clear" w:color="auto" w:fill="FFFFFF"/>
        </w:rPr>
      </w:pPr>
      <w:r>
        <w:rPr>
          <w:shd w:val="clear" w:color="auto" w:fill="FFFFFF"/>
        </w:rPr>
        <w:t xml:space="preserve">En règle générale, Frontex s’engage à soutenir pleinement l’enquête lancée par le Médiateur européen.</w:t>
      </w:r>
      <w:r>
        <w:rPr>
          <w:shd w:val="clear" w:color="auto" w:fill="FFFFFF"/>
        </w:rPr>
        <w:t xml:space="preserve"> </w:t>
      </w:r>
      <w:r>
        <w:rPr>
          <w:shd w:val="clear" w:color="auto" w:fill="FFFFFF"/>
        </w:rPr>
        <w:t xml:space="preserve">Il est également important de noter que l’assistance de Frontex ne peut aller que jusqu’où son rôle et son mandat le permettent, et que, pour certaines demandes, le consentement du ou des États membres concernés pourrait également être requis (</w:t>
      </w:r>
      <w:r>
        <w:rPr>
          <w:shd w:val="clear" w:color="auto" w:fill="FFFFFF"/>
          <w:b/>
          <w:bCs/>
        </w:rPr>
        <w:t xml:space="preserve">paragraphe 14</w:t>
      </w:r>
      <w:r>
        <w:rPr>
          <w:shd w:val="clear" w:color="auto" w:fill="FFFFFF"/>
        </w:rPr>
        <w:t xml:space="preserve">).</w:t>
      </w:r>
    </w:p>
    <w:p w14:paraId="21821A8E" w14:textId="186B771D" w:rsidR="00B4150D" w:rsidRDefault="0033315D" w:rsidP="00A83948">
      <w:pPr>
        <w:pStyle w:val="paragraph"/>
        <w:spacing w:before="0" w:beforeAutospacing="0" w:after="120" w:afterAutospacing="0"/>
        <w:jc w:val="both"/>
        <w:textAlignment w:val="baseline"/>
        <w:rPr>
          <w:shd w:val="clear" w:color="auto" w:fill="FFFFFF"/>
        </w:rPr>
      </w:pPr>
      <w:r>
        <w:rPr>
          <w:shd w:val="clear" w:color="auto" w:fill="FFFFFF"/>
        </w:rPr>
        <w:t xml:space="preserve">L’Agence note que ses activités en Lituanie mentionnées dans la résolution ne sont pas affectées par l’arrêt rendu le 30 juin 2022 par la Cour de justice de l’Union européenne dans l’affaire C-72/22 PPU.</w:t>
      </w:r>
      <w:r>
        <w:rPr>
          <w:shd w:val="clear" w:color="auto" w:fill="FFFFFF"/>
        </w:rPr>
        <w:t xml:space="preserve"> </w:t>
      </w:r>
      <w:r>
        <w:rPr>
          <w:shd w:val="clear" w:color="auto" w:fill="FFFFFF"/>
        </w:rPr>
        <w:t xml:space="preserve">Néanmoins, Frontex continue de faire tout ce qui est en son pouvoir pour assurer les garanties établies et l’obligation de signaler toute violation potentielle des droits fondamentaux, comme le prévoient les OPLAN.</w:t>
      </w:r>
      <w:r>
        <w:rPr>
          <w:shd w:val="clear" w:color="auto" w:fill="FFFFFF"/>
        </w:rPr>
        <w:t xml:space="preserve"> </w:t>
      </w:r>
      <w:r>
        <w:rPr>
          <w:shd w:val="clear" w:color="auto" w:fill="FFFFFF"/>
        </w:rPr>
        <w:t xml:space="preserve">L’Agence a mis au point un système d’établissement de rapports, notamment en ce qui concerne l’identification des personnes ou catégories de personnes vulnérables, afin de faciliter leur orientation vers les services et procédures de soutien appropriés.</w:t>
      </w:r>
      <w:r>
        <w:rPr>
          <w:shd w:val="clear" w:color="auto" w:fill="FFFFFF"/>
        </w:rPr>
        <w:t xml:space="preserve"> </w:t>
      </w:r>
      <w:r>
        <w:rPr>
          <w:shd w:val="clear" w:color="auto" w:fill="FFFFFF"/>
        </w:rPr>
        <w:t xml:space="preserve">Un mécanisme de déclaration transparent est intégré dans chaque OPLAN.</w:t>
      </w:r>
      <w:r>
        <w:rPr>
          <w:shd w:val="clear" w:color="auto" w:fill="FFFFFF"/>
        </w:rPr>
        <w:t xml:space="preserve"> </w:t>
      </w:r>
      <w:r>
        <w:rPr>
          <w:shd w:val="clear" w:color="auto" w:fill="FFFFFF"/>
        </w:rPr>
        <w:t xml:space="preserve">En ce qui concerne plus particulièrement la Lituanie, depuis le début du cycle opérationnel 2023, les agents de Frontex sont déployés exclusivement aux points de passage frontaliers en Lituanie et ne participent pas aux activités de surveillance des frontières.</w:t>
      </w:r>
      <w:r>
        <w:rPr>
          <w:shd w:val="clear" w:color="auto" w:fill="FFFFFF"/>
        </w:rPr>
        <w:t xml:space="preserve"> </w:t>
      </w:r>
      <w:r>
        <w:rPr>
          <w:shd w:val="clear" w:color="auto" w:fill="FFFFFF"/>
        </w:rPr>
        <w:t xml:space="preserve">Il s’agit donc principalement d’activités liées à la fraude documentaire, aux contrôles des véhicules et aux cas potentiels de criminalité transfrontière.</w:t>
      </w:r>
      <w:r>
        <w:rPr>
          <w:shd w:val="clear" w:color="auto" w:fill="FFFFFF"/>
        </w:rPr>
        <w:t xml:space="preserve"> </w:t>
      </w:r>
      <w:r>
        <w:rPr>
          <w:shd w:val="clear" w:color="auto" w:fill="FFFFFF"/>
        </w:rPr>
        <w:t xml:space="preserve">Les agents de Frontex mènent leurs activités conformément aux règles et limites fixées par l’OPLAN respectif et doivent respecter pleinement les droits fondamentaux.</w:t>
      </w:r>
      <w:r>
        <w:rPr>
          <w:shd w:val="clear" w:color="auto" w:fill="FFFFFF"/>
        </w:rPr>
        <w:t xml:space="preserve"> </w:t>
      </w:r>
      <w:r>
        <w:rPr>
          <w:shd w:val="clear" w:color="auto" w:fill="FFFFFF"/>
        </w:rPr>
        <w:t xml:space="preserve">Les garanties supplémentaires mises en place comprennent des visites régulières aux points de passage frontaliers où des membres du personnel de Frontex sont déployés par les contrôleurs des droits fondamentaux de Frontex, y compris la possibilité d’organiser des sessions de sensibilisation ad hoc sur les questions relatives aux droits fondamentaux et les évaluations des vulnérabilités au cours des procédures de gestion des frontières, une formation approfondie sur les droits fondamentaux et l’accès à la protection internationale, y compris le respect du principe de non-refoulement, et des activités pour les enfants «Vega» (c’est-à-dire à risque) sur l’identification des enfants et d’autres groupes vulnérables en déplacement, qui sont mises en œuvre en coopération avec l’Organisation internationale pour les migrations à l’un des points de passage frontaliers (</w:t>
      </w:r>
      <w:r>
        <w:rPr>
          <w:shd w:val="clear" w:color="auto" w:fill="FFFFFF"/>
          <w:b/>
          <w:bCs/>
        </w:rPr>
        <w:t xml:space="preserve">paragraphe 15</w:t>
      </w:r>
      <w:r>
        <w:rPr>
          <w:shd w:val="clear" w:color="auto" w:fill="FFFFFF"/>
        </w:rPr>
        <w:t xml:space="preserve">).</w:t>
      </w:r>
    </w:p>
    <w:p w14:paraId="15838899" w14:textId="352253E2" w:rsidR="00F25DC3" w:rsidRDefault="00F25DC3" w:rsidP="00A83948">
      <w:pPr>
        <w:pStyle w:val="paragraph"/>
        <w:spacing w:before="0" w:beforeAutospacing="0" w:after="120" w:afterAutospacing="0"/>
        <w:jc w:val="both"/>
        <w:textAlignment w:val="baseline"/>
        <w:rPr>
          <w:shd w:val="clear" w:color="auto" w:fill="FFFFFF"/>
        </w:rPr>
      </w:pPr>
      <w:r>
        <w:rPr>
          <w:shd w:val="clear" w:color="auto" w:fill="FFFFFF"/>
        </w:rPr>
        <w:t xml:space="preserve">En ce qui concerne le soutien apporté par Frontex à la Hongrie dans le cadre des opérations de retour, la mise en œuvre des retours par vols charters et réguliers est toujours subordonnée à la confirmation par les autorités hongroises que l’assistance de Frontex en matière de retour n’est demandée que dans les cas pour lesquels les procédures sont pleinement conformes au cadre juridique de l’UE en matière de retour et d’asile et pour lesquels des garanties appropriées sont en place.</w:t>
      </w:r>
      <w:r>
        <w:rPr>
          <w:shd w:val="clear" w:color="auto" w:fill="FFFFFF"/>
        </w:rPr>
        <w:t xml:space="preserve"> </w:t>
      </w:r>
      <w:r>
        <w:rPr>
          <w:shd w:val="clear" w:color="auto" w:fill="FFFFFF"/>
        </w:rPr>
        <w:t xml:space="preserve">L’Agence confirme qu’à ce jour, Frontex n’a reçu aucune plainte ni rapport d’incident grave dans le cadre des retours de la Hongrie soutenus par l’Agence.</w:t>
      </w:r>
      <w:r>
        <w:rPr>
          <w:shd w:val="clear" w:color="auto" w:fill="FFFFFF"/>
        </w:rPr>
        <w:t xml:space="preserve"> </w:t>
      </w:r>
      <w:r>
        <w:rPr>
          <w:shd w:val="clear" w:color="auto" w:fill="FFFFFF"/>
        </w:rPr>
        <w:t xml:space="preserve">Parallèlement, Frontex continue de renforcer la coopération avec le bureau du procureur général, l’autorité chargée du contrôle de la détention et du retour forcé des ressortissants de pays tiers sur la base de l’article 8, paragraphe 6, de la directive «retour».</w:t>
      </w:r>
      <w:r>
        <w:rPr>
          <w:shd w:val="clear" w:color="auto" w:fill="FFFFFF"/>
        </w:rPr>
        <w:t xml:space="preserve"> </w:t>
      </w:r>
      <w:r>
        <w:rPr>
          <w:shd w:val="clear" w:color="auto" w:fill="FFFFFF"/>
        </w:rPr>
        <w:t xml:space="preserve">L’ODF a effectué une mission en Hongrie avec la participation de Frontex au deuxième trimestre de 2023.</w:t>
      </w:r>
      <w:r>
        <w:rPr>
          <w:shd w:val="clear" w:color="auto" w:fill="FFFFFF"/>
        </w:rPr>
        <w:t xml:space="preserve"> </w:t>
      </w:r>
      <w:r>
        <w:rPr>
          <w:shd w:val="clear" w:color="auto" w:fill="FFFFFF"/>
        </w:rPr>
        <w:t xml:space="preserve">L’un des objectifs de la mission était de finaliser les pourparlers entre l’officier aux droits fondamentaux et le bureau du procureur général sur la communication systématique de tous les rapports disponibles élaborés par le bureau, qui a depuis lors communiqué un projet de document relatif au cadre de la coopération.</w:t>
      </w:r>
      <w:r>
        <w:rPr>
          <w:shd w:val="clear" w:color="auto" w:fill="FFFFFF"/>
        </w:rPr>
        <w:t xml:space="preserve"> </w:t>
      </w:r>
      <w:r>
        <w:rPr>
          <w:shd w:val="clear" w:color="auto" w:fill="FFFFFF"/>
        </w:rPr>
        <w:t xml:space="preserve">À la suite de la mission, le bureau du procureur général a également nommé un contrôleur hongrois supplémentaire à la réserve des contrôleurs des retours forcés de Frontex.</w:t>
      </w:r>
      <w:r>
        <w:rPr>
          <w:shd w:val="clear" w:color="auto" w:fill="FFFFFF"/>
        </w:rPr>
        <w:t xml:space="preserve"> </w:t>
      </w:r>
      <w:r>
        <w:rPr>
          <w:shd w:val="clear" w:color="auto" w:fill="FFFFFF"/>
        </w:rPr>
        <w:t xml:space="preserve">Grâce à une coopération renforcée avec la police nationale hongroise et la direction générale nationale de la police des étrangers, Frontex a également cherché et obtenu des informations actualisées sur les procédures de retour menées par la Hongrie, en particulier lorsqu’elle bénéficie du soutien de Frontex.</w:t>
      </w:r>
      <w:r>
        <w:rPr>
          <w:shd w:val="clear" w:color="auto" w:fill="FFFFFF"/>
        </w:rPr>
        <w:t xml:space="preserve"> </w:t>
      </w:r>
      <w:r>
        <w:rPr>
          <w:shd w:val="clear" w:color="auto" w:fill="FFFFFF"/>
        </w:rPr>
        <w:t xml:space="preserve">La répartition des responsabilités a été définie plus en détail et il a été confirmé que toutes les opérations de retour hongroises soutenues par Frontex étaient conformes au cadre juridique de l’UE et à toutes les clauses de non-responsabilité et garanties supplémentaires demandées par Frontex (</w:t>
      </w:r>
      <w:r>
        <w:rPr>
          <w:shd w:val="clear" w:color="auto" w:fill="FFFFFF"/>
          <w:b/>
        </w:rPr>
        <w:t xml:space="preserve">paragraphe 16</w:t>
      </w:r>
      <w:r>
        <w:rPr>
          <w:shd w:val="clear" w:color="auto" w:fill="FFFFFF"/>
        </w:rPr>
        <w:t xml:space="preserve">).</w:t>
      </w:r>
    </w:p>
    <w:p w14:paraId="4F7D0AA8" w14:textId="6153AC67" w:rsidR="00013A95" w:rsidRDefault="00013A95" w:rsidP="00013A95">
      <w:pPr>
        <w:pStyle w:val="paragraph"/>
        <w:spacing w:before="0" w:beforeAutospacing="0" w:after="120" w:afterAutospacing="0"/>
        <w:jc w:val="both"/>
        <w:textAlignment w:val="baseline"/>
        <w:rPr>
          <w:shd w:val="clear" w:color="auto" w:fill="FFFFFF"/>
        </w:rPr>
      </w:pPr>
      <w:r>
        <w:rPr>
          <w:shd w:val="clear" w:color="auto" w:fill="FFFFFF"/>
        </w:rPr>
        <w:t xml:space="preserve">La Commission rappelle que la recherche et le sauvetage sont régis par le droit international et que, dans le cadre des opérations en mer coordonnées par le corps européen de garde-frontières et de garde-côtes, le règlement (UE) n° 656/2014 s’applique.</w:t>
      </w:r>
      <w:r>
        <w:rPr>
          <w:shd w:val="clear" w:color="auto" w:fill="FFFFFF"/>
        </w:rPr>
        <w:t xml:space="preserve"> </w:t>
      </w:r>
      <w:r>
        <w:rPr>
          <w:shd w:val="clear" w:color="auto" w:fill="FFFFFF"/>
        </w:rPr>
        <w:t xml:space="preserve">Sa mise en œuvre relève principalement de la compétence des autorités nationales.</w:t>
      </w:r>
      <w:r>
        <w:rPr>
          <w:shd w:val="clear" w:color="auto" w:fill="FFFFFF"/>
        </w:rPr>
        <w:t xml:space="preserve"> </w:t>
      </w:r>
      <w:r>
        <w:rPr>
          <w:shd w:val="clear" w:color="auto" w:fill="FFFFFF"/>
        </w:rPr>
        <w:t xml:space="preserve">Si la coordination des opérations de recherche et de sauvetage relève de la compétence nationale en vertu du droit international, les activités de recherche et de sauvetage constituent également un élément clé de la gestion européenne intégrée des frontières, mise en œuvre en tant que responsabilité partagée par Frontex et les autorités nationales.</w:t>
      </w:r>
      <w:r>
        <w:rPr>
          <w:shd w:val="clear" w:color="auto" w:fill="FFFFFF"/>
        </w:rPr>
        <w:t xml:space="preserve"> </w:t>
      </w:r>
      <w:r>
        <w:rPr>
          <w:shd w:val="clear" w:color="auto" w:fill="FFFFFF"/>
        </w:rPr>
        <w:t xml:space="preserve">En ce qui concerne les opérations de Frontex, les règles générales prévues par le droit international s’appliquent et le règlement relatif au corps européen de garde-frontières et de garde-côtes n’a pas d’incidence sur la répartition des compétences entre l’Union et les États membres, ni sur les obligations des États membres prévues par les conventions internationales afférentes.</w:t>
      </w:r>
      <w:r>
        <w:rPr>
          <w:shd w:val="clear" w:color="auto" w:fill="FFFFFF"/>
        </w:rPr>
        <w:t xml:space="preserve"> </w:t>
      </w:r>
      <w:r>
        <w:rPr>
          <w:shd w:val="clear" w:color="auto" w:fill="FFFFFF"/>
        </w:rPr>
        <w:t xml:space="preserve">Conformément à son mandat, l’Agence réaffirme qu’elle est pleinement déterminée à fournir une assistance technique et opérationnelle aux États membres et aux pays tiers, conformément au droit de l’UE et au droit international, à l’appui des opérations de recherche et de sauvetage de personnes en détresse en mer susceptibles de survenir au cours d’opérations de surveillance des frontières en mer (</w:t>
      </w:r>
      <w:r>
        <w:rPr>
          <w:shd w:val="clear" w:color="auto" w:fill="FFFFFF"/>
          <w:b/>
          <w:bCs/>
        </w:rPr>
        <w:t xml:space="preserve">paragraphes 17 et 18</w:t>
      </w:r>
      <w:r>
        <w:rPr>
          <w:shd w:val="clear" w:color="auto" w:fill="FFFFFF"/>
        </w:rPr>
        <w:t xml:space="preserve">).</w:t>
      </w:r>
    </w:p>
    <w:p w14:paraId="6A5AC258" w14:textId="7FABDB74" w:rsidR="00013A95" w:rsidRDefault="00013A95" w:rsidP="00013A95">
      <w:pPr>
        <w:pStyle w:val="paragraph"/>
        <w:spacing w:before="0" w:beforeAutospacing="0" w:after="120" w:afterAutospacing="0"/>
        <w:jc w:val="both"/>
        <w:textAlignment w:val="baseline"/>
        <w:rPr>
          <w:shd w:val="clear" w:color="auto" w:fill="FFFFFF"/>
        </w:rPr>
      </w:pPr>
      <w:r>
        <w:rPr>
          <w:shd w:val="clear" w:color="auto" w:fill="FFFFFF"/>
        </w:rPr>
        <w:t xml:space="preserve">La Commission n’est pas compétente en ce qui concerne la définition et la gestion des zones de recherche et de sauvetage, la coordination des opérations de recherche et de sauvetage ou l’indication de lieux de débarquement sûrs.</w:t>
      </w:r>
      <w:r>
        <w:rPr>
          <w:shd w:val="clear" w:color="auto" w:fill="FFFFFF"/>
        </w:rPr>
        <w:t xml:space="preserve"> </w:t>
      </w:r>
      <w:r>
        <w:rPr>
          <w:shd w:val="clear" w:color="auto" w:fill="FFFFFF"/>
        </w:rPr>
        <w:t xml:space="preserve">Néanmoins, la position de la Commission est qu’il est essentiel d’établir un cadre de coopération plus coordonné et structuré au niveau de l’UE dans ce domaine, afin d’éviter les incidents en mer, de maintenir la sécurité de la navigation et d’assurer une gestion efficace des migrations, dans le plein respect du droit international et du droit de l’Union.</w:t>
      </w:r>
      <w:r>
        <w:rPr>
          <w:shd w:val="clear" w:color="auto" w:fill="FFFFFF"/>
        </w:rPr>
        <w:t xml:space="preserve"> </w:t>
      </w:r>
      <w:r>
        <w:rPr>
          <w:shd w:val="clear" w:color="auto" w:fill="FFFFFF"/>
        </w:rPr>
        <w:t xml:space="preserve">Tous les acteurs participant à un événement de recherche et de sauvetage devraient suivre les instructions qui leur ont été données par l’autorité nationale coordonnant la réaction, afin de garantir une intervention rapide et efficace, conformément aux principes généraux et aux règles applicables du droit maritime international et du droit international relatif aux droits de l’homme (</w:t>
      </w:r>
      <w:r>
        <w:rPr>
          <w:shd w:val="clear" w:color="auto" w:fill="FFFFFF"/>
          <w:b/>
          <w:bCs/>
        </w:rPr>
        <w:t xml:space="preserve">paragraphe 19</w:t>
      </w:r>
      <w:r>
        <w:rPr>
          <w:shd w:val="clear" w:color="auto" w:fill="FFFFFF"/>
        </w:rPr>
        <w:t xml:space="preserve">).</w:t>
      </w:r>
    </w:p>
    <w:p w14:paraId="39213245" w14:textId="45B2EA14" w:rsidR="00013A95" w:rsidRDefault="003935F7" w:rsidP="00013A95">
      <w:pPr>
        <w:pStyle w:val="paragraph"/>
        <w:spacing w:before="0" w:beforeAutospacing="0" w:after="120" w:afterAutospacing="0"/>
        <w:jc w:val="both"/>
        <w:textAlignment w:val="baseline"/>
        <w:rPr>
          <w:shd w:val="clear" w:color="auto" w:fill="FFFFFF"/>
        </w:rPr>
      </w:pPr>
      <w:r>
        <w:rPr>
          <w:shd w:val="clear" w:color="auto" w:fill="FFFFFF"/>
        </w:rPr>
        <w:t xml:space="preserve">Comme expliqué au considérant 88 du règlement (UE) 2019/1896, la Commission devrait évaluer la situation en matière de droits fondamentaux pertinente pour les domaines couverts par l’accord sur le statut d’un pays tiers et en informer le Parlement européen.</w:t>
      </w:r>
      <w:r>
        <w:rPr>
          <w:shd w:val="clear" w:color="auto" w:fill="FFFFFF"/>
        </w:rPr>
        <w:t xml:space="preserve"> </w:t>
      </w:r>
      <w:r>
        <w:rPr>
          <w:shd w:val="clear" w:color="auto" w:fill="FFFFFF"/>
        </w:rPr>
        <w:t xml:space="preserve">Étant donné que cette évaluation se fonde sur le champ d’application de l’accord négocié, elle ne pourra être effectuée qu’après la conclusion des négociations avec le pays tiers concerné.</w:t>
      </w:r>
      <w:r>
        <w:rPr>
          <w:shd w:val="clear" w:color="auto" w:fill="FFFFFF"/>
        </w:rPr>
        <w:t xml:space="preserve"> </w:t>
      </w:r>
      <w:r>
        <w:rPr>
          <w:shd w:val="clear" w:color="auto" w:fill="FFFFFF"/>
        </w:rPr>
        <w:t xml:space="preserve">En ce qui concerne l’évaluation périodique des opérations conjointes dans les pays tiers, l’Agence note que les rapports d’évaluation conjointe de l’opération conjointe menée dans des pays tiers dans le cadre d’accords sur le statut sont des documents publics.</w:t>
      </w:r>
      <w:r>
        <w:rPr>
          <w:shd w:val="clear" w:color="auto" w:fill="FFFFFF"/>
        </w:rPr>
        <w:t xml:space="preserve"> </w:t>
      </w:r>
      <w:r>
        <w:rPr>
          <w:shd w:val="clear" w:color="auto" w:fill="FFFFFF"/>
        </w:rPr>
        <w:t xml:space="preserve">Frontex est disponible pour communiquer ces rapports au Parlement européen dès que le pays tiers hôte accepte de les rendre publics.</w:t>
      </w:r>
      <w:r>
        <w:rPr>
          <w:shd w:val="clear" w:color="auto" w:fill="FFFFFF"/>
        </w:rPr>
        <w:t xml:space="preserve"> </w:t>
      </w:r>
      <w:r>
        <w:rPr>
          <w:shd w:val="clear" w:color="auto" w:fill="FFFFFF"/>
        </w:rPr>
        <w:t xml:space="preserve">À l’issue de l’opération conjointe dans les pays tiers, l’Agence élabore un rapport d’évaluation de Frontex accompagné des observations de l’ODF, conformément à l’article 47 du règlement (UE) 2019/1896.</w:t>
      </w:r>
      <w:r>
        <w:rPr>
          <w:shd w:val="clear" w:color="auto" w:fill="FFFFFF"/>
        </w:rPr>
        <w:t xml:space="preserve"> </w:t>
      </w:r>
      <w:r>
        <w:rPr>
          <w:shd w:val="clear" w:color="auto" w:fill="FFFFFF"/>
        </w:rPr>
        <w:t xml:space="preserve">Ce rapport d’évaluation est transmis au conseil d’administration.</w:t>
      </w:r>
      <w:r>
        <w:rPr>
          <w:shd w:val="clear" w:color="auto" w:fill="FFFFFF"/>
        </w:rPr>
        <w:t xml:space="preserve"> </w:t>
      </w:r>
      <w:r>
        <w:rPr>
          <w:shd w:val="clear" w:color="auto" w:fill="FFFFFF"/>
        </w:rPr>
        <w:t xml:space="preserve">Le rapport d’évaluation est assorti du statut de sûreté «sensible», ce qui ne permet pas de le rendre public (</w:t>
      </w:r>
      <w:r>
        <w:rPr>
          <w:shd w:val="clear" w:color="auto" w:fill="FFFFFF"/>
          <w:b/>
          <w:bCs/>
        </w:rPr>
        <w:t xml:space="preserve">paragraphe 21</w:t>
      </w:r>
      <w:r>
        <w:rPr>
          <w:shd w:val="clear" w:color="auto" w:fill="FFFFFF"/>
        </w:rPr>
        <w:t xml:space="preserve">).</w:t>
      </w:r>
    </w:p>
    <w:sectPr w:rsidR="00013A95" w:rsidSect="00C85D7E">
      <w:headerReference w:type="even" r:id="rId8"/>
      <w:headerReference w:type="default" r:id="rId9"/>
      <w:footerReference w:type="even" r:id="rId10"/>
      <w:footerReference w:type="default" r:id="rId11"/>
      <w:headerReference w:type="first" r:id="rId12"/>
      <w:footerReference w:type="first" r:id="rId13"/>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67A07" w14:textId="77777777" w:rsidR="00627A79" w:rsidRDefault="00627A79">
      <w:pPr>
        <w:spacing w:line="240" w:lineRule="auto"/>
      </w:pPr>
      <w:r>
        <w:separator/>
      </w:r>
    </w:p>
  </w:endnote>
  <w:endnote w:type="continuationSeparator" w:id="0">
    <w:p w14:paraId="1C61B1D9" w14:textId="77777777" w:rsidR="00627A79" w:rsidRDefault="00627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rsidR="0024208F">
          <w:t>2</w:t>
        </w:r>
        <w: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16FA" w14:textId="020A0E41" w:rsidR="00EC7926" w:rsidRPr="00A83948" w:rsidRDefault="00EC7926" w:rsidP="00A83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956C9" w14:textId="77777777" w:rsidR="00627A79" w:rsidRDefault="00627A79">
      <w:pPr>
        <w:spacing w:line="240" w:lineRule="auto"/>
      </w:pPr>
      <w:r>
        <w:separator/>
      </w:r>
    </w:p>
  </w:footnote>
  <w:footnote w:type="continuationSeparator" w:id="0">
    <w:p w14:paraId="28A2B445" w14:textId="77777777" w:rsidR="00627A79" w:rsidRDefault="00627A79">
      <w:pPr>
        <w:spacing w:line="240" w:lineRule="auto"/>
      </w:pPr>
      <w:r>
        <w:continuationSeparator/>
      </w:r>
    </w:p>
  </w:footnote>
  <w:footnote w:id="1">
    <w:p w14:paraId="1DE25D5E" w14:textId="1B234F7A" w:rsidR="004B653B" w:rsidRPr="00C1290A" w:rsidRDefault="004B653B" w:rsidP="005A7629">
      <w:pPr>
        <w:pStyle w:val="FootnoteText"/>
        <w:spacing w:after="0"/>
      </w:pPr>
      <w:r>
        <w:rPr>
          <w:rStyle w:val="FootnoteReference"/>
        </w:rPr>
        <w:footnoteRef/>
      </w:r>
      <w:r>
        <w:tab/>
      </w:r>
      <w:r>
        <w:t xml:space="preserve">Règlement (UE) 2019/1896 du Parlement européen et du Conseil du 13 novembre 2019 relatif au corps européen de garde-frontières et de garde-côtes et abrogeant les règlements (UE) nº 1052/2013 et (UE) 2016/1624.</w:t>
      </w:r>
    </w:p>
  </w:footnote>
  <w:footnote w:id="2">
    <w:p w14:paraId="6AE46253" w14:textId="2EA9854D" w:rsidR="004A7370" w:rsidRPr="00C1290A" w:rsidRDefault="004A7370" w:rsidP="005A7629">
      <w:pPr>
        <w:pStyle w:val="FootnoteText"/>
        <w:spacing w:after="0"/>
      </w:pPr>
      <w:r>
        <w:rPr>
          <w:rStyle w:val="FootnoteReference"/>
        </w:rPr>
        <w:footnoteRef/>
      </w:r>
      <w:r>
        <w:t xml:space="preserve"> </w:t>
      </w:r>
      <w:r>
        <w:tab/>
      </w:r>
      <w:r>
        <w:t xml:space="preserve">Frontex, 2021.</w:t>
      </w:r>
      <w:r>
        <w:t xml:space="preserve"> </w:t>
      </w:r>
      <w:r>
        <w:t xml:space="preserve">Décision 61/2021 du conseil d’administration portant adoption du plan d’action en faveur des droits fondamentaux pour la mise en œuvre de la stratégie en matière de droits fondamentaux, disponible à l’adresse suivante:</w:t>
      </w:r>
      <w:r>
        <w:t xml:space="preserve"> </w:t>
      </w:r>
      <w:hyperlink r:id="rId1" w:history="1">
        <w:r>
          <w:rPr>
            <w:rStyle w:val="Hyperlink"/>
          </w:rPr>
          <w:t xml:space="preserve">https://prd.frontex.europa.eu/document/management-board-decision-61-2021-adopting-the-fundamental-rights-action-plan-for-the-implementation-of-the-fundamental-rights-strategy/</w:t>
        </w:r>
      </w:hyperlink>
      <w:r>
        <w:t xml:space="preserv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114FA9"/>
    <w:multiLevelType w:val="hybridMultilevel"/>
    <w:tmpl w:val="93803462"/>
    <w:lvl w:ilvl="0" w:tplc="EF4A8722">
      <w:start w:val="1"/>
      <w:numFmt w:val="decimal"/>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3"/>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6"/>
  </w:num>
  <w:num w:numId="28" w16cid:durableId="812521163">
    <w:abstractNumId w:val="37"/>
  </w:num>
  <w:num w:numId="29" w16cid:durableId="316959018">
    <w:abstractNumId w:val="29"/>
  </w:num>
  <w:num w:numId="30" w16cid:durableId="355236493">
    <w:abstractNumId w:val="25"/>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4"/>
  </w:num>
  <w:num w:numId="37" w16cid:durableId="954294422">
    <w:abstractNumId w:val="9"/>
  </w:num>
  <w:num w:numId="38" w16cid:durableId="21232559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pt-PT" w:vendorID="64" w:dllVersion="6" w:nlCheck="1" w:checkStyle="0"/>
  <w:activeWritingStyle w:appName="MSWord" w:lang="en-IE" w:vendorID="64" w:dllVersion="6" w:nlCheck="1" w:checkStyle="1"/>
  <w:activeWritingStyle w:appName="MSWord" w:lang="it-IT" w:vendorID="64" w:dllVersion="6" w:nlCheck="1" w:checkStyle="0"/>
  <w:activeWritingStyle w:appName="MSWord" w:lang="nl-NL" w:vendorID="64" w:dllVersion="6" w:nlCheck="1" w:checkStyle="0"/>
  <w:activeWritingStyle w:appName="MSWord" w:lang="fr-FR" w:vendorID="64" w:dllVersion="6"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proofState w:spelling="dirty" w:grammar="dirty"/>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935ED8"/>
    <w:rsid w:val="00000E45"/>
    <w:rsid w:val="00001C75"/>
    <w:rsid w:val="00002127"/>
    <w:rsid w:val="00002E5D"/>
    <w:rsid w:val="00003414"/>
    <w:rsid w:val="000067A5"/>
    <w:rsid w:val="000067BE"/>
    <w:rsid w:val="0000702D"/>
    <w:rsid w:val="000076B1"/>
    <w:rsid w:val="00011310"/>
    <w:rsid w:val="00011837"/>
    <w:rsid w:val="00013A95"/>
    <w:rsid w:val="00014F9E"/>
    <w:rsid w:val="00015F97"/>
    <w:rsid w:val="00016503"/>
    <w:rsid w:val="00016D89"/>
    <w:rsid w:val="000179A8"/>
    <w:rsid w:val="00017EEB"/>
    <w:rsid w:val="00017F58"/>
    <w:rsid w:val="00020302"/>
    <w:rsid w:val="000212EF"/>
    <w:rsid w:val="000216B0"/>
    <w:rsid w:val="00021A98"/>
    <w:rsid w:val="00021B5A"/>
    <w:rsid w:val="00023D02"/>
    <w:rsid w:val="00023E92"/>
    <w:rsid w:val="00025D11"/>
    <w:rsid w:val="0002612B"/>
    <w:rsid w:val="00026E22"/>
    <w:rsid w:val="00026EFD"/>
    <w:rsid w:val="00026F42"/>
    <w:rsid w:val="000272E3"/>
    <w:rsid w:val="00032279"/>
    <w:rsid w:val="00033358"/>
    <w:rsid w:val="00034338"/>
    <w:rsid w:val="0003642E"/>
    <w:rsid w:val="000371E3"/>
    <w:rsid w:val="000404B8"/>
    <w:rsid w:val="00041B37"/>
    <w:rsid w:val="00045BF0"/>
    <w:rsid w:val="00046224"/>
    <w:rsid w:val="00052442"/>
    <w:rsid w:val="00052506"/>
    <w:rsid w:val="00053607"/>
    <w:rsid w:val="00055079"/>
    <w:rsid w:val="00055096"/>
    <w:rsid w:val="00055589"/>
    <w:rsid w:val="000557D5"/>
    <w:rsid w:val="000577CD"/>
    <w:rsid w:val="00061954"/>
    <w:rsid w:val="0006264D"/>
    <w:rsid w:val="000626D2"/>
    <w:rsid w:val="00065320"/>
    <w:rsid w:val="00065724"/>
    <w:rsid w:val="00067828"/>
    <w:rsid w:val="000712EA"/>
    <w:rsid w:val="000718ED"/>
    <w:rsid w:val="0007573A"/>
    <w:rsid w:val="00076D8B"/>
    <w:rsid w:val="000810C3"/>
    <w:rsid w:val="00081F5A"/>
    <w:rsid w:val="00082868"/>
    <w:rsid w:val="000832AF"/>
    <w:rsid w:val="000840F3"/>
    <w:rsid w:val="00084136"/>
    <w:rsid w:val="00087A63"/>
    <w:rsid w:val="00087AB4"/>
    <w:rsid w:val="0009387E"/>
    <w:rsid w:val="00093F2C"/>
    <w:rsid w:val="000949C4"/>
    <w:rsid w:val="000953C9"/>
    <w:rsid w:val="000957C1"/>
    <w:rsid w:val="00096F3B"/>
    <w:rsid w:val="000A0207"/>
    <w:rsid w:val="000A2685"/>
    <w:rsid w:val="000A3724"/>
    <w:rsid w:val="000A4A12"/>
    <w:rsid w:val="000A5B46"/>
    <w:rsid w:val="000A636A"/>
    <w:rsid w:val="000B1035"/>
    <w:rsid w:val="000B1691"/>
    <w:rsid w:val="000B288C"/>
    <w:rsid w:val="000B3275"/>
    <w:rsid w:val="000B4205"/>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879"/>
    <w:rsid w:val="000F2A1E"/>
    <w:rsid w:val="000F375D"/>
    <w:rsid w:val="000F4894"/>
    <w:rsid w:val="000F6662"/>
    <w:rsid w:val="000F6CE1"/>
    <w:rsid w:val="000F725F"/>
    <w:rsid w:val="001005DC"/>
    <w:rsid w:val="00100CEE"/>
    <w:rsid w:val="00100FD1"/>
    <w:rsid w:val="00102020"/>
    <w:rsid w:val="00102B2E"/>
    <w:rsid w:val="00105CF1"/>
    <w:rsid w:val="001060D4"/>
    <w:rsid w:val="001061D7"/>
    <w:rsid w:val="00106B6C"/>
    <w:rsid w:val="00111212"/>
    <w:rsid w:val="00111253"/>
    <w:rsid w:val="00111573"/>
    <w:rsid w:val="0011199D"/>
    <w:rsid w:val="0011242A"/>
    <w:rsid w:val="00112468"/>
    <w:rsid w:val="00112745"/>
    <w:rsid w:val="00112C54"/>
    <w:rsid w:val="001134C7"/>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438BD"/>
    <w:rsid w:val="00147148"/>
    <w:rsid w:val="00147EC4"/>
    <w:rsid w:val="001522AD"/>
    <w:rsid w:val="00156619"/>
    <w:rsid w:val="00157687"/>
    <w:rsid w:val="0016035E"/>
    <w:rsid w:val="00164E15"/>
    <w:rsid w:val="001653DC"/>
    <w:rsid w:val="00165F24"/>
    <w:rsid w:val="0017144D"/>
    <w:rsid w:val="00171E6F"/>
    <w:rsid w:val="001739C1"/>
    <w:rsid w:val="00173AF4"/>
    <w:rsid w:val="0017494C"/>
    <w:rsid w:val="00177CD5"/>
    <w:rsid w:val="00177E49"/>
    <w:rsid w:val="00180624"/>
    <w:rsid w:val="001816F8"/>
    <w:rsid w:val="001838CA"/>
    <w:rsid w:val="00184159"/>
    <w:rsid w:val="0018510F"/>
    <w:rsid w:val="001870EC"/>
    <w:rsid w:val="00187262"/>
    <w:rsid w:val="00187C9A"/>
    <w:rsid w:val="0019052D"/>
    <w:rsid w:val="00190AE7"/>
    <w:rsid w:val="001912D5"/>
    <w:rsid w:val="00191799"/>
    <w:rsid w:val="001922CC"/>
    <w:rsid w:val="0019325B"/>
    <w:rsid w:val="00194104"/>
    <w:rsid w:val="001952A7"/>
    <w:rsid w:val="001952CB"/>
    <w:rsid w:val="001953FB"/>
    <w:rsid w:val="00195516"/>
    <w:rsid w:val="00195BB4"/>
    <w:rsid w:val="0019716A"/>
    <w:rsid w:val="0019773D"/>
    <w:rsid w:val="00197C1D"/>
    <w:rsid w:val="001A117C"/>
    <w:rsid w:val="001A295A"/>
    <w:rsid w:val="001A2C75"/>
    <w:rsid w:val="001A3A27"/>
    <w:rsid w:val="001A5F28"/>
    <w:rsid w:val="001A6761"/>
    <w:rsid w:val="001A7A13"/>
    <w:rsid w:val="001B1799"/>
    <w:rsid w:val="001B267B"/>
    <w:rsid w:val="001B2806"/>
    <w:rsid w:val="001B3239"/>
    <w:rsid w:val="001B3562"/>
    <w:rsid w:val="001B3CFA"/>
    <w:rsid w:val="001B477D"/>
    <w:rsid w:val="001B4F99"/>
    <w:rsid w:val="001B50B4"/>
    <w:rsid w:val="001B6C58"/>
    <w:rsid w:val="001B6EB1"/>
    <w:rsid w:val="001C0E24"/>
    <w:rsid w:val="001C7AA8"/>
    <w:rsid w:val="001D04C7"/>
    <w:rsid w:val="001D26B8"/>
    <w:rsid w:val="001D2B20"/>
    <w:rsid w:val="001D6416"/>
    <w:rsid w:val="001D65E0"/>
    <w:rsid w:val="001D7D21"/>
    <w:rsid w:val="001E1E30"/>
    <w:rsid w:val="001E216D"/>
    <w:rsid w:val="001E430C"/>
    <w:rsid w:val="001E53FF"/>
    <w:rsid w:val="001E59B8"/>
    <w:rsid w:val="001E60C0"/>
    <w:rsid w:val="001E64A0"/>
    <w:rsid w:val="001F0367"/>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0E4"/>
    <w:rsid w:val="002078FA"/>
    <w:rsid w:val="00207FD2"/>
    <w:rsid w:val="0021178C"/>
    <w:rsid w:val="00216AEE"/>
    <w:rsid w:val="00220B4E"/>
    <w:rsid w:val="002216E4"/>
    <w:rsid w:val="002219A6"/>
    <w:rsid w:val="00221C5C"/>
    <w:rsid w:val="00223D38"/>
    <w:rsid w:val="00225916"/>
    <w:rsid w:val="002318F2"/>
    <w:rsid w:val="00232488"/>
    <w:rsid w:val="002347A0"/>
    <w:rsid w:val="0023583E"/>
    <w:rsid w:val="00235B75"/>
    <w:rsid w:val="002360D9"/>
    <w:rsid w:val="0023647E"/>
    <w:rsid w:val="00236765"/>
    <w:rsid w:val="00240048"/>
    <w:rsid w:val="00241DEB"/>
    <w:rsid w:val="0024208F"/>
    <w:rsid w:val="00242CD4"/>
    <w:rsid w:val="002455EC"/>
    <w:rsid w:val="00245DBC"/>
    <w:rsid w:val="0024709A"/>
    <w:rsid w:val="00247145"/>
    <w:rsid w:val="00247E3D"/>
    <w:rsid w:val="00250F89"/>
    <w:rsid w:val="00251D83"/>
    <w:rsid w:val="002523DA"/>
    <w:rsid w:val="002566EF"/>
    <w:rsid w:val="002576E0"/>
    <w:rsid w:val="00257975"/>
    <w:rsid w:val="00260CA7"/>
    <w:rsid w:val="00260EB3"/>
    <w:rsid w:val="00262F21"/>
    <w:rsid w:val="002631A7"/>
    <w:rsid w:val="00263D68"/>
    <w:rsid w:val="0026424D"/>
    <w:rsid w:val="00264BF5"/>
    <w:rsid w:val="002654F8"/>
    <w:rsid w:val="002706B7"/>
    <w:rsid w:val="002711BA"/>
    <w:rsid w:val="00271E2E"/>
    <w:rsid w:val="00272613"/>
    <w:rsid w:val="00276F5B"/>
    <w:rsid w:val="00285581"/>
    <w:rsid w:val="0028588E"/>
    <w:rsid w:val="00286134"/>
    <w:rsid w:val="0029072A"/>
    <w:rsid w:val="00291A9B"/>
    <w:rsid w:val="00297A6F"/>
    <w:rsid w:val="002A02CF"/>
    <w:rsid w:val="002A095B"/>
    <w:rsid w:val="002A1869"/>
    <w:rsid w:val="002A37E6"/>
    <w:rsid w:val="002A4473"/>
    <w:rsid w:val="002A4D93"/>
    <w:rsid w:val="002A5837"/>
    <w:rsid w:val="002A58C8"/>
    <w:rsid w:val="002A5F2D"/>
    <w:rsid w:val="002A6F3B"/>
    <w:rsid w:val="002A7963"/>
    <w:rsid w:val="002B0075"/>
    <w:rsid w:val="002B01D8"/>
    <w:rsid w:val="002B1C45"/>
    <w:rsid w:val="002B2E4E"/>
    <w:rsid w:val="002B2F7C"/>
    <w:rsid w:val="002B5A55"/>
    <w:rsid w:val="002B7441"/>
    <w:rsid w:val="002C0050"/>
    <w:rsid w:val="002C11D2"/>
    <w:rsid w:val="002C42A0"/>
    <w:rsid w:val="002C4D1F"/>
    <w:rsid w:val="002C61F4"/>
    <w:rsid w:val="002C7B56"/>
    <w:rsid w:val="002D1F6A"/>
    <w:rsid w:val="002D2B8E"/>
    <w:rsid w:val="002D5EF2"/>
    <w:rsid w:val="002E043F"/>
    <w:rsid w:val="002E1418"/>
    <w:rsid w:val="002E190A"/>
    <w:rsid w:val="002E6296"/>
    <w:rsid w:val="002E6688"/>
    <w:rsid w:val="002E777F"/>
    <w:rsid w:val="002E7F0A"/>
    <w:rsid w:val="002F2144"/>
    <w:rsid w:val="002F35B1"/>
    <w:rsid w:val="002F3C4F"/>
    <w:rsid w:val="002F7208"/>
    <w:rsid w:val="002F7976"/>
    <w:rsid w:val="0030280B"/>
    <w:rsid w:val="003030EB"/>
    <w:rsid w:val="00303A72"/>
    <w:rsid w:val="00307670"/>
    <w:rsid w:val="00310798"/>
    <w:rsid w:val="00312B3F"/>
    <w:rsid w:val="003131D1"/>
    <w:rsid w:val="00314DE1"/>
    <w:rsid w:val="003167C9"/>
    <w:rsid w:val="0031759A"/>
    <w:rsid w:val="00322729"/>
    <w:rsid w:val="00322B0D"/>
    <w:rsid w:val="003233CF"/>
    <w:rsid w:val="003248B4"/>
    <w:rsid w:val="00325C34"/>
    <w:rsid w:val="00325CA1"/>
    <w:rsid w:val="003260D3"/>
    <w:rsid w:val="00331238"/>
    <w:rsid w:val="0033315D"/>
    <w:rsid w:val="003350A3"/>
    <w:rsid w:val="00335951"/>
    <w:rsid w:val="003362DC"/>
    <w:rsid w:val="00336317"/>
    <w:rsid w:val="00342308"/>
    <w:rsid w:val="003424B9"/>
    <w:rsid w:val="00343894"/>
    <w:rsid w:val="00346439"/>
    <w:rsid w:val="0035007C"/>
    <w:rsid w:val="0035149E"/>
    <w:rsid w:val="00351503"/>
    <w:rsid w:val="00353C2E"/>
    <w:rsid w:val="003548F5"/>
    <w:rsid w:val="00355BB8"/>
    <w:rsid w:val="00356506"/>
    <w:rsid w:val="003566B5"/>
    <w:rsid w:val="003567A4"/>
    <w:rsid w:val="003576C5"/>
    <w:rsid w:val="003577DA"/>
    <w:rsid w:val="00357A32"/>
    <w:rsid w:val="00357C41"/>
    <w:rsid w:val="003603CF"/>
    <w:rsid w:val="00360F5F"/>
    <w:rsid w:val="0036131E"/>
    <w:rsid w:val="00361561"/>
    <w:rsid w:val="0036264F"/>
    <w:rsid w:val="00362FD5"/>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16B7"/>
    <w:rsid w:val="003829E1"/>
    <w:rsid w:val="00382CB5"/>
    <w:rsid w:val="003830C4"/>
    <w:rsid w:val="003838C6"/>
    <w:rsid w:val="00383B8B"/>
    <w:rsid w:val="00390076"/>
    <w:rsid w:val="00390429"/>
    <w:rsid w:val="00391983"/>
    <w:rsid w:val="00391BEE"/>
    <w:rsid w:val="003935F7"/>
    <w:rsid w:val="00393E7F"/>
    <w:rsid w:val="00394375"/>
    <w:rsid w:val="00394BAD"/>
    <w:rsid w:val="00395751"/>
    <w:rsid w:val="003A033C"/>
    <w:rsid w:val="003A1199"/>
    <w:rsid w:val="003A14DC"/>
    <w:rsid w:val="003A1A82"/>
    <w:rsid w:val="003A27E3"/>
    <w:rsid w:val="003A3D18"/>
    <w:rsid w:val="003A59B1"/>
    <w:rsid w:val="003A616A"/>
    <w:rsid w:val="003A63E7"/>
    <w:rsid w:val="003B184A"/>
    <w:rsid w:val="003B21A9"/>
    <w:rsid w:val="003B4E1C"/>
    <w:rsid w:val="003B5081"/>
    <w:rsid w:val="003B552D"/>
    <w:rsid w:val="003B55E4"/>
    <w:rsid w:val="003B6145"/>
    <w:rsid w:val="003C1995"/>
    <w:rsid w:val="003C1AB1"/>
    <w:rsid w:val="003C25A2"/>
    <w:rsid w:val="003C5DEE"/>
    <w:rsid w:val="003C6DA8"/>
    <w:rsid w:val="003C7591"/>
    <w:rsid w:val="003C77EC"/>
    <w:rsid w:val="003C7CCB"/>
    <w:rsid w:val="003C7D43"/>
    <w:rsid w:val="003D00A5"/>
    <w:rsid w:val="003D0488"/>
    <w:rsid w:val="003D23AD"/>
    <w:rsid w:val="003D2583"/>
    <w:rsid w:val="003D28EA"/>
    <w:rsid w:val="003D3CB3"/>
    <w:rsid w:val="003D3D6D"/>
    <w:rsid w:val="003D51FF"/>
    <w:rsid w:val="003D5B3C"/>
    <w:rsid w:val="003D6D9C"/>
    <w:rsid w:val="003D7D20"/>
    <w:rsid w:val="003E1D1E"/>
    <w:rsid w:val="003E4886"/>
    <w:rsid w:val="003E4A3C"/>
    <w:rsid w:val="003E6FD7"/>
    <w:rsid w:val="003F01E8"/>
    <w:rsid w:val="003F0700"/>
    <w:rsid w:val="003F0CCF"/>
    <w:rsid w:val="003F14D9"/>
    <w:rsid w:val="003F2BE5"/>
    <w:rsid w:val="003F4225"/>
    <w:rsid w:val="003F45CD"/>
    <w:rsid w:val="00401406"/>
    <w:rsid w:val="00401AE3"/>
    <w:rsid w:val="00402105"/>
    <w:rsid w:val="004022C6"/>
    <w:rsid w:val="004034C6"/>
    <w:rsid w:val="0040545B"/>
    <w:rsid w:val="00406310"/>
    <w:rsid w:val="00406359"/>
    <w:rsid w:val="004064AC"/>
    <w:rsid w:val="004068EE"/>
    <w:rsid w:val="00407049"/>
    <w:rsid w:val="004075B2"/>
    <w:rsid w:val="0041261E"/>
    <w:rsid w:val="00415456"/>
    <w:rsid w:val="00416E3A"/>
    <w:rsid w:val="00417518"/>
    <w:rsid w:val="004201F6"/>
    <w:rsid w:val="004209B8"/>
    <w:rsid w:val="00422B13"/>
    <w:rsid w:val="004238D3"/>
    <w:rsid w:val="004247BB"/>
    <w:rsid w:val="00425B42"/>
    <w:rsid w:val="00425F0A"/>
    <w:rsid w:val="004304B6"/>
    <w:rsid w:val="00430AE0"/>
    <w:rsid w:val="00431DFE"/>
    <w:rsid w:val="00434678"/>
    <w:rsid w:val="004353F6"/>
    <w:rsid w:val="0043565D"/>
    <w:rsid w:val="00435B3B"/>
    <w:rsid w:val="00437D6C"/>
    <w:rsid w:val="00440609"/>
    <w:rsid w:val="00442283"/>
    <w:rsid w:val="00442E3B"/>
    <w:rsid w:val="00443292"/>
    <w:rsid w:val="004440DE"/>
    <w:rsid w:val="004513B3"/>
    <w:rsid w:val="004518F8"/>
    <w:rsid w:val="00452FE1"/>
    <w:rsid w:val="004533DF"/>
    <w:rsid w:val="004551A1"/>
    <w:rsid w:val="00455DE2"/>
    <w:rsid w:val="004564C9"/>
    <w:rsid w:val="004612AF"/>
    <w:rsid w:val="00464769"/>
    <w:rsid w:val="00466693"/>
    <w:rsid w:val="00471C99"/>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A7370"/>
    <w:rsid w:val="004B0C97"/>
    <w:rsid w:val="004B3570"/>
    <w:rsid w:val="004B3805"/>
    <w:rsid w:val="004B653B"/>
    <w:rsid w:val="004B751B"/>
    <w:rsid w:val="004C02AD"/>
    <w:rsid w:val="004C2708"/>
    <w:rsid w:val="004C3D46"/>
    <w:rsid w:val="004C75FE"/>
    <w:rsid w:val="004D0416"/>
    <w:rsid w:val="004D3828"/>
    <w:rsid w:val="004D3A42"/>
    <w:rsid w:val="004D4210"/>
    <w:rsid w:val="004D544A"/>
    <w:rsid w:val="004D585F"/>
    <w:rsid w:val="004D7287"/>
    <w:rsid w:val="004E1C80"/>
    <w:rsid w:val="004E2CB7"/>
    <w:rsid w:val="004E2DF6"/>
    <w:rsid w:val="004E3B6F"/>
    <w:rsid w:val="004E41A7"/>
    <w:rsid w:val="004E49EF"/>
    <w:rsid w:val="004F0D29"/>
    <w:rsid w:val="004F15BC"/>
    <w:rsid w:val="004F257D"/>
    <w:rsid w:val="004F29D8"/>
    <w:rsid w:val="004F6866"/>
    <w:rsid w:val="004F68BF"/>
    <w:rsid w:val="00500A06"/>
    <w:rsid w:val="00500DDA"/>
    <w:rsid w:val="005011F6"/>
    <w:rsid w:val="00501994"/>
    <w:rsid w:val="00502F56"/>
    <w:rsid w:val="005043DB"/>
    <w:rsid w:val="005068E4"/>
    <w:rsid w:val="0051150A"/>
    <w:rsid w:val="00512582"/>
    <w:rsid w:val="00516755"/>
    <w:rsid w:val="00517385"/>
    <w:rsid w:val="00517B51"/>
    <w:rsid w:val="00517EF1"/>
    <w:rsid w:val="0052009A"/>
    <w:rsid w:val="00520D95"/>
    <w:rsid w:val="00521425"/>
    <w:rsid w:val="0052176E"/>
    <w:rsid w:val="0052182F"/>
    <w:rsid w:val="00527444"/>
    <w:rsid w:val="00527E4F"/>
    <w:rsid w:val="00532406"/>
    <w:rsid w:val="005334A9"/>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10DA"/>
    <w:rsid w:val="00561876"/>
    <w:rsid w:val="00566ED7"/>
    <w:rsid w:val="005675C4"/>
    <w:rsid w:val="00570327"/>
    <w:rsid w:val="005713F5"/>
    <w:rsid w:val="005714C1"/>
    <w:rsid w:val="005726BF"/>
    <w:rsid w:val="005746E1"/>
    <w:rsid w:val="00576FC4"/>
    <w:rsid w:val="0057725B"/>
    <w:rsid w:val="00580A32"/>
    <w:rsid w:val="00580FC5"/>
    <w:rsid w:val="00583C59"/>
    <w:rsid w:val="00585C0A"/>
    <w:rsid w:val="00586B68"/>
    <w:rsid w:val="00586C9E"/>
    <w:rsid w:val="00586DAC"/>
    <w:rsid w:val="00586DD9"/>
    <w:rsid w:val="005907E4"/>
    <w:rsid w:val="005932F3"/>
    <w:rsid w:val="00593C1E"/>
    <w:rsid w:val="00593CCD"/>
    <w:rsid w:val="0059401B"/>
    <w:rsid w:val="005960D2"/>
    <w:rsid w:val="005A0F32"/>
    <w:rsid w:val="005A20A8"/>
    <w:rsid w:val="005A4A90"/>
    <w:rsid w:val="005A514F"/>
    <w:rsid w:val="005A5363"/>
    <w:rsid w:val="005A63EC"/>
    <w:rsid w:val="005A7629"/>
    <w:rsid w:val="005B0232"/>
    <w:rsid w:val="005B1FC7"/>
    <w:rsid w:val="005B343E"/>
    <w:rsid w:val="005B3E78"/>
    <w:rsid w:val="005B67C4"/>
    <w:rsid w:val="005B7165"/>
    <w:rsid w:val="005C1583"/>
    <w:rsid w:val="005C54F0"/>
    <w:rsid w:val="005C6A02"/>
    <w:rsid w:val="005C6D63"/>
    <w:rsid w:val="005D0ABB"/>
    <w:rsid w:val="005D1F63"/>
    <w:rsid w:val="005D4649"/>
    <w:rsid w:val="005D6D94"/>
    <w:rsid w:val="005D6FE4"/>
    <w:rsid w:val="005D7E58"/>
    <w:rsid w:val="005E0D93"/>
    <w:rsid w:val="005E1960"/>
    <w:rsid w:val="005E1D91"/>
    <w:rsid w:val="005E2C34"/>
    <w:rsid w:val="005E3152"/>
    <w:rsid w:val="005E4581"/>
    <w:rsid w:val="005E534D"/>
    <w:rsid w:val="005E6EAF"/>
    <w:rsid w:val="005F0582"/>
    <w:rsid w:val="005F0778"/>
    <w:rsid w:val="005F088C"/>
    <w:rsid w:val="005F1E1E"/>
    <w:rsid w:val="005F2465"/>
    <w:rsid w:val="005F2744"/>
    <w:rsid w:val="005F2E7D"/>
    <w:rsid w:val="005F3A08"/>
    <w:rsid w:val="005F4127"/>
    <w:rsid w:val="005F4822"/>
    <w:rsid w:val="005F644B"/>
    <w:rsid w:val="005F7643"/>
    <w:rsid w:val="005F79FB"/>
    <w:rsid w:val="00600B5B"/>
    <w:rsid w:val="00602F7B"/>
    <w:rsid w:val="00602FFD"/>
    <w:rsid w:val="00603199"/>
    <w:rsid w:val="006035C1"/>
    <w:rsid w:val="00605751"/>
    <w:rsid w:val="00605E2B"/>
    <w:rsid w:val="00606568"/>
    <w:rsid w:val="00612398"/>
    <w:rsid w:val="00612FE2"/>
    <w:rsid w:val="006134A0"/>
    <w:rsid w:val="0061417E"/>
    <w:rsid w:val="0061419A"/>
    <w:rsid w:val="00614FB9"/>
    <w:rsid w:val="006150FB"/>
    <w:rsid w:val="00615F94"/>
    <w:rsid w:val="00616618"/>
    <w:rsid w:val="00616C77"/>
    <w:rsid w:val="0062075A"/>
    <w:rsid w:val="00621D5D"/>
    <w:rsid w:val="00623433"/>
    <w:rsid w:val="00623585"/>
    <w:rsid w:val="00627A79"/>
    <w:rsid w:val="00635902"/>
    <w:rsid w:val="00636ECF"/>
    <w:rsid w:val="00640D77"/>
    <w:rsid w:val="0064234A"/>
    <w:rsid w:val="00644E59"/>
    <w:rsid w:val="0064526E"/>
    <w:rsid w:val="0064687A"/>
    <w:rsid w:val="00646A03"/>
    <w:rsid w:val="00647FEC"/>
    <w:rsid w:val="00650046"/>
    <w:rsid w:val="00650BAC"/>
    <w:rsid w:val="00652281"/>
    <w:rsid w:val="00652450"/>
    <w:rsid w:val="00654DE9"/>
    <w:rsid w:val="0065553C"/>
    <w:rsid w:val="006555F9"/>
    <w:rsid w:val="00655F34"/>
    <w:rsid w:val="00656CFA"/>
    <w:rsid w:val="00660761"/>
    <w:rsid w:val="006610E2"/>
    <w:rsid w:val="00661505"/>
    <w:rsid w:val="006620DB"/>
    <w:rsid w:val="006635DB"/>
    <w:rsid w:val="006640E8"/>
    <w:rsid w:val="00666738"/>
    <w:rsid w:val="006678E0"/>
    <w:rsid w:val="006704E7"/>
    <w:rsid w:val="006714F3"/>
    <w:rsid w:val="0067260F"/>
    <w:rsid w:val="006765A0"/>
    <w:rsid w:val="006809A7"/>
    <w:rsid w:val="00682D50"/>
    <w:rsid w:val="0068396B"/>
    <w:rsid w:val="00683FF3"/>
    <w:rsid w:val="006869DB"/>
    <w:rsid w:val="00686F21"/>
    <w:rsid w:val="00687B56"/>
    <w:rsid w:val="00690A17"/>
    <w:rsid w:val="00692AD7"/>
    <w:rsid w:val="006957A3"/>
    <w:rsid w:val="00696C8A"/>
    <w:rsid w:val="00696F22"/>
    <w:rsid w:val="0069713F"/>
    <w:rsid w:val="00697455"/>
    <w:rsid w:val="006A0162"/>
    <w:rsid w:val="006A0C11"/>
    <w:rsid w:val="006A1DAC"/>
    <w:rsid w:val="006A328C"/>
    <w:rsid w:val="006A40B6"/>
    <w:rsid w:val="006A50B7"/>
    <w:rsid w:val="006A5DB0"/>
    <w:rsid w:val="006B0AC3"/>
    <w:rsid w:val="006B40C2"/>
    <w:rsid w:val="006B4964"/>
    <w:rsid w:val="006B64F3"/>
    <w:rsid w:val="006C05B6"/>
    <w:rsid w:val="006C080F"/>
    <w:rsid w:val="006C0DAC"/>
    <w:rsid w:val="006C7CE1"/>
    <w:rsid w:val="006D03D1"/>
    <w:rsid w:val="006D0602"/>
    <w:rsid w:val="006D129F"/>
    <w:rsid w:val="006D1FB5"/>
    <w:rsid w:val="006D4C90"/>
    <w:rsid w:val="006D5098"/>
    <w:rsid w:val="006D54F2"/>
    <w:rsid w:val="006D5903"/>
    <w:rsid w:val="006D59DC"/>
    <w:rsid w:val="006D5E46"/>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20D"/>
    <w:rsid w:val="00703D9F"/>
    <w:rsid w:val="00704311"/>
    <w:rsid w:val="00705FF2"/>
    <w:rsid w:val="007071FE"/>
    <w:rsid w:val="00710815"/>
    <w:rsid w:val="00711C88"/>
    <w:rsid w:val="00714BDB"/>
    <w:rsid w:val="00714C30"/>
    <w:rsid w:val="007156EA"/>
    <w:rsid w:val="00715A28"/>
    <w:rsid w:val="00715B0B"/>
    <w:rsid w:val="00715D4E"/>
    <w:rsid w:val="0071683A"/>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0EA"/>
    <w:rsid w:val="00742B5F"/>
    <w:rsid w:val="00743311"/>
    <w:rsid w:val="00743EA2"/>
    <w:rsid w:val="00744C48"/>
    <w:rsid w:val="00744F34"/>
    <w:rsid w:val="00745020"/>
    <w:rsid w:val="00745618"/>
    <w:rsid w:val="007502E9"/>
    <w:rsid w:val="007514DC"/>
    <w:rsid w:val="007522B9"/>
    <w:rsid w:val="007576C4"/>
    <w:rsid w:val="00757751"/>
    <w:rsid w:val="007604E9"/>
    <w:rsid w:val="00761477"/>
    <w:rsid w:val="00762164"/>
    <w:rsid w:val="00762179"/>
    <w:rsid w:val="007634A1"/>
    <w:rsid w:val="007641FC"/>
    <w:rsid w:val="007655B9"/>
    <w:rsid w:val="00765A4A"/>
    <w:rsid w:val="00766A15"/>
    <w:rsid w:val="0076779A"/>
    <w:rsid w:val="0076785A"/>
    <w:rsid w:val="007732D6"/>
    <w:rsid w:val="0077371F"/>
    <w:rsid w:val="00773A94"/>
    <w:rsid w:val="00773EF1"/>
    <w:rsid w:val="0077475E"/>
    <w:rsid w:val="007751DA"/>
    <w:rsid w:val="007752D7"/>
    <w:rsid w:val="00777847"/>
    <w:rsid w:val="007805B3"/>
    <w:rsid w:val="00782FF5"/>
    <w:rsid w:val="007833DC"/>
    <w:rsid w:val="00783CA0"/>
    <w:rsid w:val="00784878"/>
    <w:rsid w:val="007859CD"/>
    <w:rsid w:val="00785A0C"/>
    <w:rsid w:val="00787405"/>
    <w:rsid w:val="00790968"/>
    <w:rsid w:val="00791DF1"/>
    <w:rsid w:val="00793690"/>
    <w:rsid w:val="00794C8E"/>
    <w:rsid w:val="00795091"/>
    <w:rsid w:val="00795172"/>
    <w:rsid w:val="007A016F"/>
    <w:rsid w:val="007A184E"/>
    <w:rsid w:val="007A1930"/>
    <w:rsid w:val="007A24B5"/>
    <w:rsid w:val="007A2B41"/>
    <w:rsid w:val="007A450E"/>
    <w:rsid w:val="007A4950"/>
    <w:rsid w:val="007A5701"/>
    <w:rsid w:val="007A576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2A6"/>
    <w:rsid w:val="007C1869"/>
    <w:rsid w:val="007C4DA7"/>
    <w:rsid w:val="007C5927"/>
    <w:rsid w:val="007D23AB"/>
    <w:rsid w:val="007D26A4"/>
    <w:rsid w:val="007D33AD"/>
    <w:rsid w:val="007D5A06"/>
    <w:rsid w:val="007D5FC6"/>
    <w:rsid w:val="007D6810"/>
    <w:rsid w:val="007D7538"/>
    <w:rsid w:val="007E1FFC"/>
    <w:rsid w:val="007E36DC"/>
    <w:rsid w:val="007E3EEE"/>
    <w:rsid w:val="007E4CC3"/>
    <w:rsid w:val="007E53A6"/>
    <w:rsid w:val="007E5C0E"/>
    <w:rsid w:val="007E649E"/>
    <w:rsid w:val="007F0743"/>
    <w:rsid w:val="007F1968"/>
    <w:rsid w:val="007F26D1"/>
    <w:rsid w:val="007F2B7A"/>
    <w:rsid w:val="007F2FA0"/>
    <w:rsid w:val="007F4F7D"/>
    <w:rsid w:val="007F60D7"/>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63B6"/>
    <w:rsid w:val="00827607"/>
    <w:rsid w:val="008277F4"/>
    <w:rsid w:val="0083088E"/>
    <w:rsid w:val="00830991"/>
    <w:rsid w:val="00830AA5"/>
    <w:rsid w:val="00830BAE"/>
    <w:rsid w:val="00831B13"/>
    <w:rsid w:val="00832ABE"/>
    <w:rsid w:val="00832CFB"/>
    <w:rsid w:val="0083309D"/>
    <w:rsid w:val="00833204"/>
    <w:rsid w:val="00833586"/>
    <w:rsid w:val="00833E91"/>
    <w:rsid w:val="00837721"/>
    <w:rsid w:val="00837EFB"/>
    <w:rsid w:val="008415A8"/>
    <w:rsid w:val="0084295B"/>
    <w:rsid w:val="00843EE1"/>
    <w:rsid w:val="0084581D"/>
    <w:rsid w:val="00847366"/>
    <w:rsid w:val="00850630"/>
    <w:rsid w:val="0085309F"/>
    <w:rsid w:val="00853203"/>
    <w:rsid w:val="0085402F"/>
    <w:rsid w:val="00854F5C"/>
    <w:rsid w:val="00856A2C"/>
    <w:rsid w:val="0086008F"/>
    <w:rsid w:val="00862E1A"/>
    <w:rsid w:val="008630A9"/>
    <w:rsid w:val="00864F99"/>
    <w:rsid w:val="00865298"/>
    <w:rsid w:val="00866A18"/>
    <w:rsid w:val="00866CE9"/>
    <w:rsid w:val="00867891"/>
    <w:rsid w:val="00870A6E"/>
    <w:rsid w:val="00871701"/>
    <w:rsid w:val="008727CC"/>
    <w:rsid w:val="0087448C"/>
    <w:rsid w:val="008749AD"/>
    <w:rsid w:val="00874E4D"/>
    <w:rsid w:val="008762C3"/>
    <w:rsid w:val="00876325"/>
    <w:rsid w:val="008769CE"/>
    <w:rsid w:val="00880D8C"/>
    <w:rsid w:val="00882739"/>
    <w:rsid w:val="008868D6"/>
    <w:rsid w:val="008874A1"/>
    <w:rsid w:val="00887DDD"/>
    <w:rsid w:val="00890A20"/>
    <w:rsid w:val="00892AD6"/>
    <w:rsid w:val="00892F03"/>
    <w:rsid w:val="0089317B"/>
    <w:rsid w:val="00893B6A"/>
    <w:rsid w:val="0089417D"/>
    <w:rsid w:val="00894189"/>
    <w:rsid w:val="008948C2"/>
    <w:rsid w:val="00894EAE"/>
    <w:rsid w:val="00895599"/>
    <w:rsid w:val="00895633"/>
    <w:rsid w:val="008A065C"/>
    <w:rsid w:val="008A1A0C"/>
    <w:rsid w:val="008A216A"/>
    <w:rsid w:val="008A2176"/>
    <w:rsid w:val="008A2821"/>
    <w:rsid w:val="008A3824"/>
    <w:rsid w:val="008A451D"/>
    <w:rsid w:val="008A464F"/>
    <w:rsid w:val="008A4DE6"/>
    <w:rsid w:val="008A5969"/>
    <w:rsid w:val="008A60A1"/>
    <w:rsid w:val="008A6703"/>
    <w:rsid w:val="008A7747"/>
    <w:rsid w:val="008B08A4"/>
    <w:rsid w:val="008B2BF2"/>
    <w:rsid w:val="008B490A"/>
    <w:rsid w:val="008B4DB5"/>
    <w:rsid w:val="008B5D70"/>
    <w:rsid w:val="008B614F"/>
    <w:rsid w:val="008B6A25"/>
    <w:rsid w:val="008B7AD8"/>
    <w:rsid w:val="008C0DC5"/>
    <w:rsid w:val="008C1FDD"/>
    <w:rsid w:val="008C2C5F"/>
    <w:rsid w:val="008C3B0B"/>
    <w:rsid w:val="008C4AA4"/>
    <w:rsid w:val="008C6676"/>
    <w:rsid w:val="008C6CE9"/>
    <w:rsid w:val="008C71BA"/>
    <w:rsid w:val="008C7290"/>
    <w:rsid w:val="008D2E03"/>
    <w:rsid w:val="008D2F4B"/>
    <w:rsid w:val="008D35E8"/>
    <w:rsid w:val="008E14C6"/>
    <w:rsid w:val="008E1CEF"/>
    <w:rsid w:val="008E29E4"/>
    <w:rsid w:val="008E4B5B"/>
    <w:rsid w:val="008E75F7"/>
    <w:rsid w:val="008F2389"/>
    <w:rsid w:val="008F503E"/>
    <w:rsid w:val="0090155F"/>
    <w:rsid w:val="00901CA8"/>
    <w:rsid w:val="0090401E"/>
    <w:rsid w:val="00904477"/>
    <w:rsid w:val="00904C46"/>
    <w:rsid w:val="00906C9D"/>
    <w:rsid w:val="0090729B"/>
    <w:rsid w:val="00907810"/>
    <w:rsid w:val="0091130F"/>
    <w:rsid w:val="0091219B"/>
    <w:rsid w:val="009124EA"/>
    <w:rsid w:val="00912B0A"/>
    <w:rsid w:val="00914472"/>
    <w:rsid w:val="00914855"/>
    <w:rsid w:val="009149D3"/>
    <w:rsid w:val="00914C06"/>
    <w:rsid w:val="0091647F"/>
    <w:rsid w:val="00920B5E"/>
    <w:rsid w:val="00922992"/>
    <w:rsid w:val="00922A4E"/>
    <w:rsid w:val="00922C1C"/>
    <w:rsid w:val="00923C83"/>
    <w:rsid w:val="00925AEE"/>
    <w:rsid w:val="0092754A"/>
    <w:rsid w:val="00930517"/>
    <w:rsid w:val="0093057B"/>
    <w:rsid w:val="009319CF"/>
    <w:rsid w:val="00932F5F"/>
    <w:rsid w:val="0093322E"/>
    <w:rsid w:val="00933312"/>
    <w:rsid w:val="00934650"/>
    <w:rsid w:val="009348C1"/>
    <w:rsid w:val="00934D7B"/>
    <w:rsid w:val="00935ED8"/>
    <w:rsid w:val="00940133"/>
    <w:rsid w:val="00940BB5"/>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C"/>
    <w:rsid w:val="009674BE"/>
    <w:rsid w:val="00967576"/>
    <w:rsid w:val="00970182"/>
    <w:rsid w:val="009703A1"/>
    <w:rsid w:val="009716F8"/>
    <w:rsid w:val="0097463E"/>
    <w:rsid w:val="00974D5C"/>
    <w:rsid w:val="00975B7E"/>
    <w:rsid w:val="0097720A"/>
    <w:rsid w:val="0097799B"/>
    <w:rsid w:val="0098014E"/>
    <w:rsid w:val="00982190"/>
    <w:rsid w:val="00990A8B"/>
    <w:rsid w:val="00990B4B"/>
    <w:rsid w:val="0099139C"/>
    <w:rsid w:val="0099148A"/>
    <w:rsid w:val="00992253"/>
    <w:rsid w:val="00994499"/>
    <w:rsid w:val="00995361"/>
    <w:rsid w:val="00995AE6"/>
    <w:rsid w:val="00995B05"/>
    <w:rsid w:val="0099667E"/>
    <w:rsid w:val="00996CA0"/>
    <w:rsid w:val="00997D2F"/>
    <w:rsid w:val="009A08FA"/>
    <w:rsid w:val="009A27A0"/>
    <w:rsid w:val="009A292B"/>
    <w:rsid w:val="009A3050"/>
    <w:rsid w:val="009A334F"/>
    <w:rsid w:val="009A38C9"/>
    <w:rsid w:val="009A45E5"/>
    <w:rsid w:val="009A7C5B"/>
    <w:rsid w:val="009B13AE"/>
    <w:rsid w:val="009B1FF1"/>
    <w:rsid w:val="009B4DAF"/>
    <w:rsid w:val="009B5328"/>
    <w:rsid w:val="009B6E74"/>
    <w:rsid w:val="009C102D"/>
    <w:rsid w:val="009C227B"/>
    <w:rsid w:val="009C581F"/>
    <w:rsid w:val="009C725D"/>
    <w:rsid w:val="009C7C13"/>
    <w:rsid w:val="009D1D09"/>
    <w:rsid w:val="009D1FFC"/>
    <w:rsid w:val="009D2089"/>
    <w:rsid w:val="009D29C1"/>
    <w:rsid w:val="009D314B"/>
    <w:rsid w:val="009D4639"/>
    <w:rsid w:val="009D4CBE"/>
    <w:rsid w:val="009D55E4"/>
    <w:rsid w:val="009E0805"/>
    <w:rsid w:val="009E0F66"/>
    <w:rsid w:val="009E21B3"/>
    <w:rsid w:val="009E3553"/>
    <w:rsid w:val="009E56AD"/>
    <w:rsid w:val="009E7304"/>
    <w:rsid w:val="009E77EB"/>
    <w:rsid w:val="009E7AB9"/>
    <w:rsid w:val="009F27F4"/>
    <w:rsid w:val="009F3401"/>
    <w:rsid w:val="009F36CF"/>
    <w:rsid w:val="009F3AC9"/>
    <w:rsid w:val="009F52C3"/>
    <w:rsid w:val="009F616A"/>
    <w:rsid w:val="00A006B7"/>
    <w:rsid w:val="00A01E96"/>
    <w:rsid w:val="00A02960"/>
    <w:rsid w:val="00A03FE6"/>
    <w:rsid w:val="00A04C14"/>
    <w:rsid w:val="00A06716"/>
    <w:rsid w:val="00A07637"/>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46D5"/>
    <w:rsid w:val="00A24987"/>
    <w:rsid w:val="00A25564"/>
    <w:rsid w:val="00A26785"/>
    <w:rsid w:val="00A27B7C"/>
    <w:rsid w:val="00A31044"/>
    <w:rsid w:val="00A313AD"/>
    <w:rsid w:val="00A320B1"/>
    <w:rsid w:val="00A36A00"/>
    <w:rsid w:val="00A427C7"/>
    <w:rsid w:val="00A44C06"/>
    <w:rsid w:val="00A45962"/>
    <w:rsid w:val="00A46C12"/>
    <w:rsid w:val="00A522DE"/>
    <w:rsid w:val="00A5267A"/>
    <w:rsid w:val="00A52C83"/>
    <w:rsid w:val="00A54E6E"/>
    <w:rsid w:val="00A555B6"/>
    <w:rsid w:val="00A55611"/>
    <w:rsid w:val="00A55731"/>
    <w:rsid w:val="00A56D81"/>
    <w:rsid w:val="00A60513"/>
    <w:rsid w:val="00A60655"/>
    <w:rsid w:val="00A61FB1"/>
    <w:rsid w:val="00A64E90"/>
    <w:rsid w:val="00A65611"/>
    <w:rsid w:val="00A6605B"/>
    <w:rsid w:val="00A67C72"/>
    <w:rsid w:val="00A67E25"/>
    <w:rsid w:val="00A70CE1"/>
    <w:rsid w:val="00A7216C"/>
    <w:rsid w:val="00A74525"/>
    <w:rsid w:val="00A76C9B"/>
    <w:rsid w:val="00A77021"/>
    <w:rsid w:val="00A8048D"/>
    <w:rsid w:val="00A83948"/>
    <w:rsid w:val="00A86C93"/>
    <w:rsid w:val="00A904DB"/>
    <w:rsid w:val="00A90F77"/>
    <w:rsid w:val="00A93D35"/>
    <w:rsid w:val="00A944F9"/>
    <w:rsid w:val="00A9688A"/>
    <w:rsid w:val="00AA5BB7"/>
    <w:rsid w:val="00AB015D"/>
    <w:rsid w:val="00AB081F"/>
    <w:rsid w:val="00AB0B43"/>
    <w:rsid w:val="00AB0D08"/>
    <w:rsid w:val="00AB0D4C"/>
    <w:rsid w:val="00AB1DAB"/>
    <w:rsid w:val="00AB2A2B"/>
    <w:rsid w:val="00AB3592"/>
    <w:rsid w:val="00AB4AC9"/>
    <w:rsid w:val="00AB5DD7"/>
    <w:rsid w:val="00AB67E8"/>
    <w:rsid w:val="00AC06F0"/>
    <w:rsid w:val="00AC338E"/>
    <w:rsid w:val="00AC4DEB"/>
    <w:rsid w:val="00AC5B49"/>
    <w:rsid w:val="00AC601F"/>
    <w:rsid w:val="00AC67B4"/>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191"/>
    <w:rsid w:val="00AE67EC"/>
    <w:rsid w:val="00AE68F1"/>
    <w:rsid w:val="00AE7FAD"/>
    <w:rsid w:val="00AF05BB"/>
    <w:rsid w:val="00AF1073"/>
    <w:rsid w:val="00AF363C"/>
    <w:rsid w:val="00AF3817"/>
    <w:rsid w:val="00AF5EB4"/>
    <w:rsid w:val="00AF69BB"/>
    <w:rsid w:val="00AF7A74"/>
    <w:rsid w:val="00B01764"/>
    <w:rsid w:val="00B01C12"/>
    <w:rsid w:val="00B02D79"/>
    <w:rsid w:val="00B02E0C"/>
    <w:rsid w:val="00B060D8"/>
    <w:rsid w:val="00B0714E"/>
    <w:rsid w:val="00B075A0"/>
    <w:rsid w:val="00B0775A"/>
    <w:rsid w:val="00B10F21"/>
    <w:rsid w:val="00B1361C"/>
    <w:rsid w:val="00B13AB8"/>
    <w:rsid w:val="00B144EF"/>
    <w:rsid w:val="00B14608"/>
    <w:rsid w:val="00B15786"/>
    <w:rsid w:val="00B15CA1"/>
    <w:rsid w:val="00B15F5B"/>
    <w:rsid w:val="00B16E4D"/>
    <w:rsid w:val="00B2121A"/>
    <w:rsid w:val="00B2212A"/>
    <w:rsid w:val="00B22470"/>
    <w:rsid w:val="00B25073"/>
    <w:rsid w:val="00B2607A"/>
    <w:rsid w:val="00B2670F"/>
    <w:rsid w:val="00B27DB2"/>
    <w:rsid w:val="00B36884"/>
    <w:rsid w:val="00B4008D"/>
    <w:rsid w:val="00B4150D"/>
    <w:rsid w:val="00B4166B"/>
    <w:rsid w:val="00B42C84"/>
    <w:rsid w:val="00B42CE9"/>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67BB3"/>
    <w:rsid w:val="00B67BC3"/>
    <w:rsid w:val="00B715EA"/>
    <w:rsid w:val="00B718C8"/>
    <w:rsid w:val="00B71FF0"/>
    <w:rsid w:val="00B735BD"/>
    <w:rsid w:val="00B745E8"/>
    <w:rsid w:val="00B7552F"/>
    <w:rsid w:val="00B76AF7"/>
    <w:rsid w:val="00B76C33"/>
    <w:rsid w:val="00B80024"/>
    <w:rsid w:val="00B80423"/>
    <w:rsid w:val="00B8270E"/>
    <w:rsid w:val="00B82CF0"/>
    <w:rsid w:val="00B82F50"/>
    <w:rsid w:val="00B83DCA"/>
    <w:rsid w:val="00B84056"/>
    <w:rsid w:val="00B847E1"/>
    <w:rsid w:val="00B858D9"/>
    <w:rsid w:val="00B85D72"/>
    <w:rsid w:val="00B914EC"/>
    <w:rsid w:val="00B92B36"/>
    <w:rsid w:val="00B92E5B"/>
    <w:rsid w:val="00B9440E"/>
    <w:rsid w:val="00B949C1"/>
    <w:rsid w:val="00B958B4"/>
    <w:rsid w:val="00B95ABC"/>
    <w:rsid w:val="00B96997"/>
    <w:rsid w:val="00B96CA6"/>
    <w:rsid w:val="00BA0905"/>
    <w:rsid w:val="00BA0CDB"/>
    <w:rsid w:val="00BA2834"/>
    <w:rsid w:val="00BA3B96"/>
    <w:rsid w:val="00BA5125"/>
    <w:rsid w:val="00BA5218"/>
    <w:rsid w:val="00BA55A7"/>
    <w:rsid w:val="00BB002A"/>
    <w:rsid w:val="00BB01FA"/>
    <w:rsid w:val="00BB027D"/>
    <w:rsid w:val="00BB035D"/>
    <w:rsid w:val="00BB067D"/>
    <w:rsid w:val="00BB1F55"/>
    <w:rsid w:val="00BB2850"/>
    <w:rsid w:val="00BB2B42"/>
    <w:rsid w:val="00BB387D"/>
    <w:rsid w:val="00BB3C09"/>
    <w:rsid w:val="00BB696E"/>
    <w:rsid w:val="00BB71EB"/>
    <w:rsid w:val="00BC11B0"/>
    <w:rsid w:val="00BC1C4D"/>
    <w:rsid w:val="00BC1CC9"/>
    <w:rsid w:val="00BC33E9"/>
    <w:rsid w:val="00BC4E22"/>
    <w:rsid w:val="00BC6D12"/>
    <w:rsid w:val="00BC7266"/>
    <w:rsid w:val="00BD0ADA"/>
    <w:rsid w:val="00BD134F"/>
    <w:rsid w:val="00BD1AC6"/>
    <w:rsid w:val="00BD1D8A"/>
    <w:rsid w:val="00BD2E67"/>
    <w:rsid w:val="00BD33C0"/>
    <w:rsid w:val="00BD3C0E"/>
    <w:rsid w:val="00BD3EEB"/>
    <w:rsid w:val="00BD3F32"/>
    <w:rsid w:val="00BD47A1"/>
    <w:rsid w:val="00BD532C"/>
    <w:rsid w:val="00BD65BA"/>
    <w:rsid w:val="00BD7DC7"/>
    <w:rsid w:val="00BE0A64"/>
    <w:rsid w:val="00BE0CB3"/>
    <w:rsid w:val="00BE0F1E"/>
    <w:rsid w:val="00BE46A9"/>
    <w:rsid w:val="00BE5255"/>
    <w:rsid w:val="00BE53A3"/>
    <w:rsid w:val="00BE576E"/>
    <w:rsid w:val="00BE59E1"/>
    <w:rsid w:val="00BF1137"/>
    <w:rsid w:val="00BF200D"/>
    <w:rsid w:val="00BF2364"/>
    <w:rsid w:val="00BF25D3"/>
    <w:rsid w:val="00BF39F0"/>
    <w:rsid w:val="00BF431A"/>
    <w:rsid w:val="00BF4648"/>
    <w:rsid w:val="00BF51E4"/>
    <w:rsid w:val="00C00553"/>
    <w:rsid w:val="00C01311"/>
    <w:rsid w:val="00C025E1"/>
    <w:rsid w:val="00C07B70"/>
    <w:rsid w:val="00C10B8E"/>
    <w:rsid w:val="00C1290A"/>
    <w:rsid w:val="00C1341F"/>
    <w:rsid w:val="00C14DFB"/>
    <w:rsid w:val="00C158E8"/>
    <w:rsid w:val="00C15919"/>
    <w:rsid w:val="00C16175"/>
    <w:rsid w:val="00C16863"/>
    <w:rsid w:val="00C20365"/>
    <w:rsid w:val="00C2099F"/>
    <w:rsid w:val="00C20C27"/>
    <w:rsid w:val="00C22D03"/>
    <w:rsid w:val="00C25C2C"/>
    <w:rsid w:val="00C269B7"/>
    <w:rsid w:val="00C3118E"/>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5340"/>
    <w:rsid w:val="00C572FF"/>
    <w:rsid w:val="00C60DCB"/>
    <w:rsid w:val="00C61C47"/>
    <w:rsid w:val="00C6361A"/>
    <w:rsid w:val="00C64277"/>
    <w:rsid w:val="00C664BD"/>
    <w:rsid w:val="00C66D57"/>
    <w:rsid w:val="00C67738"/>
    <w:rsid w:val="00C71928"/>
    <w:rsid w:val="00C71B1A"/>
    <w:rsid w:val="00C71C35"/>
    <w:rsid w:val="00C71F57"/>
    <w:rsid w:val="00C73D57"/>
    <w:rsid w:val="00C75120"/>
    <w:rsid w:val="00C76640"/>
    <w:rsid w:val="00C76E10"/>
    <w:rsid w:val="00C8228B"/>
    <w:rsid w:val="00C83964"/>
    <w:rsid w:val="00C83C52"/>
    <w:rsid w:val="00C84FD2"/>
    <w:rsid w:val="00C851EC"/>
    <w:rsid w:val="00C85353"/>
    <w:rsid w:val="00C85D7E"/>
    <w:rsid w:val="00C862BF"/>
    <w:rsid w:val="00C908FA"/>
    <w:rsid w:val="00C91F35"/>
    <w:rsid w:val="00C937ED"/>
    <w:rsid w:val="00C94D87"/>
    <w:rsid w:val="00C95346"/>
    <w:rsid w:val="00C95376"/>
    <w:rsid w:val="00C9636D"/>
    <w:rsid w:val="00C976E1"/>
    <w:rsid w:val="00CA3710"/>
    <w:rsid w:val="00CA4086"/>
    <w:rsid w:val="00CA7167"/>
    <w:rsid w:val="00CB0BA7"/>
    <w:rsid w:val="00CB0DF1"/>
    <w:rsid w:val="00CB1814"/>
    <w:rsid w:val="00CB273A"/>
    <w:rsid w:val="00CB58EE"/>
    <w:rsid w:val="00CB5CB8"/>
    <w:rsid w:val="00CB6A82"/>
    <w:rsid w:val="00CB6BD6"/>
    <w:rsid w:val="00CB7537"/>
    <w:rsid w:val="00CC18F6"/>
    <w:rsid w:val="00CC1ED9"/>
    <w:rsid w:val="00CC3095"/>
    <w:rsid w:val="00CC33E8"/>
    <w:rsid w:val="00CC345E"/>
    <w:rsid w:val="00CC396E"/>
    <w:rsid w:val="00CC5CD5"/>
    <w:rsid w:val="00CC780D"/>
    <w:rsid w:val="00CC78D0"/>
    <w:rsid w:val="00CD0282"/>
    <w:rsid w:val="00CD07CB"/>
    <w:rsid w:val="00CD0ED7"/>
    <w:rsid w:val="00CD11D4"/>
    <w:rsid w:val="00CD1B67"/>
    <w:rsid w:val="00CD1BF8"/>
    <w:rsid w:val="00CD224B"/>
    <w:rsid w:val="00CD62A2"/>
    <w:rsid w:val="00CD68C4"/>
    <w:rsid w:val="00CD6E84"/>
    <w:rsid w:val="00CE3BEF"/>
    <w:rsid w:val="00CE4BF9"/>
    <w:rsid w:val="00CE6628"/>
    <w:rsid w:val="00CE7C59"/>
    <w:rsid w:val="00CF05A8"/>
    <w:rsid w:val="00CF0AB3"/>
    <w:rsid w:val="00CF1394"/>
    <w:rsid w:val="00CF4E4F"/>
    <w:rsid w:val="00CF745C"/>
    <w:rsid w:val="00D01639"/>
    <w:rsid w:val="00D016C1"/>
    <w:rsid w:val="00D027A8"/>
    <w:rsid w:val="00D02FD1"/>
    <w:rsid w:val="00D03CE8"/>
    <w:rsid w:val="00D05BBC"/>
    <w:rsid w:val="00D05BDA"/>
    <w:rsid w:val="00D107F5"/>
    <w:rsid w:val="00D13DCD"/>
    <w:rsid w:val="00D143EF"/>
    <w:rsid w:val="00D14C62"/>
    <w:rsid w:val="00D1691C"/>
    <w:rsid w:val="00D171CC"/>
    <w:rsid w:val="00D17888"/>
    <w:rsid w:val="00D17961"/>
    <w:rsid w:val="00D203BE"/>
    <w:rsid w:val="00D2136E"/>
    <w:rsid w:val="00D22119"/>
    <w:rsid w:val="00D2764B"/>
    <w:rsid w:val="00D27F29"/>
    <w:rsid w:val="00D30F76"/>
    <w:rsid w:val="00D3155B"/>
    <w:rsid w:val="00D35CF1"/>
    <w:rsid w:val="00D3610C"/>
    <w:rsid w:val="00D36D6C"/>
    <w:rsid w:val="00D4062E"/>
    <w:rsid w:val="00D412CD"/>
    <w:rsid w:val="00D41357"/>
    <w:rsid w:val="00D429B2"/>
    <w:rsid w:val="00D42DEF"/>
    <w:rsid w:val="00D44AA8"/>
    <w:rsid w:val="00D452EC"/>
    <w:rsid w:val="00D474D7"/>
    <w:rsid w:val="00D47FCA"/>
    <w:rsid w:val="00D5056B"/>
    <w:rsid w:val="00D514EF"/>
    <w:rsid w:val="00D53BB8"/>
    <w:rsid w:val="00D54CB9"/>
    <w:rsid w:val="00D555B9"/>
    <w:rsid w:val="00D5564F"/>
    <w:rsid w:val="00D559A7"/>
    <w:rsid w:val="00D56A8E"/>
    <w:rsid w:val="00D60921"/>
    <w:rsid w:val="00D64256"/>
    <w:rsid w:val="00D64E92"/>
    <w:rsid w:val="00D66140"/>
    <w:rsid w:val="00D67094"/>
    <w:rsid w:val="00D710FC"/>
    <w:rsid w:val="00D71146"/>
    <w:rsid w:val="00D725EE"/>
    <w:rsid w:val="00D74FE0"/>
    <w:rsid w:val="00D752D0"/>
    <w:rsid w:val="00D774A4"/>
    <w:rsid w:val="00D80A52"/>
    <w:rsid w:val="00D824A0"/>
    <w:rsid w:val="00D8452A"/>
    <w:rsid w:val="00D85A01"/>
    <w:rsid w:val="00D908F6"/>
    <w:rsid w:val="00D948B0"/>
    <w:rsid w:val="00D95581"/>
    <w:rsid w:val="00D969AF"/>
    <w:rsid w:val="00D9781C"/>
    <w:rsid w:val="00DA0426"/>
    <w:rsid w:val="00DA103B"/>
    <w:rsid w:val="00DA2180"/>
    <w:rsid w:val="00DA3A24"/>
    <w:rsid w:val="00DA4F93"/>
    <w:rsid w:val="00DA5227"/>
    <w:rsid w:val="00DA56DD"/>
    <w:rsid w:val="00DA5D0D"/>
    <w:rsid w:val="00DA60BD"/>
    <w:rsid w:val="00DA6218"/>
    <w:rsid w:val="00DA66A4"/>
    <w:rsid w:val="00DA7727"/>
    <w:rsid w:val="00DB1BCC"/>
    <w:rsid w:val="00DB354A"/>
    <w:rsid w:val="00DB3AA5"/>
    <w:rsid w:val="00DB5D32"/>
    <w:rsid w:val="00DB698E"/>
    <w:rsid w:val="00DB74F2"/>
    <w:rsid w:val="00DB7AD4"/>
    <w:rsid w:val="00DB7D64"/>
    <w:rsid w:val="00DC04DE"/>
    <w:rsid w:val="00DC3C3C"/>
    <w:rsid w:val="00DC5A4E"/>
    <w:rsid w:val="00DC5EBD"/>
    <w:rsid w:val="00DC5FA1"/>
    <w:rsid w:val="00DC7CCF"/>
    <w:rsid w:val="00DD1725"/>
    <w:rsid w:val="00DD191F"/>
    <w:rsid w:val="00DD1B39"/>
    <w:rsid w:val="00DD2B7C"/>
    <w:rsid w:val="00DD3D8B"/>
    <w:rsid w:val="00DD49D0"/>
    <w:rsid w:val="00DD55F8"/>
    <w:rsid w:val="00DD5AFE"/>
    <w:rsid w:val="00DE696D"/>
    <w:rsid w:val="00DE762C"/>
    <w:rsid w:val="00E014B7"/>
    <w:rsid w:val="00E0191C"/>
    <w:rsid w:val="00E01AF2"/>
    <w:rsid w:val="00E01FFD"/>
    <w:rsid w:val="00E022C6"/>
    <w:rsid w:val="00E03052"/>
    <w:rsid w:val="00E05230"/>
    <w:rsid w:val="00E05A83"/>
    <w:rsid w:val="00E069C2"/>
    <w:rsid w:val="00E06C4C"/>
    <w:rsid w:val="00E074AC"/>
    <w:rsid w:val="00E07552"/>
    <w:rsid w:val="00E07C1F"/>
    <w:rsid w:val="00E11756"/>
    <w:rsid w:val="00E12588"/>
    <w:rsid w:val="00E1396C"/>
    <w:rsid w:val="00E15286"/>
    <w:rsid w:val="00E15A4C"/>
    <w:rsid w:val="00E15F76"/>
    <w:rsid w:val="00E17411"/>
    <w:rsid w:val="00E21025"/>
    <w:rsid w:val="00E260B7"/>
    <w:rsid w:val="00E26A29"/>
    <w:rsid w:val="00E305F2"/>
    <w:rsid w:val="00E3344C"/>
    <w:rsid w:val="00E339A1"/>
    <w:rsid w:val="00E34040"/>
    <w:rsid w:val="00E3635F"/>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7DE1"/>
    <w:rsid w:val="00E61997"/>
    <w:rsid w:val="00E62709"/>
    <w:rsid w:val="00E65FB5"/>
    <w:rsid w:val="00E6673F"/>
    <w:rsid w:val="00E66A76"/>
    <w:rsid w:val="00E66DAB"/>
    <w:rsid w:val="00E67BAA"/>
    <w:rsid w:val="00E67F06"/>
    <w:rsid w:val="00E72767"/>
    <w:rsid w:val="00E74D19"/>
    <w:rsid w:val="00E75009"/>
    <w:rsid w:val="00E751AF"/>
    <w:rsid w:val="00E752BB"/>
    <w:rsid w:val="00E75C24"/>
    <w:rsid w:val="00E7649F"/>
    <w:rsid w:val="00E8113D"/>
    <w:rsid w:val="00E82B6E"/>
    <w:rsid w:val="00E82B94"/>
    <w:rsid w:val="00E83411"/>
    <w:rsid w:val="00E86601"/>
    <w:rsid w:val="00E87F48"/>
    <w:rsid w:val="00E87FDC"/>
    <w:rsid w:val="00E906A2"/>
    <w:rsid w:val="00E92759"/>
    <w:rsid w:val="00E93D63"/>
    <w:rsid w:val="00E93FD7"/>
    <w:rsid w:val="00EA022C"/>
    <w:rsid w:val="00EA38F2"/>
    <w:rsid w:val="00EA4E89"/>
    <w:rsid w:val="00EB2178"/>
    <w:rsid w:val="00EB2658"/>
    <w:rsid w:val="00EB4348"/>
    <w:rsid w:val="00EB6068"/>
    <w:rsid w:val="00EB62FE"/>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C9A"/>
    <w:rsid w:val="00EE31CA"/>
    <w:rsid w:val="00EE3222"/>
    <w:rsid w:val="00EE3656"/>
    <w:rsid w:val="00EE3814"/>
    <w:rsid w:val="00EE3B00"/>
    <w:rsid w:val="00EE4ECA"/>
    <w:rsid w:val="00EE5867"/>
    <w:rsid w:val="00EE5D74"/>
    <w:rsid w:val="00EE5F58"/>
    <w:rsid w:val="00EE64E6"/>
    <w:rsid w:val="00EE6D01"/>
    <w:rsid w:val="00EF201B"/>
    <w:rsid w:val="00EF3556"/>
    <w:rsid w:val="00EF3D13"/>
    <w:rsid w:val="00EF4328"/>
    <w:rsid w:val="00EF4925"/>
    <w:rsid w:val="00EF63C8"/>
    <w:rsid w:val="00F01442"/>
    <w:rsid w:val="00F01881"/>
    <w:rsid w:val="00F018BC"/>
    <w:rsid w:val="00F01E32"/>
    <w:rsid w:val="00F02785"/>
    <w:rsid w:val="00F03074"/>
    <w:rsid w:val="00F064CA"/>
    <w:rsid w:val="00F11F70"/>
    <w:rsid w:val="00F1270E"/>
    <w:rsid w:val="00F1364A"/>
    <w:rsid w:val="00F14F20"/>
    <w:rsid w:val="00F15B4C"/>
    <w:rsid w:val="00F249BF"/>
    <w:rsid w:val="00F25852"/>
    <w:rsid w:val="00F25DC3"/>
    <w:rsid w:val="00F2710E"/>
    <w:rsid w:val="00F27E85"/>
    <w:rsid w:val="00F300FD"/>
    <w:rsid w:val="00F3021A"/>
    <w:rsid w:val="00F31F16"/>
    <w:rsid w:val="00F33C40"/>
    <w:rsid w:val="00F33EB3"/>
    <w:rsid w:val="00F345A4"/>
    <w:rsid w:val="00F359B9"/>
    <w:rsid w:val="00F37795"/>
    <w:rsid w:val="00F377D0"/>
    <w:rsid w:val="00F40138"/>
    <w:rsid w:val="00F40572"/>
    <w:rsid w:val="00F4074E"/>
    <w:rsid w:val="00F40CD3"/>
    <w:rsid w:val="00F41454"/>
    <w:rsid w:val="00F42D18"/>
    <w:rsid w:val="00F449C8"/>
    <w:rsid w:val="00F47287"/>
    <w:rsid w:val="00F47CCF"/>
    <w:rsid w:val="00F5091F"/>
    <w:rsid w:val="00F50BDC"/>
    <w:rsid w:val="00F54266"/>
    <w:rsid w:val="00F554F1"/>
    <w:rsid w:val="00F56643"/>
    <w:rsid w:val="00F56AE4"/>
    <w:rsid w:val="00F56E5F"/>
    <w:rsid w:val="00F5726B"/>
    <w:rsid w:val="00F575BE"/>
    <w:rsid w:val="00F60BA3"/>
    <w:rsid w:val="00F612A3"/>
    <w:rsid w:val="00F63742"/>
    <w:rsid w:val="00F63963"/>
    <w:rsid w:val="00F652CB"/>
    <w:rsid w:val="00F655D1"/>
    <w:rsid w:val="00F657E3"/>
    <w:rsid w:val="00F65942"/>
    <w:rsid w:val="00F65A97"/>
    <w:rsid w:val="00F7136B"/>
    <w:rsid w:val="00F71E27"/>
    <w:rsid w:val="00F724A4"/>
    <w:rsid w:val="00F747D2"/>
    <w:rsid w:val="00F74A85"/>
    <w:rsid w:val="00F75563"/>
    <w:rsid w:val="00F818A7"/>
    <w:rsid w:val="00F83070"/>
    <w:rsid w:val="00F83D67"/>
    <w:rsid w:val="00F84E97"/>
    <w:rsid w:val="00F8612A"/>
    <w:rsid w:val="00F861C5"/>
    <w:rsid w:val="00F868D1"/>
    <w:rsid w:val="00F8699F"/>
    <w:rsid w:val="00F901CE"/>
    <w:rsid w:val="00F912D5"/>
    <w:rsid w:val="00F94691"/>
    <w:rsid w:val="00F947B4"/>
    <w:rsid w:val="00F9499C"/>
    <w:rsid w:val="00F96E18"/>
    <w:rsid w:val="00FA0F1F"/>
    <w:rsid w:val="00FA291B"/>
    <w:rsid w:val="00FA3007"/>
    <w:rsid w:val="00FA3AF8"/>
    <w:rsid w:val="00FA55BA"/>
    <w:rsid w:val="00FA579A"/>
    <w:rsid w:val="00FA7FAD"/>
    <w:rsid w:val="00FB3789"/>
    <w:rsid w:val="00FB38F3"/>
    <w:rsid w:val="00FB74D2"/>
    <w:rsid w:val="00FB7C4A"/>
    <w:rsid w:val="00FB7CCD"/>
    <w:rsid w:val="00FC00EB"/>
    <w:rsid w:val="00FC09A7"/>
    <w:rsid w:val="00FC1E4A"/>
    <w:rsid w:val="00FC2261"/>
    <w:rsid w:val="00FC4F8F"/>
    <w:rsid w:val="00FC5693"/>
    <w:rsid w:val="00FC65DF"/>
    <w:rsid w:val="00FC6B6F"/>
    <w:rsid w:val="00FC6D0E"/>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1B2"/>
    <w:rsid w:val="00FE7491"/>
    <w:rsid w:val="00FE765B"/>
    <w:rsid w:val="00FF012B"/>
    <w:rsid w:val="00FF39C1"/>
    <w:rsid w:val="00FF46C0"/>
    <w:rsid w:val="00FF71DA"/>
    <w:rsid w:val="00FF7AE0"/>
    <w:rsid w:val="00FF7F71"/>
    <w:rsid w:val="00FF7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D397A0D1-FAB7-4E9C-8729-939D21F2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val="fr-FR"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FR"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FR"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val="fr-FR"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FR"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FR"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val="fr-FR"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qFormat/>
    <w:rsid w:val="001F44D5"/>
    <w:pPr>
      <w:spacing w:after="240" w:line="240" w:lineRule="auto"/>
      <w:ind w:left="357" w:hanging="357"/>
      <w:jc w:val="both"/>
    </w:pPr>
    <w:rPr>
      <w:sz w:val="20"/>
      <w:lang w:val="fr-FR"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val="fr-FR"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FR"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val="fr-FR"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lang w:val="fr-FR"/>
    </w:rPr>
  </w:style>
  <w:style w:type="paragraph" w:customStyle="1" w:styleId="basictitle">
    <w:name w:val="basic_title"/>
    <w:basedOn w:val="Normal"/>
    <w:rsid w:val="00D41357"/>
    <w:pPr>
      <w:spacing w:before="100" w:beforeAutospacing="1" w:after="165" w:line="240" w:lineRule="auto"/>
    </w:pPr>
    <w:rPr>
      <w:b/>
      <w:bCs/>
      <w:sz w:val="28"/>
      <w:szCs w:val="28"/>
      <w:lang w:val="fr-FR"/>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val="fr-FR"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FR"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lang w:val="fr-FR"/>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val="fr-FR"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val="fr-FR"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val="fr-FR"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FR"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val="fr-FR"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customStyle="1" w:styleId="normaltextrun">
    <w:name w:val="normaltextrun"/>
    <w:basedOn w:val="DefaultParagraphFont"/>
    <w:rsid w:val="00C67738"/>
  </w:style>
  <w:style w:type="character" w:customStyle="1" w:styleId="eop">
    <w:name w:val="eop"/>
    <w:basedOn w:val="DefaultParagraphFont"/>
    <w:rsid w:val="00C67738"/>
  </w:style>
  <w:style w:type="paragraph" w:customStyle="1" w:styleId="paragraph">
    <w:name w:val="paragraph"/>
    <w:basedOn w:val="Normal"/>
    <w:rsid w:val="00C67738"/>
    <w:pPr>
      <w:spacing w:before="100" w:beforeAutospacing="1" w:after="100" w:afterAutospacing="1" w:line="240" w:lineRule="auto"/>
    </w:pPr>
    <w:rPr>
      <w:szCs w:val="24"/>
      <w:lang w:val="fr-FR" w:eastAsia="en-IE"/>
    </w:rPr>
  </w:style>
  <w:style w:type="character" w:styleId="UnresolvedMention">
    <w:name w:val="Unresolved Mention"/>
    <w:basedOn w:val="DefaultParagraphFont"/>
    <w:uiPriority w:val="99"/>
    <w:semiHidden/>
    <w:unhideWhenUsed/>
    <w:rsid w:val="00570327"/>
    <w:rPr>
      <w:color w:val="605E5C"/>
      <w:shd w:val="clear" w:color="auto" w:fill="E1DFDD"/>
    </w:rPr>
  </w:style>
  <w:style w:type="paragraph" w:customStyle="1" w:styleId="title-bold">
    <w:name w:val="title-bold"/>
    <w:basedOn w:val="Normal"/>
    <w:rsid w:val="00260CA7"/>
    <w:pPr>
      <w:spacing w:before="100" w:beforeAutospacing="1" w:after="100" w:afterAutospacing="1" w:line="240" w:lineRule="auto"/>
    </w:pPr>
    <w:rPr>
      <w:szCs w:val="24"/>
      <w:lang w:val="fr-FR" w:eastAsia="en-IE"/>
    </w:rPr>
  </w:style>
  <w:style w:type="paragraph" w:customStyle="1" w:styleId="pf0">
    <w:name w:val="pf0"/>
    <w:basedOn w:val="Normal"/>
    <w:rsid w:val="00EF3D13"/>
    <w:pPr>
      <w:spacing w:before="100" w:beforeAutospacing="1" w:after="100" w:afterAutospacing="1" w:line="240" w:lineRule="auto"/>
    </w:pPr>
    <w:rPr>
      <w:szCs w:val="24"/>
      <w:lang w:val="fr-FR"/>
    </w:rPr>
  </w:style>
  <w:style w:type="character" w:customStyle="1" w:styleId="cf01">
    <w:name w:val="cf01"/>
    <w:basedOn w:val="DefaultParagraphFont"/>
    <w:rsid w:val="00EF3D13"/>
    <w:rPr>
      <w:rFonts w:ascii="Segoe UI" w:hAnsi="Segoe UI" w:cs="Segoe UI" w:hint="default"/>
      <w:sz w:val="18"/>
      <w:szCs w:val="18"/>
    </w:rPr>
  </w:style>
  <w:style w:type="character" w:customStyle="1" w:styleId="cf11">
    <w:name w:val="cf11"/>
    <w:basedOn w:val="DefaultParagraphFont"/>
    <w:rsid w:val="00EF3D13"/>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475949890">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00509362">
      <w:bodyDiv w:val="1"/>
      <w:marLeft w:val="0"/>
      <w:marRight w:val="0"/>
      <w:marTop w:val="0"/>
      <w:marBottom w:val="0"/>
      <w:divBdr>
        <w:top w:val="none" w:sz="0" w:space="0" w:color="auto"/>
        <w:left w:val="none" w:sz="0" w:space="0" w:color="auto"/>
        <w:bottom w:val="none" w:sz="0" w:space="0" w:color="auto"/>
        <w:right w:val="none" w:sz="0" w:space="0" w:color="auto"/>
      </w:divBdr>
    </w:div>
    <w:div w:id="521867000">
      <w:bodyDiv w:val="1"/>
      <w:marLeft w:val="0"/>
      <w:marRight w:val="0"/>
      <w:marTop w:val="0"/>
      <w:marBottom w:val="0"/>
      <w:divBdr>
        <w:top w:val="none" w:sz="0" w:space="0" w:color="auto"/>
        <w:left w:val="none" w:sz="0" w:space="0" w:color="auto"/>
        <w:bottom w:val="none" w:sz="0" w:space="0" w:color="auto"/>
        <w:right w:val="none" w:sz="0" w:space="0" w:color="auto"/>
      </w:divBdr>
      <w:divsChild>
        <w:div w:id="1332414882">
          <w:marLeft w:val="0"/>
          <w:marRight w:val="0"/>
          <w:marTop w:val="0"/>
          <w:marBottom w:val="0"/>
          <w:divBdr>
            <w:top w:val="none" w:sz="0" w:space="0" w:color="auto"/>
            <w:left w:val="none" w:sz="0" w:space="0" w:color="auto"/>
            <w:bottom w:val="none" w:sz="0" w:space="0" w:color="auto"/>
            <w:right w:val="none" w:sz="0" w:space="0" w:color="auto"/>
          </w:divBdr>
          <w:divsChild>
            <w:div w:id="2347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3978882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314989833">
      <w:bodyDiv w:val="1"/>
      <w:marLeft w:val="0"/>
      <w:marRight w:val="0"/>
      <w:marTop w:val="0"/>
      <w:marBottom w:val="0"/>
      <w:divBdr>
        <w:top w:val="none" w:sz="0" w:space="0" w:color="auto"/>
        <w:left w:val="none" w:sz="0" w:space="0" w:color="auto"/>
        <w:bottom w:val="none" w:sz="0" w:space="0" w:color="auto"/>
        <w:right w:val="none" w:sz="0" w:space="0" w:color="auto"/>
      </w:divBdr>
      <w:divsChild>
        <w:div w:id="1613782156">
          <w:marLeft w:val="-150"/>
          <w:marRight w:val="-150"/>
          <w:marTop w:val="0"/>
          <w:marBottom w:val="0"/>
          <w:divBdr>
            <w:top w:val="none" w:sz="0" w:space="0" w:color="auto"/>
            <w:left w:val="none" w:sz="0" w:space="0" w:color="auto"/>
            <w:bottom w:val="none" w:sz="0" w:space="0" w:color="auto"/>
            <w:right w:val="none" w:sz="0" w:space="0" w:color="auto"/>
          </w:divBdr>
          <w:divsChild>
            <w:div w:id="50613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54468464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68121307">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68421113">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1985036525">
      <w:bodyDiv w:val="1"/>
      <w:marLeft w:val="0"/>
      <w:marRight w:val="0"/>
      <w:marTop w:val="0"/>
      <w:marBottom w:val="0"/>
      <w:divBdr>
        <w:top w:val="none" w:sz="0" w:space="0" w:color="auto"/>
        <w:left w:val="none" w:sz="0" w:space="0" w:color="auto"/>
        <w:bottom w:val="none" w:sz="0" w:space="0" w:color="auto"/>
        <w:right w:val="none" w:sz="0" w:space="0" w:color="auto"/>
      </w:divBdr>
    </w:div>
    <w:div w:id="2052413766">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&#65279;<?xml version="1.0" encoding="UTF-8" standalone="yes"?>
<Relationships xmlns="http://schemas.openxmlformats.org/package/2006/relationships"><Relationship Id="rId1" Type="http://schemas.openxmlformats.org/officeDocument/2006/relationships/hyperlink" Target="https://prd.frontex.europa.eu/document/management-board-decision-61-2021-adopting-the-fundamental-rights-action-plan-for-the-implementation-of-the-fundamental-rights-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3453</Words>
  <Characters>19896</Characters>
  <Application>Microsoft Office Word</Application>
  <DocSecurity>0</DocSecurity>
  <Lines>288</Lines>
  <Paragraphs>79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STEPIEN Beata (SG)</dc:creator>
  <cp:lastModifiedBy>ALMEIDA Maria Jose (SG)</cp:lastModifiedBy>
  <cp:revision>2</cp:revision>
  <cp:lastPrinted>2019-01-09T14:37:00Z</cp:lastPrinted>
  <dcterms:created xsi:type="dcterms:W3CDTF">2024-04-04T16:16:00Z</dcterms:created>
  <dcterms:modified xsi:type="dcterms:W3CDTF">2024-04-04T16:16:00Z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ies>
</file>