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1EE8BC" w14:textId="5DF07E80" w:rsidR="00565DBC" w:rsidRPr="00331DB9" w:rsidRDefault="00565DBC" w:rsidP="00565DBC">
      <w:pPr>
        <w:spacing w:after="600"/>
        <w:jc w:val="center"/>
        <w:rPr>
          <w:b/>
          <w:rFonts w:ascii="Times New Roman" w:hAnsi="Times New Roman"/>
        </w:rPr>
      </w:pPr>
      <w:bookmarkStart w:id="0" w:name="children"/>
      <w:r>
        <w:rPr>
          <w:b/>
          <w:rFonts w:ascii="Times New Roman" w:hAnsi="Times New Roman"/>
        </w:rPr>
        <w:t xml:space="preserve">Suite donnée à la résolution non législative du Parlement européen </w:t>
      </w:r>
      <w:bookmarkEnd w:id="0"/>
      <w:r>
        <w:rPr>
          <w:b/>
          <w:rFonts w:ascii="Times New Roman" w:hAnsi="Times New Roman"/>
        </w:rPr>
        <w:t xml:space="preserve">sur les implications stratégiques du développement des mondes virtuels - aspects de droit civil, de droit des sociétés, de droit commercial et de droit de la propriété intellectuelle</w:t>
      </w:r>
    </w:p>
    <w:p w14:paraId="0DD33616" w14:textId="38CAD4A6" w:rsidR="00565DBC" w:rsidRPr="00A45EA9" w:rsidRDefault="00565DBC" w:rsidP="00565DBC">
      <w:pPr>
        <w:numPr>
          <w:ilvl w:val="0"/>
          <w:numId w:val="1"/>
        </w:numPr>
        <w:ind w:left="567" w:hanging="567"/>
        <w:rPr>
          <w:b/>
          <w:szCs w:val="24"/>
          <w:rFonts w:ascii="Times New Roman" w:hAnsi="Times New Roman"/>
        </w:rPr>
      </w:pPr>
      <w:r>
        <w:rPr>
          <w:b/>
          <w:rFonts w:ascii="Times New Roman" w:hAnsi="Times New Roman"/>
        </w:rPr>
        <w:t xml:space="preserve">Rapporteur(e):</w:t>
      </w:r>
      <w:r>
        <w:rPr>
          <w:rFonts w:ascii="Times New Roman" w:hAnsi="Times New Roman"/>
        </w:rPr>
        <w:t xml:space="preserve"> </w:t>
      </w:r>
      <w:r>
        <w:rPr>
          <w:rFonts w:ascii="Times New Roman" w:hAnsi="Times New Roman"/>
        </w:rPr>
        <w:t xml:space="preserve">Axel VOSS (PPE/DE), Ibán GARCÍA DEL BLANCO (S&amp;D/ES)</w:t>
      </w:r>
    </w:p>
    <w:p w14:paraId="7ACEAFE6" w14:textId="584CC3FD" w:rsidR="00565DBC" w:rsidRPr="00F059C8" w:rsidRDefault="00565DBC" w:rsidP="00565DBC">
      <w:pPr>
        <w:numPr>
          <w:ilvl w:val="0"/>
          <w:numId w:val="1"/>
        </w:numPr>
        <w:ind w:left="567" w:hanging="567"/>
        <w:rPr>
          <w:i/>
          <w:szCs w:val="24"/>
          <w:rFonts w:ascii="Times New Roman" w:hAnsi="Times New Roman"/>
        </w:rPr>
      </w:pPr>
      <w:r>
        <w:rPr>
          <w:b/>
          <w:rFonts w:ascii="Times New Roman" w:hAnsi="Times New Roman"/>
        </w:rPr>
        <w:t xml:space="preserve">Numéros de référence:</w:t>
      </w:r>
      <w:r>
        <w:rPr>
          <w:b/>
          <w:rFonts w:ascii="Times New Roman" w:hAnsi="Times New Roman"/>
        </w:rPr>
        <w:t xml:space="preserve"> </w:t>
      </w:r>
      <w:r>
        <w:rPr>
          <w:rFonts w:ascii="Times New Roman" w:hAnsi="Times New Roman"/>
        </w:rPr>
        <w:t xml:space="preserve">2023/2062 (INI) </w:t>
      </w:r>
      <w:r>
        <w:rPr>
          <w:i/>
          <w:rFonts w:ascii="Times New Roman" w:hAnsi="Times New Roman"/>
        </w:rPr>
        <w:t xml:space="preserve">/ </w:t>
      </w:r>
      <w:r>
        <w:rPr>
          <w:rFonts w:ascii="Times New Roman" w:hAnsi="Times New Roman"/>
        </w:rPr>
        <w:t xml:space="preserve">A9-0442/2023 / T9-0029/2024</w:t>
      </w:r>
    </w:p>
    <w:p w14:paraId="663EF673" w14:textId="4979AF2C" w:rsidR="00565DBC" w:rsidRPr="00E07C2D" w:rsidRDefault="00565DBC" w:rsidP="00565DBC">
      <w:pPr>
        <w:numPr>
          <w:ilvl w:val="0"/>
          <w:numId w:val="1"/>
        </w:numPr>
        <w:ind w:left="567" w:hanging="567"/>
        <w:rPr>
          <w:szCs w:val="24"/>
          <w:rFonts w:ascii="Times New Roman" w:hAnsi="Times New Roman"/>
        </w:rPr>
      </w:pPr>
      <w:r>
        <w:rPr>
          <w:b/>
          <w:rFonts w:ascii="Times New Roman" w:hAnsi="Times New Roman"/>
        </w:rPr>
        <w:t xml:space="preserve">Date d'adoption de la résolution:</w:t>
      </w:r>
      <w:r>
        <w:rPr>
          <w:b/>
          <w:rFonts w:ascii="Times New Roman" w:hAnsi="Times New Roman"/>
        </w:rPr>
        <w:t xml:space="preserve"> </w:t>
      </w:r>
      <w:r>
        <w:rPr>
          <w:rFonts w:ascii="Times New Roman" w:hAnsi="Times New Roman"/>
        </w:rPr>
        <w:t xml:space="preserve">17 janvier 2024</w:t>
      </w:r>
    </w:p>
    <w:p w14:paraId="18818933" w14:textId="3CC3B295" w:rsidR="00565DBC" w:rsidRPr="006529B0" w:rsidRDefault="00565DBC" w:rsidP="00565DBC">
      <w:pPr>
        <w:numPr>
          <w:ilvl w:val="0"/>
          <w:numId w:val="1"/>
        </w:numPr>
        <w:ind w:left="567" w:hanging="567"/>
        <w:rPr>
          <w:i/>
          <w:szCs w:val="24"/>
          <w:rFonts w:ascii="Times New Roman" w:hAnsi="Times New Roman"/>
        </w:rPr>
      </w:pPr>
      <w:r>
        <w:rPr>
          <w:b/>
          <w:rFonts w:ascii="Times New Roman" w:hAnsi="Times New Roman"/>
        </w:rPr>
        <w:t xml:space="preserve">Commission parlementaire compétente:</w:t>
      </w:r>
      <w:r>
        <w:rPr>
          <w:rFonts w:ascii="Times New Roman" w:hAnsi="Times New Roman"/>
        </w:rPr>
        <w:t xml:space="preserve"> </w:t>
      </w:r>
      <w:r>
        <w:rPr>
          <w:rFonts w:ascii="Times New Roman" w:hAnsi="Times New Roman"/>
        </w:rPr>
        <w:t xml:space="preserve">commission des affaires juridiques (JURI)</w:t>
      </w:r>
    </w:p>
    <w:p w14:paraId="3C7920D3" w14:textId="77777777" w:rsidR="00565DBC" w:rsidRDefault="00565DBC" w:rsidP="00565DBC">
      <w:pPr>
        <w:widowControl w:val="0"/>
        <w:numPr>
          <w:ilvl w:val="0"/>
          <w:numId w:val="1"/>
        </w:numPr>
        <w:ind w:left="567" w:hanging="567"/>
        <w:rPr>
          <w:szCs w:val="24"/>
          <w:rFonts w:ascii="Times New Roman" w:hAnsi="Times New Roman"/>
        </w:rPr>
      </w:pPr>
      <w:r>
        <w:rPr>
          <w:b/>
          <w:rFonts w:ascii="Times New Roman" w:hAnsi="Times New Roman"/>
        </w:rPr>
        <w:t xml:space="preserve">Analyse/évaluation succincte de la résolution et des demandes qu’elle contient:</w:t>
      </w:r>
      <w:r>
        <w:rPr>
          <w:rFonts w:ascii="Times New Roman" w:hAnsi="Times New Roman"/>
        </w:rPr>
        <w:t xml:space="preserve"> </w:t>
      </w:r>
    </w:p>
    <w:p w14:paraId="3E1BD494" w14:textId="1CEC8FB4" w:rsidR="00223D82" w:rsidRPr="008C18C9" w:rsidRDefault="5515F906" w:rsidP="00F86B9D">
      <w:pPr>
        <w:widowControl w:val="0"/>
        <w:spacing w:after="120"/>
        <w:rPr>
          <w:rFonts w:ascii="Times New Roman" w:hAnsi="Times New Roman"/>
        </w:rPr>
      </w:pPr>
      <w:r>
        <w:rPr>
          <w:rFonts w:ascii="Times New Roman" w:hAnsi="Times New Roman"/>
        </w:rPr>
        <w:t xml:space="preserve">Dans sa résolution, le Parlement salue la stratégie prévue dans la communication de la Commission du 11 juillet 2023 intitulée «Une initiative de l’UE sur le web 4.0 et les mondes virtuels:</w:t>
      </w:r>
      <w:r>
        <w:rPr>
          <w:rFonts w:ascii="Times New Roman" w:hAnsi="Times New Roman"/>
        </w:rPr>
        <w:t xml:space="preserve"> </w:t>
      </w:r>
      <w:r>
        <w:rPr>
          <w:rFonts w:ascii="Times New Roman" w:hAnsi="Times New Roman"/>
        </w:rPr>
        <w:t xml:space="preserve">prendre de l’avance pour la prochaine transition technologique», et souligne la nécessité d’une évaluation minutieuse de toutes les questions liées au développement des mondes virtuels et à leur couverture effective par la législation existante, en particulier lorsque les mondes virtuels atteindront leur plein potentiel.</w:t>
      </w:r>
      <w:r>
        <w:rPr>
          <w:rFonts w:ascii="Times New Roman" w:hAnsi="Times New Roman"/>
        </w:rPr>
        <w:t xml:space="preserve"> </w:t>
      </w:r>
      <w:r>
        <w:rPr>
          <w:rFonts w:ascii="Times New Roman" w:hAnsi="Times New Roman"/>
        </w:rPr>
        <w:t xml:space="preserve">Il insiste sur la nécessité de garantir des mondes virtuels centrés sur l’humain, tout en préservant les valeurs de l’Union européenne, et soulève d’éventuels risques et défis en ce qui concerne l’identification des utilisateurs, la protection des données, en particulier les données biométriques et comportementales, l’habileté et les compétences numériques et l’accessibilité des mondes virtuels à tous les groupes d’utilisateurs.</w:t>
      </w:r>
    </w:p>
    <w:p w14:paraId="2F07045B" w14:textId="2860AD5F" w:rsidR="00223D82" w:rsidRPr="00F86B9D" w:rsidRDefault="5515F906" w:rsidP="00F86B9D">
      <w:pPr>
        <w:widowControl w:val="0"/>
        <w:spacing w:after="120"/>
        <w:rPr>
          <w:rFonts w:ascii="Times New Roman" w:hAnsi="Times New Roman"/>
        </w:rPr>
      </w:pPr>
      <w:r>
        <w:rPr>
          <w:rFonts w:ascii="Times New Roman" w:hAnsi="Times New Roman"/>
        </w:rPr>
        <w:t xml:space="preserve">La résolution met l’accent sur l’importance de contrôler régulièrement la conformité et de garantir l’application effective des instruments juridiques applicables en vigueur, ainsi que sur la nécessité de procéder régulièrement à des bilans de qualité des instruments juridiques applicables.</w:t>
      </w:r>
      <w:r>
        <w:rPr>
          <w:rFonts w:ascii="Times New Roman" w:hAnsi="Times New Roman"/>
        </w:rPr>
        <w:t xml:space="preserve"> </w:t>
      </w:r>
      <w:r>
        <w:rPr>
          <w:rFonts w:ascii="Times New Roman" w:hAnsi="Times New Roman"/>
        </w:rPr>
        <w:t xml:space="preserve">Il invite la Commission à évaluer le caractère approprié des dispositions existantes du droit international privé applicables dans l’Union;</w:t>
      </w:r>
      <w:r>
        <w:rPr>
          <w:rFonts w:ascii="Times New Roman" w:hAnsi="Times New Roman"/>
        </w:rPr>
        <w:t xml:space="preserve"> </w:t>
      </w:r>
      <w:r>
        <w:rPr>
          <w:rFonts w:ascii="Times New Roman" w:hAnsi="Times New Roman"/>
        </w:rPr>
        <w:t xml:space="preserve">souligne la nécessité de veiller à ce que les conditions générales applicables soient transparentes, claires, équitables et lisibles;</w:t>
      </w:r>
      <w:r>
        <w:rPr>
          <w:rFonts w:ascii="Times New Roman" w:hAnsi="Times New Roman"/>
        </w:rPr>
        <w:t xml:space="preserve"> </w:t>
      </w:r>
      <w:r>
        <w:rPr>
          <w:rFonts w:ascii="Times New Roman" w:hAnsi="Times New Roman"/>
        </w:rPr>
        <w:t xml:space="preserve">se déclare préoccupé par l’utilisation d’avatars et de systèmes décentralisés pour des questions de responsabilité, et par l’utilisation de jetons non fongibles (NFT) faisant référence à des marques sans l’autorisation de leurs propriétaires et la nécessité de remédier aux violations;</w:t>
      </w:r>
      <w:r>
        <w:rPr>
          <w:rFonts w:ascii="Times New Roman" w:hAnsi="Times New Roman"/>
        </w:rPr>
        <w:t xml:space="preserve"> </w:t>
      </w:r>
      <w:r>
        <w:rPr>
          <w:rFonts w:ascii="Times New Roman" w:hAnsi="Times New Roman"/>
        </w:rPr>
        <w:t xml:space="preserve">et reconnaît l’applicabilité des règles en matière de responsabilité énoncées dans le règlement sur les services numériques et du régime spécial établi à l’article 17 de la directive sur le droit d’auteur pour couvrir le téléversement de contenus générés par les utilisateurs; estime toutefois qu’il est nécessaire de clarifier davantage la manière dont les règles existantes devraient s’appliquer aux services de partage de contenus en ligne qui mettent des contenus à disposition dans les mondes virtuels.</w:t>
      </w:r>
    </w:p>
    <w:p w14:paraId="2ED5DF29" w14:textId="29F3E955" w:rsidR="00565DBC" w:rsidRPr="008C29E1" w:rsidRDefault="00565DBC" w:rsidP="00565DBC">
      <w:pPr>
        <w:numPr>
          <w:ilvl w:val="0"/>
          <w:numId w:val="1"/>
        </w:numPr>
        <w:ind w:left="567" w:hanging="567"/>
        <w:rPr>
          <w:szCs w:val="24"/>
          <w:rFonts w:ascii="Times New Roman" w:hAnsi="Times New Roman"/>
        </w:rPr>
      </w:pPr>
      <w:r>
        <w:rPr>
          <w:b/>
          <w:rFonts w:ascii="Times New Roman" w:hAnsi="Times New Roman"/>
        </w:rPr>
        <w:t xml:space="preserve">Réponse à ces demandes et aperçu des mesures que la Commission a prises ou envisage de prendre:</w:t>
      </w:r>
    </w:p>
    <w:p w14:paraId="0DCF0E79" w14:textId="02B5F5A3" w:rsidR="7F383052" w:rsidRPr="002C2F18" w:rsidRDefault="008C18C9" w:rsidP="00F86B9D">
      <w:pPr>
        <w:spacing w:after="120"/>
        <w:rPr>
          <w:rFonts w:ascii="Times New Roman" w:hAnsi="Times New Roman"/>
        </w:rPr>
      </w:pPr>
      <w:r>
        <w:rPr>
          <w:b/>
          <w:rFonts w:ascii="Times New Roman" w:hAnsi="Times New Roman"/>
        </w:rPr>
        <w:t xml:space="preserve">(Paragraphe 7)</w:t>
      </w:r>
      <w:r>
        <w:rPr>
          <w:rFonts w:ascii="Times New Roman" w:hAnsi="Times New Roman"/>
        </w:rPr>
        <w:t xml:space="preserve"> La Commission note l’utilité de lignes directrices et de bonnes pratiques, qui clarifient les obligations et responsabilités juridiques de chaque partie prenante des mondes virtuels (tels que les opérateurs de plateformes, les fournisseurs de services, les développeurs et les utilisateurs) en vertu du droit de l’Union applicable.</w:t>
      </w:r>
      <w:r>
        <w:rPr>
          <w:rFonts w:ascii="Times New Roman" w:hAnsi="Times New Roman"/>
        </w:rPr>
        <w:t xml:space="preserve"> </w:t>
      </w:r>
      <w:r>
        <w:rPr>
          <w:rFonts w:ascii="Times New Roman" w:hAnsi="Times New Roman"/>
        </w:rPr>
        <w:t xml:space="preserve">La Commission étudiera les possibilités de cadres adéquats, rassemblant différentes parties prenantes, qui pourraient permettre l’élaboration conjointe de telles lignes directrices et bonnes pratiques.</w:t>
      </w:r>
      <w:r>
        <w:rPr>
          <w:color w:val="00B050"/>
          <w:rFonts w:ascii="Times New Roman" w:hAnsi="Times New Roman"/>
        </w:rPr>
        <w:t xml:space="preserve"> </w:t>
      </w:r>
      <w:r>
        <w:rPr>
          <w:rFonts w:ascii="Times New Roman" w:hAnsi="Times New Roman"/>
        </w:rPr>
        <w:t xml:space="preserve">La Commission examinera la faisabilité d’une action spécifique en ce sens.</w:t>
      </w:r>
    </w:p>
    <w:p w14:paraId="5478A61A" w14:textId="748E08F9" w:rsidR="0051777C" w:rsidRDefault="2A837840" w:rsidP="00F86B9D">
      <w:pPr>
        <w:spacing w:after="120"/>
        <w:rPr>
          <w:rFonts w:ascii="Times New Roman" w:hAnsi="Times New Roman"/>
        </w:rPr>
      </w:pPr>
      <w:r>
        <w:rPr>
          <w:b/>
          <w:rFonts w:ascii="Times New Roman" w:hAnsi="Times New Roman"/>
        </w:rPr>
        <w:t xml:space="preserve">(Paragraphe 8) </w:t>
      </w:r>
      <w:r>
        <w:rPr>
          <w:rFonts w:ascii="Times New Roman" w:hAnsi="Times New Roman"/>
        </w:rPr>
        <w:t xml:space="preserve">La Commission convient de l’importance de procéder à des évaluations régulières afin de veiller à ce que la législation reste adaptée à l’environnement numérique, conformément aux lignes directrices pour une meilleure réglementation.</w:t>
      </w:r>
      <w:r>
        <w:rPr>
          <w:rFonts w:ascii="Times New Roman" w:hAnsi="Times New Roman"/>
        </w:rPr>
        <w:t xml:space="preserve"> </w:t>
      </w:r>
      <w:r>
        <w:rPr>
          <w:rFonts w:ascii="Times New Roman" w:hAnsi="Times New Roman"/>
        </w:rPr>
        <w:t xml:space="preserve">Dans le bilan de la législation de l’UE en matière de protection des consommateurs concernant l’équité numérique qu’elle dresse actuellement, la Commission examinera, dans un premier temps, l’adéquation des règles horizontales existantes en matière de protection des consommateurs à la lumière des évolutions technologiques.</w:t>
      </w:r>
    </w:p>
    <w:p w14:paraId="47A3E603" w14:textId="489D410A" w:rsidR="00C87E90" w:rsidRDefault="00C87E90" w:rsidP="00F86B9D">
      <w:pPr>
        <w:spacing w:after="120"/>
        <w:rPr>
          <w:rFonts w:ascii="Times New Roman" w:hAnsi="Times New Roman"/>
        </w:rPr>
      </w:pPr>
      <w:r>
        <w:rPr>
          <w:b/>
          <w:rFonts w:ascii="Times New Roman" w:hAnsi="Times New Roman"/>
        </w:rPr>
        <w:t xml:space="preserve">(Paragraphe 10)</w:t>
      </w:r>
      <w:r>
        <w:rPr>
          <w:rFonts w:ascii="Times New Roman" w:hAnsi="Times New Roman"/>
        </w:rPr>
        <w:t xml:space="preserve"> En ce qui concerne la protection des données à caractère personnel, la Commission a déjà indiqué dans sa communication que le règlement général sur la protection des données (RGPD) s’applique pleinement au traitement des données à caractère personnel dans les mondes virtuels.</w:t>
      </w:r>
      <w:r>
        <w:rPr>
          <w:rFonts w:ascii="Times New Roman" w:hAnsi="Times New Roman"/>
        </w:rPr>
        <w:t xml:space="preserve"> </w:t>
      </w:r>
      <w:r>
        <w:rPr>
          <w:rFonts w:ascii="Times New Roman" w:hAnsi="Times New Roman"/>
        </w:rPr>
        <w:t xml:space="preserve">Sont notamment concernées les règles spécifiques relatives au traitement des données à caractère personnel sensibles (par exemple, les données biométriques à des fins d’identification unique).</w:t>
      </w:r>
      <w:r>
        <w:rPr>
          <w:rFonts w:ascii="Times New Roman" w:hAnsi="Times New Roman"/>
        </w:rPr>
        <w:t xml:space="preserve"> </w:t>
      </w:r>
      <w:r>
        <w:rPr>
          <w:rFonts w:ascii="Times New Roman" w:hAnsi="Times New Roman"/>
        </w:rPr>
        <w:t xml:space="preserve">En outre, lorsque le traitement de données à caractère personnel n’est pas nécessaire à la fourniture du service, ce service doit être fourni sans celui-ci.</w:t>
      </w:r>
      <w:r>
        <w:rPr>
          <w:rFonts w:ascii="Times New Roman" w:hAnsi="Times New Roman"/>
        </w:rPr>
        <w:t xml:space="preserve"> </w:t>
      </w:r>
      <w:r>
        <w:rPr>
          <w:rFonts w:ascii="Times New Roman" w:hAnsi="Times New Roman"/>
        </w:rPr>
        <w:t xml:space="preserve">La Commission travaille également à l’élaboration d’une boîte à outils des mondes virtuels destinée au grand public (action 3 de la communication), qui comprendra des orientations sur les aspects liés à la protection des données.</w:t>
      </w:r>
    </w:p>
    <w:p w14:paraId="2275A824" w14:textId="2C9E6A84" w:rsidR="006C169E" w:rsidRPr="00621D0C" w:rsidRDefault="006C169E" w:rsidP="00F86B9D">
      <w:pPr>
        <w:spacing w:after="120"/>
        <w:rPr>
          <w:rFonts w:ascii="Times New Roman" w:hAnsi="Times New Roman"/>
        </w:rPr>
      </w:pPr>
      <w:bookmarkStart w:id="1" w:name="_Hlk161231724"/>
      <w:r>
        <w:rPr>
          <w:b/>
          <w:rFonts w:ascii="Times New Roman" w:hAnsi="Times New Roman"/>
        </w:rPr>
        <w:t xml:space="preserve">(Paragraphe 11)</w:t>
      </w:r>
      <w:r>
        <w:rPr>
          <w:rFonts w:ascii="Times New Roman" w:hAnsi="Times New Roman"/>
        </w:rPr>
        <w:t xml:space="preserve"> La Commission convient que les mondes virtuels devraient garantir la protection de la vie privée et prévenir efficacement la divulgation non autorisée de données, l’usurpation d’identité et d’autres formes d’utilisation abusive des données à caractère personnel collectées en ligne.</w:t>
      </w:r>
      <w:r>
        <w:rPr>
          <w:rFonts w:ascii="Times New Roman" w:hAnsi="Times New Roman"/>
        </w:rPr>
        <w:t xml:space="preserve"> </w:t>
      </w:r>
      <w:r>
        <w:rPr>
          <w:rFonts w:ascii="Times New Roman" w:hAnsi="Times New Roman"/>
        </w:rPr>
        <w:t xml:space="preserve">Le cadre de l’UE relatif à une identité numérique fournira aux utilisateurs des portefeuilles européens d’identité numérique.</w:t>
      </w:r>
      <w:r>
        <w:rPr>
          <w:rFonts w:ascii="Times New Roman" w:hAnsi="Times New Roman"/>
        </w:rPr>
        <w:t xml:space="preserve"> </w:t>
      </w:r>
      <w:r>
        <w:rPr>
          <w:rFonts w:ascii="Times New Roman" w:hAnsi="Times New Roman"/>
        </w:rPr>
        <w:t xml:space="preserve">Leur utilisation s’effectuera sur une base volontaire et permettra aux utilisateurs d’exercer un contrôle total sur leur identité numérique.</w:t>
      </w:r>
      <w:r>
        <w:rPr>
          <w:rFonts w:ascii="Times New Roman" w:hAnsi="Times New Roman"/>
        </w:rPr>
        <w:t xml:space="preserve"> </w:t>
      </w:r>
      <w:r>
        <w:rPr>
          <w:rFonts w:ascii="Times New Roman" w:hAnsi="Times New Roman"/>
        </w:rPr>
        <w:t xml:space="preserve">En outre, les portefeuilles européens d’identité numérique devraient inclure une fonctionnalité permettant de générer des pseudonymes choisis et gérés par l’utilisateur.</w:t>
      </w:r>
      <w:bookmarkEnd w:id="1"/>
    </w:p>
    <w:p w14:paraId="68CF7A33" w14:textId="3AC44BB6" w:rsidR="00A95867" w:rsidRDefault="00A95867" w:rsidP="00F86B9D">
      <w:pPr>
        <w:spacing w:after="120"/>
        <w:rPr>
          <w:b/>
          <w:bCs/>
          <w:rFonts w:ascii="Times New Roman" w:hAnsi="Times New Roman"/>
        </w:rPr>
      </w:pPr>
      <w:bookmarkStart w:id="2" w:name="_Hlk158627029"/>
      <w:r>
        <w:rPr>
          <w:b/>
          <w:rFonts w:ascii="Times New Roman" w:hAnsi="Times New Roman"/>
        </w:rPr>
        <w:t xml:space="preserve">(Paragraphe 12)</w:t>
      </w:r>
      <w:r>
        <w:rPr>
          <w:rFonts w:ascii="Times New Roman" w:hAnsi="Times New Roman"/>
        </w:rPr>
        <w:t xml:space="preserve"> En ce qui concerne la mise en œuvre rapide d’actions de sensibilisation et d’amélioration des compétences et de l’habileté numériques, la Commission a déjà publié des appels à propositions dans le cadre des programmes pour une Europe numérique et «Europe créative» afin de soutenir le renforcement des compétences.</w:t>
      </w:r>
      <w:r>
        <w:rPr>
          <w:rFonts w:ascii="Times New Roman" w:hAnsi="Times New Roman"/>
        </w:rPr>
        <w:t xml:space="preserve"> </w:t>
      </w:r>
      <w:r>
        <w:rPr>
          <w:rFonts w:ascii="Times New Roman" w:hAnsi="Times New Roman"/>
        </w:rPr>
        <w:t xml:space="preserve">La Commission publiera également prochainement la boîte à outils en ligne destinée au grand public et le matériel pédagogique destiné aux éducateurs, aux parents et aux enfants, promouvant l’accès et l’inclusion pour tous.</w:t>
      </w:r>
    </w:p>
    <w:bookmarkEnd w:id="2"/>
    <w:p w14:paraId="60A2F16F" w14:textId="30BCC972" w:rsidR="1CBC2D76" w:rsidRDefault="1CBC2D76" w:rsidP="00F86B9D">
      <w:pPr>
        <w:spacing w:after="120"/>
        <w:rPr>
          <w:rFonts w:ascii="Times New Roman" w:hAnsi="Times New Roman"/>
        </w:rPr>
      </w:pPr>
      <w:r>
        <w:rPr>
          <w:b/>
          <w:rFonts w:ascii="Times New Roman" w:hAnsi="Times New Roman"/>
        </w:rPr>
        <w:t xml:space="preserve">(Paragraphe 16)</w:t>
      </w:r>
      <w:r>
        <w:rPr>
          <w:rFonts w:ascii="Times New Roman" w:hAnsi="Times New Roman"/>
        </w:rPr>
        <w:t xml:space="preserve"> La Commission examine les questions de droit international privé dans le cadre de l’élaboration des rapports d’application sur les règlements Bruxelles I </w:t>
      </w:r>
      <w:r>
        <w:rPr>
          <w:i/>
          <w:iCs/>
          <w:rFonts w:ascii="Times New Roman" w:hAnsi="Times New Roman"/>
        </w:rPr>
        <w:t xml:space="preserve">bis</w:t>
      </w:r>
      <w:r>
        <w:rPr>
          <w:rFonts w:ascii="Times New Roman" w:hAnsi="Times New Roman"/>
        </w:rPr>
        <w:t xml:space="preserve"> et Rome II, dont l’adoption est prévue en 2024 ou au début de 2025.</w:t>
      </w:r>
      <w:r>
        <w:rPr>
          <w:rFonts w:ascii="Times New Roman" w:hAnsi="Times New Roman"/>
        </w:rPr>
        <w:t xml:space="preserve"> </w:t>
      </w:r>
      <w:r>
        <w:rPr>
          <w:rFonts w:ascii="Times New Roman" w:hAnsi="Times New Roman"/>
        </w:rPr>
        <w:t xml:space="preserve">Au cas où les rapports concluraient à la nécessité de modifier certaines dispositions de ces règlements, ces modifications seront proposées en temps utile.</w:t>
      </w:r>
    </w:p>
    <w:p w14:paraId="19614EC4" w14:textId="08E6522A" w:rsidR="1A721953" w:rsidRDefault="1A721953" w:rsidP="00F86B9D">
      <w:pPr>
        <w:spacing w:after="120"/>
        <w:rPr>
          <w:rFonts w:ascii="Times New Roman" w:hAnsi="Times New Roman"/>
        </w:rPr>
      </w:pPr>
      <w:r>
        <w:rPr>
          <w:b/>
          <w:bCs/>
          <w:rFonts w:ascii="Times New Roman" w:hAnsi="Times New Roman"/>
        </w:rPr>
        <w:t xml:space="preserve">(Paragraphe 20)</w:t>
      </w:r>
      <w:r>
        <w:rPr>
          <w:rFonts w:ascii="Times New Roman" w:hAnsi="Times New Roman"/>
        </w:rPr>
        <w:t xml:space="preserve"> La Commission prend note des préoccupations concernant la responsabilité des avatars et des systèmes décentralisés, mais tient à souligner que la mise en œuvre de systèmes efficaces de gestion de l’identité est essentielle dans tous les cas pour permettre leur identification correcte et en temps utile.</w:t>
      </w:r>
      <w:r>
        <w:rPr>
          <w:rFonts w:ascii="Times New Roman" w:hAnsi="Times New Roman"/>
        </w:rPr>
        <w:t xml:space="preserve"> </w:t>
      </w:r>
      <w:r>
        <w:rPr>
          <w:rFonts w:ascii="Times New Roman" w:hAnsi="Times New Roman"/>
        </w:rPr>
        <w:t xml:space="preserve">Les organisations autonomes décentralisées (DAO) sont des espaces décentralisés dans lesquels les communautés agissent conjointement et assument une responsabilité collective, sur la base de mécanismes de gouvernance interne rendus possibles par les technologies des registres distribués.</w:t>
      </w:r>
      <w:r>
        <w:rPr>
          <w:rFonts w:ascii="Times New Roman" w:hAnsi="Times New Roman"/>
        </w:rPr>
        <w:t xml:space="preserve"> </w:t>
      </w:r>
      <w:r>
        <w:rPr>
          <w:rFonts w:ascii="Times New Roman" w:hAnsi="Times New Roman"/>
        </w:rPr>
        <w:t xml:space="preserve">La responsabilité de la communauté dans son ensemble peut être engagée, mais pas celle de chaque individu.</w:t>
      </w:r>
      <w:r>
        <w:rPr>
          <w:rFonts w:ascii="Times New Roman" w:hAnsi="Times New Roman"/>
        </w:rPr>
        <w:t xml:space="preserve"> </w:t>
      </w:r>
      <w:r>
        <w:rPr>
          <w:rFonts w:ascii="Times New Roman" w:hAnsi="Times New Roman"/>
        </w:rPr>
        <w:t xml:space="preserve">Cet aspect et tout aspect connexe seront analysés plus en détail dans le cadre de la prochaine étude portant sur les DAO, qui devrait être publiée à la fin de cette année ou au début de 2025.</w:t>
      </w:r>
      <w:r>
        <w:rPr>
          <w:rFonts w:ascii="Times New Roman" w:hAnsi="Times New Roman"/>
        </w:rPr>
        <w:t xml:space="preserve"> </w:t>
      </w:r>
      <w:r>
        <w:rPr>
          <w:rFonts w:ascii="Times New Roman" w:hAnsi="Times New Roman"/>
        </w:rPr>
        <w:t xml:space="preserve">La Commission apprécie l’intérêt que le Parlement porte à ce projet.</w:t>
      </w:r>
    </w:p>
    <w:p w14:paraId="3475FC36" w14:textId="1AA05D61" w:rsidR="3DA65EEC" w:rsidRDefault="3DA65EEC" w:rsidP="00F86B9D">
      <w:pPr>
        <w:spacing w:after="120"/>
        <w:rPr>
          <w:rFonts w:ascii="Times New Roman" w:hAnsi="Times New Roman"/>
        </w:rPr>
      </w:pPr>
      <w:r>
        <w:rPr>
          <w:b/>
          <w:rFonts w:ascii="Times New Roman" w:hAnsi="Times New Roman"/>
        </w:rPr>
        <w:t xml:space="preserve">(Paragraphe 24)</w:t>
      </w:r>
      <w:r>
        <w:rPr>
          <w:rFonts w:ascii="Times New Roman" w:hAnsi="Times New Roman"/>
        </w:rPr>
        <w:t xml:space="preserve"> La Commission prend note de l’intérêt du Parlement européen pour les évolutions liées à l’enregistrement des marques, en particulier la dernière mise à jour apportée par la douzième édition de la «classification de Nice», qui permet l’enregistrement de marques dans des classes couvrant leur utilisation dans les mondes virtuels.</w:t>
      </w:r>
      <w:r>
        <w:rPr>
          <w:rFonts w:ascii="Times New Roman" w:hAnsi="Times New Roman"/>
        </w:rPr>
        <w:t xml:space="preserve"> </w:t>
      </w:r>
      <w:r>
        <w:rPr>
          <w:rFonts w:ascii="Times New Roman" w:hAnsi="Times New Roman"/>
        </w:rPr>
        <w:t xml:space="preserve">La Commission convient de la nécessité de suivre de près l’application concrète et les conséquences pratiques des nouvelles options de classification.</w:t>
      </w:r>
      <w:r>
        <w:rPr>
          <w:rFonts w:ascii="Times New Roman" w:hAnsi="Times New Roman"/>
        </w:rPr>
        <w:t xml:space="preserve"> </w:t>
      </w:r>
      <w:r>
        <w:rPr>
          <w:rFonts w:ascii="Times New Roman" w:hAnsi="Times New Roman"/>
        </w:rPr>
        <w:t xml:space="preserve">La Commission convient que des mesures efficaces sont nécessaires pour remédier aux infractions liées à l’utilisation de NFT référençant des marques sans l’autorisation de leurs propriétaires;</w:t>
      </w:r>
      <w:r>
        <w:rPr>
          <w:rFonts w:ascii="Times New Roman" w:hAnsi="Times New Roman"/>
        </w:rPr>
        <w:t xml:space="preserve"> </w:t>
      </w:r>
      <w:r>
        <w:rPr>
          <w:rFonts w:ascii="Times New Roman" w:hAnsi="Times New Roman"/>
        </w:rPr>
        <w:t xml:space="preserve">note toutefois que ce type de contrefaçon est également pertinent dans le cas des dessins et modèles.</w:t>
      </w:r>
      <w:r>
        <w:rPr>
          <w:rFonts w:ascii="Times New Roman" w:hAnsi="Times New Roman"/>
        </w:rPr>
        <w:t xml:space="preserve"> </w:t>
      </w:r>
      <w:r>
        <w:rPr>
          <w:rFonts w:ascii="Times New Roman" w:hAnsi="Times New Roman"/>
        </w:rPr>
        <w:t xml:space="preserve">La Commission fait remarquer que, dans le cadre de la boîte à outils pour lutter contre la contrefaçon, elle engagera un dialogue avec les parties prenantes sur les nouvelles technologies visant à adapter les pratiques et stratégies en matière de propriété intellectuelle aux mondes virtuels et à l’intelligence artificielle (IA).</w:t>
      </w:r>
    </w:p>
    <w:p w14:paraId="4D39EDA9" w14:textId="5C201FA7" w:rsidR="7A58A301" w:rsidRPr="008C18C9" w:rsidRDefault="4C644897" w:rsidP="00F86B9D">
      <w:pPr>
        <w:widowControl w:val="0"/>
        <w:spacing w:after="120"/>
        <w:rPr>
          <w:rFonts w:ascii="Times New Roman" w:hAnsi="Times New Roman"/>
        </w:rPr>
      </w:pPr>
      <w:r>
        <w:rPr>
          <w:b/>
          <w:rFonts w:ascii="Times New Roman" w:hAnsi="Times New Roman"/>
        </w:rPr>
        <w:t xml:space="preserve">(Paragraphe 25)</w:t>
      </w:r>
      <w:r>
        <w:rPr>
          <w:rFonts w:ascii="Times New Roman" w:hAnsi="Times New Roman"/>
        </w:rPr>
        <w:t xml:space="preserve"> En ce qui concerne la nécessité de clarifier davantage la manière dont les règles existantes devraient s’appliquer aux services de partage de contenus en ligne qui mettent des contenus à disposition dans les mondes virtuels et la manière dont il convient de les faire respecter, la Commission a publié, en 2021, des orientations sur l’article 17 de la directive 2019/790.</w:t>
      </w:r>
      <w:r>
        <w:rPr>
          <w:rFonts w:ascii="Times New Roman" w:hAnsi="Times New Roman"/>
        </w:rPr>
        <w:t xml:space="preserve"> </w:t>
      </w:r>
      <w:r>
        <w:rPr>
          <w:rFonts w:ascii="Times New Roman" w:hAnsi="Times New Roman"/>
        </w:rPr>
        <w:t xml:space="preserve">Lesdites orientations visent à soutenir la transposition correcte et cohérente de l’article 17 dans l’ensemble des États membres.</w:t>
      </w:r>
      <w:r>
        <w:rPr>
          <w:rFonts w:ascii="Times New Roman" w:hAnsi="Times New Roman"/>
        </w:rPr>
        <w:t xml:space="preserve"> </w:t>
      </w:r>
    </w:p>
    <w:p w14:paraId="07076E27" w14:textId="1BFD9D17" w:rsidR="7A58A301" w:rsidRPr="008C18C9" w:rsidRDefault="7A58A301" w:rsidP="00F86B9D">
      <w:pPr>
        <w:widowControl w:val="0"/>
        <w:spacing w:after="120"/>
        <w:rPr>
          <w:rFonts w:ascii="Times New Roman" w:hAnsi="Times New Roman"/>
        </w:rPr>
      </w:pPr>
      <w:r>
        <w:rPr>
          <w:rFonts w:ascii="Times New Roman" w:hAnsi="Times New Roman"/>
        </w:rPr>
        <w:t xml:space="preserve">Bien que ces orientations ne mentionnent pas spécifiquement les mondes virtuels, les principes qui y sont énoncés peuvent s’appliquer à différents services de partage de contenus en ligne y compris, en principe, ceux qui mettent du contenu à disposition dans les mondes virtuels.</w:t>
      </w:r>
      <w:r>
        <w:rPr>
          <w:rFonts w:ascii="Times New Roman" w:hAnsi="Times New Roman"/>
        </w:rPr>
        <w:t xml:space="preserve"> </w:t>
      </w:r>
      <w:r>
        <w:rPr>
          <w:rFonts w:ascii="Times New Roman" w:hAnsi="Times New Roman"/>
        </w:rPr>
        <w:t xml:space="preserve">Dans la mesure où les fournisseurs de mondes virtuels déployés sur plateformes peuvent être considérés comme des services de partage de contenus en ligne, ils sont tenus de respecter les règles de responsabilité énoncées à l’article 17.</w:t>
      </w:r>
      <w:r>
        <w:rPr>
          <w:rFonts w:ascii="Times New Roman" w:hAnsi="Times New Roman"/>
        </w:rPr>
        <w:t xml:space="preserve"> </w:t>
      </w:r>
      <w:r>
        <w:rPr>
          <w:rFonts w:ascii="Times New Roman" w:hAnsi="Times New Roman"/>
        </w:rPr>
        <w:t xml:space="preserve">Quand bien même ces fournisseurs de services ne seraient pas considérés comme des services de partage de contenus en ligne, ils seraient soumis aux règles de la législation sur les services numériques dans la mesure où ils fournissent des services d’hébergement et des services de plateformes en ligne.</w:t>
      </w:r>
    </w:p>
    <w:p w14:paraId="35ECAAF1" w14:textId="2C65FB95" w:rsidR="7A58A301" w:rsidRDefault="7A58A301" w:rsidP="00F86B9D">
      <w:pPr>
        <w:widowControl w:val="0"/>
        <w:spacing w:after="120"/>
        <w:rPr>
          <w:rFonts w:ascii="Times New Roman" w:hAnsi="Times New Roman"/>
        </w:rPr>
      </w:pPr>
      <w:r>
        <w:rPr>
          <w:rFonts w:ascii="Times New Roman" w:hAnsi="Times New Roman"/>
        </w:rPr>
        <w:t xml:space="preserve">La Commission suivra l’évolution des mondes virtuels en vue de déterminer si des mesures supplémentaires sont nécessaires pour assurer la protection des contenus protégés par le droit d’auteur.</w:t>
      </w:r>
    </w:p>
    <w:p w14:paraId="33737CCB" w14:textId="6A151429" w:rsidR="7F383052" w:rsidRDefault="00266890" w:rsidP="00F86B9D">
      <w:pPr>
        <w:widowControl w:val="0"/>
        <w:spacing w:after="120"/>
        <w:rPr>
          <w:rFonts w:ascii="Times New Roman" w:hAnsi="Times New Roman"/>
        </w:rPr>
      </w:pPr>
      <w:r>
        <w:rPr>
          <w:b/>
          <w:rFonts w:ascii="Times New Roman" w:hAnsi="Times New Roman"/>
        </w:rPr>
        <w:t xml:space="preserve">(Paragraphe 28)</w:t>
      </w:r>
      <w:r>
        <w:rPr>
          <w:rFonts w:ascii="Times New Roman" w:hAnsi="Times New Roman"/>
        </w:rPr>
        <w:t xml:space="preserve"> En ce qui concerne l’appel à envisager d’élargir le champ du dialogue des parties prenantes sur l’IA générative, la Commission surveille les implications en matière de propriété intellectuelle du contenu produit par l’IA ou avec l’aide de celle-ci et s’engage à dialoguer avec les parties prenantes concernées afin de veiller à ce que les défis et les possibilités soient traités de manière adéquate.</w:t>
      </w:r>
      <w:r>
        <w:rPr>
          <w:rFonts w:ascii="Times New Roman" w:hAnsi="Times New Roman"/>
        </w:rPr>
        <w:t xml:space="preserve"> </w:t>
      </w:r>
      <w:r>
        <w:rPr>
          <w:rFonts w:ascii="Times New Roman" w:hAnsi="Times New Roman"/>
        </w:rPr>
        <w:t xml:space="preserve">La Commission observe que le dialogue à engager avec les parties prenantes dans le cadre de la boîte à outils pour lutter contre la contrefaçon couvrira un large éventail de questions liées à l’adaptation des pratiques et stratégies en matière de PI aux mondes virtuels et à l’IA.</w:t>
      </w:r>
    </w:p>
    <w:p w14:paraId="35DFAD8D" w14:textId="78AE1768" w:rsidR="00EA268E" w:rsidRDefault="61527C81" w:rsidP="00F86B9D">
      <w:pPr>
        <w:spacing w:after="120"/>
      </w:pPr>
      <w:r>
        <w:rPr>
          <w:b/>
          <w:bCs/>
          <w:rFonts w:ascii="Times New Roman" w:hAnsi="Times New Roman"/>
        </w:rPr>
        <w:t xml:space="preserve">(Paragraphe 32)</w:t>
      </w:r>
      <w:r>
        <w:rPr>
          <w:rFonts w:ascii="Times New Roman" w:hAnsi="Times New Roman"/>
        </w:rPr>
        <w:t xml:space="preserve"> La Commission travaille sur la boîte à outils des mondes virtuels selon une approche modulaire.</w:t>
      </w:r>
      <w:r>
        <w:rPr>
          <w:rFonts w:ascii="Times New Roman" w:hAnsi="Times New Roman"/>
        </w:rPr>
        <w:t xml:space="preserve"> </w:t>
      </w:r>
      <w:r>
        <w:rPr>
          <w:rFonts w:ascii="Times New Roman" w:hAnsi="Times New Roman"/>
        </w:rPr>
        <w:t xml:space="preserve">Les sections en cours d’élaboration comprennent des thèmes et des conseils concernant le portefeuille d’identification numérique, la protection des données et de la vie privée, la désinformation et la mésinformation, les droits d’auteur et de propriété intellectuelle, les actifs numériques, la cybersécurité, la cybercriminalité, les avatars, les équipements nécessaires et le respect vis-à-vis de tous les utilisateurs.</w:t>
      </w:r>
      <w:r>
        <w:rPr>
          <w:rFonts w:ascii="Times New Roman" w:hAnsi="Times New Roman"/>
        </w:rPr>
        <w:t xml:space="preserve"> </w:t>
      </w:r>
      <w:r>
        <w:rPr>
          <w:rFonts w:ascii="Times New Roman" w:hAnsi="Times New Roman"/>
        </w:rPr>
        <w:t xml:space="preserve">La Commission se félicite de la recommandation relative aux prochaines étapes du développement graduel de la boîte à outils et souligne son engagement en faveur de mondes virtuels durables et centrés sur l’humain.</w:t>
      </w:r>
    </w:p>
    <w:sectPr w:rsidR="00EA268E">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B21DF" w14:textId="77777777" w:rsidR="00635EA0" w:rsidRDefault="00635EA0" w:rsidP="00ED755E">
      <w:pPr>
        <w:spacing w:after="0"/>
      </w:pPr>
      <w:r>
        <w:separator/>
      </w:r>
    </w:p>
  </w:endnote>
  <w:endnote w:type="continuationSeparator" w:id="0">
    <w:p w14:paraId="4DB3D375" w14:textId="77777777" w:rsidR="00635EA0" w:rsidRDefault="00635EA0" w:rsidP="00ED755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A394FC" w14:textId="77777777" w:rsidR="00635EA0" w:rsidRDefault="00635EA0" w:rsidP="00ED755E">
      <w:pPr>
        <w:spacing w:after="0"/>
      </w:pPr>
      <w:r>
        <w:separator/>
      </w:r>
    </w:p>
  </w:footnote>
  <w:footnote w:type="continuationSeparator" w:id="0">
    <w:p w14:paraId="5B034549" w14:textId="77777777" w:rsidR="00635EA0" w:rsidRDefault="00635EA0" w:rsidP="00ED755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973D2"/>
    <w:multiLevelType w:val="hybridMultilevel"/>
    <w:tmpl w:val="C66A48E8"/>
    <w:lvl w:ilvl="0" w:tplc="492C7160">
      <w:start w:val="1"/>
      <w:numFmt w:val="decimal"/>
      <w:lvlText w:val="%1."/>
      <w:lvlJc w:val="left"/>
      <w:pPr>
        <w:ind w:left="720" w:hanging="720"/>
      </w:pPr>
      <w:rPr>
        <w:rFonts w:hint="default"/>
        <w:b/>
        <w:i w:val="0"/>
      </w:rPr>
    </w:lvl>
    <w:lvl w:ilvl="1" w:tplc="08090019">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num w:numId="1" w16cid:durableId="1574849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10010A"/>
    <w:rsid w:val="0001035D"/>
    <w:rsid w:val="00074425"/>
    <w:rsid w:val="0007515E"/>
    <w:rsid w:val="000A1CAB"/>
    <w:rsid w:val="000A67F5"/>
    <w:rsid w:val="000C0423"/>
    <w:rsid w:val="0010010A"/>
    <w:rsid w:val="001019A0"/>
    <w:rsid w:val="00195670"/>
    <w:rsid w:val="001A0D60"/>
    <w:rsid w:val="00215B5A"/>
    <w:rsid w:val="00223D82"/>
    <w:rsid w:val="00266890"/>
    <w:rsid w:val="00272BE4"/>
    <w:rsid w:val="002748AD"/>
    <w:rsid w:val="00290921"/>
    <w:rsid w:val="002C2F18"/>
    <w:rsid w:val="002E758E"/>
    <w:rsid w:val="003243A0"/>
    <w:rsid w:val="00351297"/>
    <w:rsid w:val="0036344D"/>
    <w:rsid w:val="003B75BE"/>
    <w:rsid w:val="003C6580"/>
    <w:rsid w:val="003F7A06"/>
    <w:rsid w:val="004900FB"/>
    <w:rsid w:val="00495A28"/>
    <w:rsid w:val="004B706B"/>
    <w:rsid w:val="0051777C"/>
    <w:rsid w:val="00525615"/>
    <w:rsid w:val="00565DBC"/>
    <w:rsid w:val="00576694"/>
    <w:rsid w:val="00584BEB"/>
    <w:rsid w:val="00592D8C"/>
    <w:rsid w:val="005D7E45"/>
    <w:rsid w:val="005E29E9"/>
    <w:rsid w:val="00621D0C"/>
    <w:rsid w:val="00635EA0"/>
    <w:rsid w:val="006B1650"/>
    <w:rsid w:val="006C169E"/>
    <w:rsid w:val="006E0115"/>
    <w:rsid w:val="006F3901"/>
    <w:rsid w:val="006F4018"/>
    <w:rsid w:val="006F4A60"/>
    <w:rsid w:val="00723038"/>
    <w:rsid w:val="00743534"/>
    <w:rsid w:val="0074758B"/>
    <w:rsid w:val="007C79C0"/>
    <w:rsid w:val="007F0595"/>
    <w:rsid w:val="00865550"/>
    <w:rsid w:val="008C18C9"/>
    <w:rsid w:val="008C29E1"/>
    <w:rsid w:val="008E3723"/>
    <w:rsid w:val="00995FBC"/>
    <w:rsid w:val="009A0A35"/>
    <w:rsid w:val="009B4F39"/>
    <w:rsid w:val="009D0149"/>
    <w:rsid w:val="009E1ACB"/>
    <w:rsid w:val="00A45EA9"/>
    <w:rsid w:val="00A54047"/>
    <w:rsid w:val="00A95867"/>
    <w:rsid w:val="00AC5197"/>
    <w:rsid w:val="00B07C64"/>
    <w:rsid w:val="00B27279"/>
    <w:rsid w:val="00B56ACA"/>
    <w:rsid w:val="00B75C13"/>
    <w:rsid w:val="00B94472"/>
    <w:rsid w:val="00BA4064"/>
    <w:rsid w:val="00BD6BFC"/>
    <w:rsid w:val="00C065B2"/>
    <w:rsid w:val="00C46D62"/>
    <w:rsid w:val="00C801EC"/>
    <w:rsid w:val="00C87E90"/>
    <w:rsid w:val="00CF1D6B"/>
    <w:rsid w:val="00D30282"/>
    <w:rsid w:val="00D33761"/>
    <w:rsid w:val="00D35AEE"/>
    <w:rsid w:val="00D4471D"/>
    <w:rsid w:val="00D97393"/>
    <w:rsid w:val="00DB2784"/>
    <w:rsid w:val="00E211E6"/>
    <w:rsid w:val="00E37A0F"/>
    <w:rsid w:val="00E91DC2"/>
    <w:rsid w:val="00EA268E"/>
    <w:rsid w:val="00EC285B"/>
    <w:rsid w:val="00ED755E"/>
    <w:rsid w:val="00F036C7"/>
    <w:rsid w:val="00F05C84"/>
    <w:rsid w:val="00F66E45"/>
    <w:rsid w:val="00F67F46"/>
    <w:rsid w:val="00F724EC"/>
    <w:rsid w:val="00F84353"/>
    <w:rsid w:val="00F86B9D"/>
    <w:rsid w:val="04303CDF"/>
    <w:rsid w:val="06D0EFAE"/>
    <w:rsid w:val="08EDE987"/>
    <w:rsid w:val="0A216E87"/>
    <w:rsid w:val="0A6F3275"/>
    <w:rsid w:val="0C5127BA"/>
    <w:rsid w:val="0CB101DB"/>
    <w:rsid w:val="0E4CD23C"/>
    <w:rsid w:val="0EC70750"/>
    <w:rsid w:val="11513F0B"/>
    <w:rsid w:val="12FA0F0B"/>
    <w:rsid w:val="139DC65B"/>
    <w:rsid w:val="193DC676"/>
    <w:rsid w:val="199938DF"/>
    <w:rsid w:val="19F1FEDF"/>
    <w:rsid w:val="1A721953"/>
    <w:rsid w:val="1CBC2D76"/>
    <w:rsid w:val="1DE796A3"/>
    <w:rsid w:val="1DF0BE35"/>
    <w:rsid w:val="1E6D92FC"/>
    <w:rsid w:val="2063ADE6"/>
    <w:rsid w:val="21686BA1"/>
    <w:rsid w:val="263FE611"/>
    <w:rsid w:val="2654DF8E"/>
    <w:rsid w:val="2A837840"/>
    <w:rsid w:val="2B406656"/>
    <w:rsid w:val="2BF551AA"/>
    <w:rsid w:val="2D4643AC"/>
    <w:rsid w:val="3029D1A0"/>
    <w:rsid w:val="309DC65A"/>
    <w:rsid w:val="315C6C6F"/>
    <w:rsid w:val="319F7FBB"/>
    <w:rsid w:val="3282197F"/>
    <w:rsid w:val="328B5528"/>
    <w:rsid w:val="32C9AFC3"/>
    <w:rsid w:val="333B501C"/>
    <w:rsid w:val="33D82610"/>
    <w:rsid w:val="373FC888"/>
    <w:rsid w:val="3AA6139B"/>
    <w:rsid w:val="3B0F034C"/>
    <w:rsid w:val="3DA65EEC"/>
    <w:rsid w:val="3FEF48B2"/>
    <w:rsid w:val="4183B86D"/>
    <w:rsid w:val="41E3B351"/>
    <w:rsid w:val="41F02FDB"/>
    <w:rsid w:val="429E8656"/>
    <w:rsid w:val="4326E974"/>
    <w:rsid w:val="47A3FE0B"/>
    <w:rsid w:val="48C6E98F"/>
    <w:rsid w:val="4921BAC5"/>
    <w:rsid w:val="4A3AD3CF"/>
    <w:rsid w:val="4A62B9F0"/>
    <w:rsid w:val="4BA4BF67"/>
    <w:rsid w:val="4BEDF3BD"/>
    <w:rsid w:val="4C60249B"/>
    <w:rsid w:val="4C644897"/>
    <w:rsid w:val="4F93FC54"/>
    <w:rsid w:val="50FFE912"/>
    <w:rsid w:val="5131B7F4"/>
    <w:rsid w:val="52CA8329"/>
    <w:rsid w:val="5515F906"/>
    <w:rsid w:val="56B73C77"/>
    <w:rsid w:val="577EFEC5"/>
    <w:rsid w:val="57AF946F"/>
    <w:rsid w:val="584761A7"/>
    <w:rsid w:val="59C65310"/>
    <w:rsid w:val="5AB15B04"/>
    <w:rsid w:val="5D41071E"/>
    <w:rsid w:val="5D41BF81"/>
    <w:rsid w:val="5ED39BD6"/>
    <w:rsid w:val="6011ABFE"/>
    <w:rsid w:val="60EB659F"/>
    <w:rsid w:val="61527C81"/>
    <w:rsid w:val="61FB4FE4"/>
    <w:rsid w:val="677F03FC"/>
    <w:rsid w:val="67EDA59F"/>
    <w:rsid w:val="6831B5E4"/>
    <w:rsid w:val="6996CB38"/>
    <w:rsid w:val="6CD03CFA"/>
    <w:rsid w:val="6D8BC679"/>
    <w:rsid w:val="701DB6B2"/>
    <w:rsid w:val="71B98713"/>
    <w:rsid w:val="71FFBA39"/>
    <w:rsid w:val="7259B001"/>
    <w:rsid w:val="749E957B"/>
    <w:rsid w:val="76339BBA"/>
    <w:rsid w:val="7969CFB3"/>
    <w:rsid w:val="7A58A301"/>
    <w:rsid w:val="7BC0437A"/>
    <w:rsid w:val="7C9660B4"/>
    <w:rsid w:val="7F3830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C9297"/>
  <w15:chartTrackingRefBased/>
  <w15:docId w15:val="{47A6392C-9711-4D07-B770-34E9CD924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5DBC"/>
    <w:pPr>
      <w:spacing w:after="240" w:line="240" w:lineRule="auto"/>
      <w:jc w:val="both"/>
    </w:pPr>
    <w:rPr>
      <w:rFonts w:ascii="Courier New" w:eastAsia="Times New Roman" w:hAnsi="Courier New" w:cs="Times New Roman"/>
      <w:kern w:val="0"/>
      <w:sz w:val="24"/>
      <w:szCs w:val="20"/>
      <w:lang w:val="fr-FR"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777C"/>
    <w:pPr>
      <w:ind w:left="720"/>
      <w:contextualSpacing/>
    </w:pPr>
  </w:style>
  <w:style w:type="paragraph" w:styleId="Revision">
    <w:name w:val="Revision"/>
    <w:hidden/>
    <w:uiPriority w:val="99"/>
    <w:semiHidden/>
    <w:rsid w:val="00F036C7"/>
    <w:pPr>
      <w:spacing w:after="0" w:line="240" w:lineRule="auto"/>
    </w:pPr>
    <w:rPr>
      <w:rFonts w:ascii="Courier New" w:eastAsia="Times New Roman" w:hAnsi="Courier New" w:cs="Times New Roman"/>
      <w:kern w:val="0"/>
      <w:sz w:val="24"/>
      <w:szCs w:val="20"/>
      <w:lang w:val="fr-FR" w:eastAsia="en-GB"/>
      <w14:ligatures w14:val="none"/>
    </w:rPr>
  </w:style>
  <w:style w:type="character" w:styleId="CommentReference">
    <w:name w:val="annotation reference"/>
    <w:basedOn w:val="DefaultParagraphFont"/>
    <w:uiPriority w:val="99"/>
    <w:semiHidden/>
    <w:unhideWhenUsed/>
    <w:rsid w:val="008C18C9"/>
    <w:rPr>
      <w:sz w:val="16"/>
      <w:szCs w:val="16"/>
    </w:rPr>
  </w:style>
  <w:style w:type="paragraph" w:styleId="CommentText">
    <w:name w:val="annotation text"/>
    <w:basedOn w:val="Normal"/>
    <w:link w:val="CommentTextChar"/>
    <w:uiPriority w:val="99"/>
    <w:unhideWhenUsed/>
    <w:rsid w:val="008C18C9"/>
    <w:rPr>
      <w:sz w:val="20"/>
    </w:rPr>
  </w:style>
  <w:style w:type="character" w:customStyle="1" w:styleId="CommentTextChar">
    <w:name w:val="Comment Text Char"/>
    <w:basedOn w:val="DefaultParagraphFont"/>
    <w:link w:val="CommentText"/>
    <w:uiPriority w:val="99"/>
    <w:rsid w:val="008C18C9"/>
    <w:rPr>
      <w:rFonts w:ascii="Courier New" w:eastAsia="Times New Roman" w:hAnsi="Courier New" w:cs="Times New Roman"/>
      <w:kern w:val="0"/>
      <w:sz w:val="20"/>
      <w:szCs w:val="20"/>
      <w:lang w:val="fr-FR" w:eastAsia="en-GB"/>
      <w14:ligatures w14:val="none"/>
    </w:rPr>
  </w:style>
  <w:style w:type="paragraph" w:styleId="CommentSubject">
    <w:name w:val="annotation subject"/>
    <w:basedOn w:val="CommentText"/>
    <w:next w:val="CommentText"/>
    <w:link w:val="CommentSubjectChar"/>
    <w:uiPriority w:val="99"/>
    <w:semiHidden/>
    <w:unhideWhenUsed/>
    <w:rsid w:val="008C18C9"/>
    <w:rPr>
      <w:b/>
      <w:bCs/>
    </w:rPr>
  </w:style>
  <w:style w:type="character" w:customStyle="1" w:styleId="CommentSubjectChar">
    <w:name w:val="Comment Subject Char"/>
    <w:basedOn w:val="CommentTextChar"/>
    <w:link w:val="CommentSubject"/>
    <w:uiPriority w:val="99"/>
    <w:semiHidden/>
    <w:rsid w:val="008C18C9"/>
    <w:rPr>
      <w:rFonts w:ascii="Courier New" w:eastAsia="Times New Roman" w:hAnsi="Courier New" w:cs="Times New Roman"/>
      <w:b/>
      <w:bCs/>
      <w:kern w:val="0"/>
      <w:sz w:val="20"/>
      <w:szCs w:val="20"/>
      <w:lang w:val="fr-FR"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015308">
      <w:bodyDiv w:val="1"/>
      <w:marLeft w:val="0"/>
      <w:marRight w:val="0"/>
      <w:marTop w:val="0"/>
      <w:marBottom w:val="0"/>
      <w:divBdr>
        <w:top w:val="none" w:sz="0" w:space="0" w:color="auto"/>
        <w:left w:val="none" w:sz="0" w:space="0" w:color="auto"/>
        <w:bottom w:val="none" w:sz="0" w:space="0" w:color="auto"/>
        <w:right w:val="none" w:sz="0" w:space="0" w:color="auto"/>
      </w:divBdr>
    </w:div>
    <w:div w:id="427120322">
      <w:bodyDiv w:val="1"/>
      <w:marLeft w:val="0"/>
      <w:marRight w:val="0"/>
      <w:marTop w:val="0"/>
      <w:marBottom w:val="0"/>
      <w:divBdr>
        <w:top w:val="none" w:sz="0" w:space="0" w:color="auto"/>
        <w:left w:val="none" w:sz="0" w:space="0" w:color="auto"/>
        <w:bottom w:val="none" w:sz="0" w:space="0" w:color="auto"/>
        <w:right w:val="none" w:sz="0" w:space="0" w:color="auto"/>
      </w:divBdr>
    </w:div>
    <w:div w:id="493684130">
      <w:bodyDiv w:val="1"/>
      <w:marLeft w:val="0"/>
      <w:marRight w:val="0"/>
      <w:marTop w:val="0"/>
      <w:marBottom w:val="0"/>
      <w:divBdr>
        <w:top w:val="none" w:sz="0" w:space="0" w:color="auto"/>
        <w:left w:val="none" w:sz="0" w:space="0" w:color="auto"/>
        <w:bottom w:val="none" w:sz="0" w:space="0" w:color="auto"/>
        <w:right w:val="none" w:sz="0" w:space="0" w:color="auto"/>
      </w:divBdr>
    </w:div>
    <w:div w:id="1029378145">
      <w:bodyDiv w:val="1"/>
      <w:marLeft w:val="0"/>
      <w:marRight w:val="0"/>
      <w:marTop w:val="0"/>
      <w:marBottom w:val="0"/>
      <w:divBdr>
        <w:top w:val="none" w:sz="0" w:space="0" w:color="auto"/>
        <w:left w:val="none" w:sz="0" w:space="0" w:color="auto"/>
        <w:bottom w:val="none" w:sz="0" w:space="0" w:color="auto"/>
        <w:right w:val="none" w:sz="0" w:space="0" w:color="auto"/>
      </w:divBdr>
    </w:div>
    <w:div w:id="1222791698">
      <w:bodyDiv w:val="1"/>
      <w:marLeft w:val="0"/>
      <w:marRight w:val="0"/>
      <w:marTop w:val="0"/>
      <w:marBottom w:val="0"/>
      <w:divBdr>
        <w:top w:val="none" w:sz="0" w:space="0" w:color="auto"/>
        <w:left w:val="none" w:sz="0" w:space="0" w:color="auto"/>
        <w:bottom w:val="none" w:sz="0" w:space="0" w:color="auto"/>
        <w:right w:val="none" w:sz="0" w:space="0" w:color="auto"/>
      </w:divBdr>
    </w:div>
    <w:div w:id="1825855244">
      <w:bodyDiv w:val="1"/>
      <w:marLeft w:val="0"/>
      <w:marRight w:val="0"/>
      <w:marTop w:val="0"/>
      <w:marBottom w:val="0"/>
      <w:divBdr>
        <w:top w:val="none" w:sz="0" w:space="0" w:color="auto"/>
        <w:left w:val="none" w:sz="0" w:space="0" w:color="auto"/>
        <w:bottom w:val="none" w:sz="0" w:space="0" w:color="auto"/>
        <w:right w:val="none" w:sz="0" w:space="0" w:color="auto"/>
      </w:divBdr>
    </w:div>
    <w:div w:id="1910965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6C51944DE6B0A4FAB35C81DB2CEE5C2" ma:contentTypeVersion="6" ma:contentTypeDescription="Create a new document." ma:contentTypeScope="" ma:versionID="42b3ffdfd576075495f41ba964565a13">
  <xsd:schema xmlns:xsd="http://www.w3.org/2001/XMLSchema" xmlns:xs="http://www.w3.org/2001/XMLSchema" xmlns:p="http://schemas.microsoft.com/office/2006/metadata/properties" xmlns:ns2="9fb1621f-13c5-4596-ace4-bce27d2afdb3" xmlns:ns3="c942102f-7205-4784-9eb7-d74eefbec988" targetNamespace="http://schemas.microsoft.com/office/2006/metadata/properties" ma:root="true" ma:fieldsID="49700eff395cdb9f6dd0605ddcf4ec55" ns2:_="" ns3:_="">
    <xsd:import namespace="9fb1621f-13c5-4596-ace4-bce27d2afdb3"/>
    <xsd:import namespace="c942102f-7205-4784-9eb7-d74eefbec98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b1621f-13c5-4596-ace4-bce27d2afd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42102f-7205-4784-9eb7-d74eefbec98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BC4026-E2FC-4EDF-8DB8-24DC619BF57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6A0AB48-D53C-46BC-8175-B79487A9D3C4}">
  <ds:schemaRefs>
    <ds:schemaRef ds:uri="http://schemas.microsoft.com/sharepoint/v3/contenttype/forms"/>
  </ds:schemaRefs>
</ds:datastoreItem>
</file>

<file path=customXml/itemProps3.xml><?xml version="1.0" encoding="utf-8"?>
<ds:datastoreItem xmlns:ds="http://schemas.openxmlformats.org/officeDocument/2006/customXml" ds:itemID="{A6E98B61-CF2F-496B-B378-71E023B285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b1621f-13c5-4596-ace4-bce27d2afdb3"/>
    <ds:schemaRef ds:uri="c942102f-7205-4784-9eb7-d74eefbec9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1424</Words>
  <Characters>8178</Characters>
  <Application>Microsoft Office Word</Application>
  <DocSecurity>0</DocSecurity>
  <Lines>110</Lines>
  <Paragraphs>25</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9577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GAIU Andrei (CNECT)</dc:creator>
  <cp:keywords/>
  <dc:description/>
  <cp:lastModifiedBy>ALMEIDA Maria Jose (SG)</cp:lastModifiedBy>
  <cp:revision>3</cp:revision>
  <dcterms:created xsi:type="dcterms:W3CDTF">2024-04-09T10:33:00Z</dcterms:created>
  <dcterms:modified xsi:type="dcterms:W3CDTF">2024-04-10T13:14:00Z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2024-01-31T15:49:29Z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62478c3e-649b-4ae9-9a7a-695ecb53cd68</vt:lpwstr>
  </property>
  <property fmtid="{D5CDD505-2E9C-101B-9397-08002B2CF9AE}" pid="8" name="MSIP_Label_6bd9ddd1-4d20-43f6-abfa-fc3c07406f94_ContentBits">
    <vt:lpwstr>0</vt:lpwstr>
  </property>
  <property fmtid="{D5CDD505-2E9C-101B-9397-08002B2CF9AE}" pid="9" name="ContentTypeId">
    <vt:lpwstr>0x01010096C51944DE6B0A4FAB35C81DB2CEE5C2</vt:lpwstr>
  </property>
</Properties>
</file>