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4384" w14:textId="77777777" w:rsidR="00471471" w:rsidRPr="00514477" w:rsidRDefault="00471471" w:rsidP="00471471">
      <w:pPr>
        <w:spacing w:after="600"/>
        <w:jc w:val="center"/>
        <w:rPr>
          <w:rFonts w:ascii="Times New Roman" w:hAnsi="Times New Roman"/>
          <w:b/>
        </w:rPr>
      </w:pPr>
      <w:bookmarkStart w:id="0" w:name="Virtual"/>
      <w:r w:rsidRPr="00514477">
        <w:rPr>
          <w:rFonts w:ascii="Times New Roman" w:hAnsi="Times New Roman"/>
          <w:b/>
          <w:bCs/>
        </w:rPr>
        <w:t xml:space="preserve">Follow up to the </w:t>
      </w:r>
      <w:r w:rsidRPr="00514477">
        <w:rPr>
          <w:rFonts w:ascii="Times New Roman" w:hAnsi="Times New Roman"/>
          <w:b/>
        </w:rPr>
        <w:t>European Parliament non-legislative resolution on virtual worlds: opportunities, risks and policy implications for the Single Market</w:t>
      </w:r>
    </w:p>
    <w:bookmarkEnd w:id="0"/>
    <w:p w14:paraId="3DEDE709" w14:textId="77777777" w:rsidR="00471471" w:rsidRPr="00514477" w:rsidRDefault="00471471" w:rsidP="00471471">
      <w:pPr>
        <w:numPr>
          <w:ilvl w:val="0"/>
          <w:numId w:val="2"/>
        </w:numPr>
        <w:ind w:left="567" w:hanging="567"/>
        <w:rPr>
          <w:rFonts w:ascii="Times New Roman" w:hAnsi="Times New Roman"/>
          <w:b/>
          <w:szCs w:val="24"/>
          <w:lang w:val="fr-BE"/>
        </w:rPr>
      </w:pPr>
      <w:r w:rsidRPr="00514477">
        <w:rPr>
          <w:rFonts w:ascii="Times New Roman" w:hAnsi="Times New Roman"/>
          <w:b/>
          <w:szCs w:val="24"/>
          <w:lang w:val="fr-BE"/>
        </w:rPr>
        <w:t xml:space="preserve">Rapporteur: </w:t>
      </w:r>
      <w:r w:rsidRPr="00514477">
        <w:rPr>
          <w:rFonts w:ascii="Times New Roman" w:hAnsi="Times New Roman"/>
          <w:bCs/>
          <w:szCs w:val="24"/>
          <w:lang w:val="fr-BE"/>
        </w:rPr>
        <w:t>Pablo ARIAS ECHEVERRÍA (EP / ES)</w:t>
      </w:r>
    </w:p>
    <w:p w14:paraId="6AC51411" w14:textId="77777777" w:rsidR="00471471" w:rsidRPr="00514477" w:rsidRDefault="00471471" w:rsidP="00471471">
      <w:pPr>
        <w:numPr>
          <w:ilvl w:val="0"/>
          <w:numId w:val="2"/>
        </w:numPr>
        <w:ind w:left="567" w:hanging="567"/>
        <w:rPr>
          <w:rFonts w:ascii="Times New Roman" w:hAnsi="Times New Roman"/>
          <w:szCs w:val="24"/>
        </w:rPr>
      </w:pPr>
      <w:r w:rsidRPr="00514477">
        <w:rPr>
          <w:rFonts w:ascii="Times New Roman" w:hAnsi="Times New Roman"/>
          <w:b/>
          <w:szCs w:val="24"/>
        </w:rPr>
        <w:t xml:space="preserve">Reference numbers: </w:t>
      </w:r>
      <w:r w:rsidRPr="00514477">
        <w:rPr>
          <w:rFonts w:ascii="Times New Roman" w:hAnsi="Times New Roman"/>
          <w:bCs/>
        </w:rPr>
        <w:t xml:space="preserve">2022/2198 (INI) </w:t>
      </w:r>
      <w:r w:rsidRPr="00514477">
        <w:rPr>
          <w:rFonts w:ascii="Times New Roman" w:hAnsi="Times New Roman"/>
          <w:i/>
          <w:szCs w:val="24"/>
        </w:rPr>
        <w:t xml:space="preserve">/ </w:t>
      </w:r>
      <w:r w:rsidRPr="00514477">
        <w:rPr>
          <w:rFonts w:ascii="Times New Roman" w:hAnsi="Times New Roman"/>
          <w:iCs/>
          <w:szCs w:val="24"/>
        </w:rPr>
        <w:t>T9-0032/2024/ A9-0397/2023</w:t>
      </w:r>
    </w:p>
    <w:p w14:paraId="259FBB2D" w14:textId="77777777" w:rsidR="00471471" w:rsidRPr="00514477" w:rsidRDefault="00471471" w:rsidP="00471471">
      <w:pPr>
        <w:numPr>
          <w:ilvl w:val="0"/>
          <w:numId w:val="2"/>
        </w:numPr>
        <w:ind w:left="567" w:hanging="567"/>
        <w:rPr>
          <w:rFonts w:ascii="Times New Roman" w:hAnsi="Times New Roman"/>
          <w:szCs w:val="24"/>
        </w:rPr>
      </w:pPr>
      <w:r w:rsidRPr="00514477">
        <w:rPr>
          <w:rFonts w:ascii="Times New Roman" w:hAnsi="Times New Roman"/>
          <w:b/>
          <w:szCs w:val="24"/>
        </w:rPr>
        <w:t xml:space="preserve">Date of adoption of the resolution: </w:t>
      </w:r>
      <w:r w:rsidRPr="00514477">
        <w:rPr>
          <w:rFonts w:ascii="Times New Roman" w:hAnsi="Times New Roman"/>
          <w:bCs/>
        </w:rPr>
        <w:t>17 January 2024</w:t>
      </w:r>
    </w:p>
    <w:p w14:paraId="7BDC6F82" w14:textId="77777777" w:rsidR="00471471" w:rsidRPr="00514477" w:rsidRDefault="00471471" w:rsidP="00471471">
      <w:pPr>
        <w:numPr>
          <w:ilvl w:val="0"/>
          <w:numId w:val="2"/>
        </w:numPr>
        <w:ind w:left="567" w:hanging="567"/>
        <w:rPr>
          <w:rFonts w:ascii="Times New Roman" w:hAnsi="Times New Roman"/>
          <w:i/>
          <w:szCs w:val="24"/>
        </w:rPr>
      </w:pPr>
      <w:r w:rsidRPr="00514477">
        <w:rPr>
          <w:rFonts w:ascii="Times New Roman" w:hAnsi="Times New Roman"/>
          <w:b/>
        </w:rPr>
        <w:t>Competent Parliamentary Committee</w:t>
      </w:r>
      <w:r w:rsidRPr="00514477">
        <w:rPr>
          <w:rFonts w:ascii="Times New Roman" w:hAnsi="Times New Roman"/>
          <w:bCs/>
        </w:rPr>
        <w:t>: Committee on</w:t>
      </w:r>
      <w:r w:rsidRPr="00514477">
        <w:rPr>
          <w:rFonts w:ascii="Times New Roman" w:hAnsi="Times New Roman"/>
        </w:rPr>
        <w:t xml:space="preserve"> Internal Market and Consumer Protection (IMCO)</w:t>
      </w:r>
    </w:p>
    <w:p w14:paraId="52AEB6FA" w14:textId="77777777" w:rsidR="00471471" w:rsidRPr="00514477" w:rsidRDefault="00471471" w:rsidP="00471471">
      <w:pPr>
        <w:widowControl w:val="0"/>
        <w:numPr>
          <w:ilvl w:val="0"/>
          <w:numId w:val="2"/>
        </w:numPr>
        <w:ind w:left="567" w:hanging="567"/>
        <w:rPr>
          <w:rFonts w:ascii="Times New Roman" w:hAnsi="Times New Roman"/>
          <w:szCs w:val="24"/>
        </w:rPr>
      </w:pPr>
      <w:r w:rsidRPr="00514477">
        <w:rPr>
          <w:rFonts w:ascii="Times New Roman" w:hAnsi="Times New Roman"/>
          <w:b/>
          <w:szCs w:val="24"/>
        </w:rPr>
        <w:t>Brief analysis and assessment of the resolution and requests made in it:</w:t>
      </w:r>
      <w:r w:rsidRPr="00514477">
        <w:rPr>
          <w:rFonts w:ascii="Times New Roman" w:hAnsi="Times New Roman"/>
          <w:szCs w:val="24"/>
        </w:rPr>
        <w:t xml:space="preserve"> </w:t>
      </w:r>
    </w:p>
    <w:p w14:paraId="13AE6C44" w14:textId="77777777" w:rsidR="00471471" w:rsidRPr="00514477" w:rsidRDefault="00471471" w:rsidP="00471471">
      <w:pPr>
        <w:widowControl w:val="0"/>
        <w:spacing w:after="120"/>
        <w:rPr>
          <w:rFonts w:ascii="Times New Roman" w:hAnsi="Times New Roman"/>
          <w:szCs w:val="24"/>
        </w:rPr>
      </w:pPr>
      <w:r w:rsidRPr="00514477">
        <w:rPr>
          <w:rFonts w:ascii="Times New Roman" w:hAnsi="Times New Roman"/>
          <w:szCs w:val="24"/>
        </w:rPr>
        <w:t>This resolution summarises the main opportunities, risks and policy implications of Web 4.0 and virtual worlds, in the context of the internal market. It highlights the wealth of opportunities in fields such as medicine, culture, education, the economy, security and law enforcement and the potential to contribute to solving global problems related to poverty and inequality. It also stresses that virtual worlds can pose significant risks in various domains, such as mental health, competition, data protection, and consumer protection, including for vulnerable groups such as minors, the elderly, and people with disabilities, intellectual property rights, cybersecurity measures and fundamental human rights.</w:t>
      </w:r>
    </w:p>
    <w:p w14:paraId="257C1F35" w14:textId="77777777" w:rsidR="00471471" w:rsidRPr="00514477" w:rsidRDefault="00471471" w:rsidP="00471471">
      <w:pPr>
        <w:widowControl w:val="0"/>
        <w:spacing w:after="120"/>
        <w:rPr>
          <w:rFonts w:ascii="Times New Roman" w:hAnsi="Times New Roman"/>
          <w:szCs w:val="24"/>
        </w:rPr>
      </w:pPr>
      <w:r w:rsidRPr="00514477">
        <w:rPr>
          <w:rFonts w:ascii="Times New Roman" w:hAnsi="Times New Roman"/>
          <w:szCs w:val="24"/>
        </w:rPr>
        <w:t>The resolution welcomes the Commission Communication of 11 July 2023 entitled ‘An EU initiative on Web 4.0 and virtual worlds: a head start in the next technological transition’ (COM(2023)442) and underlines that any EU strategy must be sustainable and human-centric, while protecting the values of the European Union.</w:t>
      </w:r>
    </w:p>
    <w:p w14:paraId="25C5F811" w14:textId="77777777" w:rsidR="00471471" w:rsidRPr="00514477" w:rsidRDefault="00471471" w:rsidP="00471471">
      <w:pPr>
        <w:widowControl w:val="0"/>
        <w:spacing w:after="120"/>
        <w:rPr>
          <w:rFonts w:ascii="Times New Roman" w:hAnsi="Times New Roman"/>
          <w:szCs w:val="24"/>
        </w:rPr>
      </w:pPr>
      <w:r w:rsidRPr="00514477">
        <w:rPr>
          <w:rFonts w:ascii="Times New Roman" w:hAnsi="Times New Roman"/>
          <w:szCs w:val="24"/>
        </w:rPr>
        <w:t xml:space="preserve">It stresses the importance of making a careful assessment of all the issues relating to the development of virtual worlds and their effective coverage by existing legislation, such as the </w:t>
      </w:r>
      <w:r w:rsidRPr="00514477">
        <w:rPr>
          <w:rFonts w:ascii="Times New Roman" w:hAnsi="Times New Roman"/>
          <w:szCs w:val="24"/>
          <w:lang w:eastAsia="en-US"/>
        </w:rPr>
        <w:t>Digital Services Act</w:t>
      </w:r>
      <w:r w:rsidRPr="00514477">
        <w:rPr>
          <w:rFonts w:ascii="Times New Roman" w:hAnsi="Times New Roman"/>
          <w:szCs w:val="24"/>
        </w:rPr>
        <w:t xml:space="preserve"> (DSA), the </w:t>
      </w:r>
      <w:r w:rsidRPr="00514477">
        <w:rPr>
          <w:rFonts w:ascii="Times New Roman" w:hAnsi="Times New Roman"/>
          <w:szCs w:val="24"/>
          <w:lang w:eastAsia="en-US"/>
        </w:rPr>
        <w:t>Digital Markets Act (</w:t>
      </w:r>
      <w:r w:rsidRPr="00514477">
        <w:rPr>
          <w:rFonts w:ascii="Times New Roman" w:hAnsi="Times New Roman"/>
          <w:szCs w:val="24"/>
        </w:rPr>
        <w:t>DMA), and the Data Act. It also calls on the Commission to further analyse questions such as digital identity in virtual worlds, the skills gap, protecting user’s personal data and privacy, children’s rights, health concerns, the need for high-performing infrastructures and environmental concerns.</w:t>
      </w:r>
    </w:p>
    <w:p w14:paraId="36CA666A" w14:textId="77777777" w:rsidR="00471471" w:rsidRPr="00514477" w:rsidRDefault="00471471" w:rsidP="00471471">
      <w:pPr>
        <w:numPr>
          <w:ilvl w:val="0"/>
          <w:numId w:val="2"/>
        </w:numPr>
        <w:ind w:left="567" w:hanging="567"/>
        <w:rPr>
          <w:rFonts w:ascii="Times New Roman" w:hAnsi="Times New Roman"/>
          <w:szCs w:val="24"/>
          <w:lang w:eastAsia="en-US"/>
        </w:rPr>
      </w:pPr>
      <w:r w:rsidRPr="00514477">
        <w:rPr>
          <w:rFonts w:ascii="Times New Roman" w:hAnsi="Times New Roman"/>
          <w:b/>
        </w:rPr>
        <w:t>Response</w:t>
      </w:r>
      <w:r w:rsidRPr="00514477">
        <w:rPr>
          <w:rFonts w:ascii="Times New Roman" w:hAnsi="Times New Roman"/>
          <w:b/>
          <w:szCs w:val="24"/>
        </w:rPr>
        <w:t xml:space="preserve"> to the requests and overview of the action taken, or intended to be taken, by the Commission:</w:t>
      </w:r>
    </w:p>
    <w:p w14:paraId="0DC7B9DE" w14:textId="77777777" w:rsidR="00471471" w:rsidRPr="00514477" w:rsidRDefault="00471471" w:rsidP="00471471">
      <w:pPr>
        <w:spacing w:after="120"/>
        <w:rPr>
          <w:rFonts w:ascii="Times New Roman" w:hAnsi="Times New Roman"/>
          <w:szCs w:val="24"/>
          <w:lang w:eastAsia="en-US"/>
        </w:rPr>
      </w:pPr>
      <w:r w:rsidRPr="00514477">
        <w:rPr>
          <w:rFonts w:ascii="Times New Roman" w:hAnsi="Times New Roman"/>
          <w:szCs w:val="24"/>
          <w:lang w:eastAsia="en-US"/>
        </w:rPr>
        <w:t>(</w:t>
      </w:r>
      <w:r w:rsidRPr="00514477">
        <w:rPr>
          <w:rFonts w:ascii="Times New Roman" w:hAnsi="Times New Roman"/>
          <w:b/>
          <w:bCs/>
          <w:szCs w:val="24"/>
          <w:lang w:eastAsia="en-US"/>
        </w:rPr>
        <w:t>Paragraph 4</w:t>
      </w:r>
      <w:r w:rsidRPr="00514477">
        <w:rPr>
          <w:rFonts w:ascii="Times New Roman" w:hAnsi="Times New Roman"/>
          <w:szCs w:val="24"/>
          <w:lang w:eastAsia="en-US"/>
        </w:rPr>
        <w:t xml:space="preserve">) The Commission agrees on the importance of </w:t>
      </w:r>
      <w:r w:rsidRPr="00514477">
        <w:rPr>
          <w:rFonts w:ascii="Times New Roman" w:hAnsi="Times New Roman"/>
          <w:b/>
          <w:bCs/>
          <w:szCs w:val="24"/>
          <w:lang w:eastAsia="en-US"/>
        </w:rPr>
        <w:t>a true digital single market to contribute decisively to the development of virtual worlds and strengthen the EU’s ability to compete globally</w:t>
      </w:r>
      <w:r w:rsidRPr="00514477">
        <w:rPr>
          <w:rFonts w:ascii="Times New Roman" w:hAnsi="Times New Roman"/>
          <w:szCs w:val="24"/>
          <w:lang w:eastAsia="en-US"/>
        </w:rPr>
        <w:t xml:space="preserve">. Over the last few years, the instruments for a well-functioning digital single market have been considerably reinforced with legislative initiatives such as the Artificial Intelligence (AI) Act, the Data Act, the Digital Services Act, the Digital Markets Act and Cybersecurity legislation. In relation to the competition elements, calls for contribution on Virtual </w:t>
      </w:r>
      <w:r w:rsidRPr="00514477">
        <w:rPr>
          <w:rFonts w:ascii="Times New Roman" w:hAnsi="Times New Roman"/>
          <w:szCs w:val="24"/>
          <w:lang w:eastAsia="en-US"/>
        </w:rPr>
        <w:lastRenderedPageBreak/>
        <w:t>Worlds and on Generative Artificial Intelligence have been launched with a forward-looking analysis of technology and market trends</w:t>
      </w:r>
      <w:r w:rsidRPr="00514477">
        <w:rPr>
          <w:rFonts w:ascii="Times New Roman" w:hAnsi="Times New Roman"/>
          <w:szCs w:val="24"/>
          <w:vertAlign w:val="superscript"/>
          <w:lang w:eastAsia="en-US"/>
        </w:rPr>
        <w:footnoteReference w:id="1"/>
      </w:r>
      <w:r w:rsidRPr="00514477">
        <w:rPr>
          <w:rFonts w:ascii="Times New Roman" w:hAnsi="Times New Roman"/>
          <w:szCs w:val="24"/>
          <w:lang w:eastAsia="en-US"/>
        </w:rPr>
        <w:t>.</w:t>
      </w:r>
    </w:p>
    <w:p w14:paraId="42322675" w14:textId="77777777" w:rsidR="00471471" w:rsidRPr="00514477" w:rsidRDefault="00471471" w:rsidP="00471471">
      <w:pPr>
        <w:spacing w:after="120"/>
        <w:rPr>
          <w:rFonts w:ascii="Calibri" w:hAnsi="Calibri"/>
          <w:sz w:val="22"/>
          <w:lang w:eastAsia="en-US"/>
        </w:rPr>
      </w:pPr>
      <w:r w:rsidRPr="00514477">
        <w:rPr>
          <w:rFonts w:ascii="Times New Roman" w:hAnsi="Times New Roman"/>
          <w:szCs w:val="24"/>
          <w:lang w:eastAsia="en-US"/>
        </w:rPr>
        <w:t>(</w:t>
      </w:r>
      <w:r w:rsidRPr="00514477">
        <w:rPr>
          <w:rFonts w:ascii="Times New Roman" w:hAnsi="Times New Roman"/>
          <w:b/>
          <w:bCs/>
          <w:szCs w:val="24"/>
          <w:lang w:eastAsia="en-US"/>
        </w:rPr>
        <w:t>Paragraph 5</w:t>
      </w:r>
      <w:r w:rsidRPr="00514477">
        <w:rPr>
          <w:rFonts w:ascii="Times New Roman" w:hAnsi="Times New Roman"/>
          <w:szCs w:val="24"/>
          <w:lang w:eastAsia="en-US"/>
        </w:rPr>
        <w:t xml:space="preserve">) </w:t>
      </w:r>
      <w:r w:rsidRPr="00514477">
        <w:rPr>
          <w:rFonts w:ascii="Times New Roman" w:eastAsia="Calibri" w:hAnsi="Times New Roman"/>
          <w:szCs w:val="24"/>
          <w:lang w:eastAsia="en-US"/>
        </w:rPr>
        <w:t xml:space="preserve">The Commission considers that the EU already has a strong regulatory framework in place, the provisions of which also cover virtual worlds. At the same time, it is important to follow future developments of the very fast evolving technological landscape. </w:t>
      </w:r>
      <w:r w:rsidRPr="00514477">
        <w:rPr>
          <w:rFonts w:ascii="Times New Roman" w:hAnsi="Times New Roman"/>
        </w:rPr>
        <w:t>The Commission agrees regarding the importance of regular evaluations to ensure that legislation remains fit for purpose in the digital environment, in line with the Better Regulation guidelines. For example, the ongoing Fitness Check of EU consumer law on digital fairness, as a first step, will examine the adequacy of the existing horizontal consumer protection rules in light of technological developments.</w:t>
      </w:r>
    </w:p>
    <w:p w14:paraId="18FA21CF" w14:textId="77777777" w:rsidR="00471471" w:rsidRPr="00514477" w:rsidRDefault="00471471" w:rsidP="00471471">
      <w:pPr>
        <w:snapToGrid w:val="0"/>
        <w:spacing w:after="120"/>
        <w:rPr>
          <w:rFonts w:ascii="Times New Roman" w:eastAsia="Calibri" w:hAnsi="Times New Roman"/>
          <w:kern w:val="2"/>
          <w:sz w:val="22"/>
          <w:szCs w:val="24"/>
          <w:lang w:val="en-US" w:eastAsia="en-US"/>
          <w14:ligatures w14:val="standardContextual"/>
        </w:rPr>
      </w:pPr>
      <w:r w:rsidRPr="00514477">
        <w:rPr>
          <w:rFonts w:ascii="Times New Roman" w:eastAsia="Calibri" w:hAnsi="Times New Roman"/>
          <w:szCs w:val="24"/>
          <w:lang w:val="en-IE" w:eastAsia="en-IE"/>
        </w:rPr>
        <w:t>(</w:t>
      </w:r>
      <w:r w:rsidRPr="00514477">
        <w:rPr>
          <w:rFonts w:ascii="Times New Roman" w:eastAsia="Calibri" w:hAnsi="Times New Roman"/>
          <w:b/>
          <w:bCs/>
          <w:szCs w:val="24"/>
          <w:lang w:val="en-IE" w:eastAsia="en-IE"/>
        </w:rPr>
        <w:t>Paragraph 6</w:t>
      </w:r>
      <w:r w:rsidRPr="00514477">
        <w:rPr>
          <w:rFonts w:ascii="Times New Roman" w:eastAsia="Calibri" w:hAnsi="Times New Roman"/>
          <w:szCs w:val="24"/>
          <w:lang w:val="en-IE" w:eastAsia="en-IE"/>
        </w:rPr>
        <w:t>) The Commission acknowledges the need to monitor the development of virtual worlds, initiated through monitoring mechanisms (such as through a future observatory for virtual worlds) detailed within Commission communication COM(2023) 442, and intends to report two years after the adoption of the initiative.</w:t>
      </w:r>
    </w:p>
    <w:p w14:paraId="4EEFCABB" w14:textId="77777777" w:rsidR="00471471" w:rsidRPr="00514477" w:rsidRDefault="00471471" w:rsidP="00471471">
      <w:pPr>
        <w:snapToGrid w:val="0"/>
        <w:spacing w:after="120"/>
        <w:rPr>
          <w:rFonts w:ascii="Times New Roman" w:eastAsia="Calibri" w:hAnsi="Times New Roman"/>
          <w:kern w:val="2"/>
          <w:sz w:val="22"/>
          <w:szCs w:val="24"/>
          <w:lang w:val="en-US" w:eastAsia="en-US"/>
          <w14:ligatures w14:val="standardContextual"/>
        </w:rPr>
      </w:pPr>
      <w:r w:rsidRPr="00514477">
        <w:rPr>
          <w:rFonts w:ascii="Times New Roman" w:hAnsi="Times New Roman"/>
          <w:szCs w:val="24"/>
          <w:lang w:eastAsia="en-US"/>
        </w:rPr>
        <w:t>(</w:t>
      </w:r>
      <w:r w:rsidRPr="00514477">
        <w:rPr>
          <w:rFonts w:ascii="Times New Roman" w:hAnsi="Times New Roman"/>
          <w:b/>
          <w:bCs/>
          <w:szCs w:val="24"/>
          <w:lang w:eastAsia="en-US"/>
        </w:rPr>
        <w:t>Paragraph 7</w:t>
      </w:r>
      <w:r w:rsidRPr="00514477">
        <w:rPr>
          <w:rFonts w:ascii="Times New Roman" w:hAnsi="Times New Roman"/>
          <w:szCs w:val="24"/>
          <w:lang w:eastAsia="en-US"/>
        </w:rPr>
        <w:t xml:space="preserve">) The Commission acknowledges the potential of generative AI for creating and enriching virtual environments. The Commission is setting-up a European Artificial Intelligence Office (‘AI Office’) to build capacity and expertise on AI at Union level. To that end, it has adopted an establishing decision on 24 January 2024 (C(2024) 390 final). Among other tasks, such as the implementation of the forthcoming Artificial Intelligence Act and international cooperation on AI, the AI Office will be tasked to monitor the evolution of AI markets and technologies. It will collaborate and share these findings with the relevant Union bodies and Commission services responsible for virtual worlds policy </w:t>
      </w:r>
      <w:r w:rsidRPr="00514477">
        <w:rPr>
          <w:rFonts w:ascii="Times New Roman" w:eastAsia="Calibri" w:hAnsi="Times New Roman"/>
          <w:kern w:val="2"/>
          <w:szCs w:val="24"/>
          <w:lang w:val="en-US" w:eastAsia="en-US"/>
          <w14:ligatures w14:val="standardContextual"/>
        </w:rPr>
        <w:t>development</w:t>
      </w:r>
      <w:r w:rsidRPr="00514477">
        <w:rPr>
          <w:rFonts w:ascii="Calibri" w:eastAsia="Calibri" w:hAnsi="Calibri"/>
          <w:kern w:val="2"/>
          <w:sz w:val="22"/>
          <w:szCs w:val="22"/>
          <w:lang w:val="en-US" w:eastAsia="en-US"/>
          <w14:ligatures w14:val="standardContextual"/>
        </w:rPr>
        <w:t>.</w:t>
      </w:r>
    </w:p>
    <w:p w14:paraId="60413B2D" w14:textId="77777777" w:rsidR="00471471" w:rsidRPr="00514477" w:rsidRDefault="00471471" w:rsidP="00471471">
      <w:pPr>
        <w:spacing w:after="120"/>
        <w:rPr>
          <w:rFonts w:ascii="Times New Roman" w:hAnsi="Times New Roman"/>
          <w:szCs w:val="24"/>
          <w:lang w:eastAsia="en-US"/>
        </w:rPr>
      </w:pPr>
      <w:r w:rsidRPr="00514477">
        <w:rPr>
          <w:rFonts w:ascii="Times New Roman" w:hAnsi="Times New Roman"/>
          <w:szCs w:val="24"/>
          <w:lang w:eastAsia="en-US"/>
        </w:rPr>
        <w:t>(</w:t>
      </w:r>
      <w:r w:rsidRPr="00514477">
        <w:rPr>
          <w:rFonts w:ascii="Times New Roman" w:hAnsi="Times New Roman"/>
          <w:b/>
          <w:bCs/>
          <w:szCs w:val="24"/>
          <w:lang w:eastAsia="en-US"/>
        </w:rPr>
        <w:t>Paragraph 10</w:t>
      </w:r>
      <w:r w:rsidRPr="00514477">
        <w:rPr>
          <w:rFonts w:ascii="Times New Roman" w:hAnsi="Times New Roman"/>
          <w:szCs w:val="24"/>
          <w:lang w:eastAsia="en-US"/>
        </w:rPr>
        <w:t>) The Commission strongly supports the need for the EU to take the lead in shaping virtual worlds as ecosystems that respect and promote EU values, fundamental rights, and the highest level of consumer protection. Europe has a strong industrial potential in the field of virtual worlds and Web 4.0.</w:t>
      </w:r>
      <w:r w:rsidRPr="00514477">
        <w:t xml:space="preserve"> </w:t>
      </w:r>
      <w:r w:rsidRPr="00514477">
        <w:rPr>
          <w:rFonts w:ascii="Times New Roman" w:hAnsi="Times New Roman"/>
          <w:szCs w:val="24"/>
          <w:lang w:eastAsia="en-US"/>
        </w:rPr>
        <w:t>The forthcoming co-programmed Virtual Worlds Partnership will shape the next frontier of virtual worlds, based on common European values, principles and strategic interests. The focus will also be on creating business opportunities for companies of all sizes.</w:t>
      </w:r>
    </w:p>
    <w:p w14:paraId="418825FC" w14:textId="77777777" w:rsidR="00471471" w:rsidRPr="00514477" w:rsidRDefault="00471471" w:rsidP="00471471">
      <w:pPr>
        <w:spacing w:after="120"/>
        <w:rPr>
          <w:rFonts w:ascii="Times New Roman" w:hAnsi="Times New Roman"/>
          <w:szCs w:val="24"/>
          <w:lang w:eastAsia="en-US"/>
        </w:rPr>
      </w:pPr>
      <w:r w:rsidRPr="00514477">
        <w:rPr>
          <w:rFonts w:ascii="Times New Roman" w:hAnsi="Times New Roman"/>
          <w:b/>
          <w:bCs/>
          <w:szCs w:val="24"/>
          <w:lang w:eastAsia="en-US"/>
        </w:rPr>
        <w:t>(Paragraph 13)</w:t>
      </w:r>
      <w:r w:rsidRPr="00514477">
        <w:rPr>
          <w:rFonts w:ascii="Times New Roman" w:hAnsi="Times New Roman"/>
          <w:szCs w:val="24"/>
          <w:lang w:eastAsia="en-US"/>
        </w:rPr>
        <w:t xml:space="preserve"> The Commission is equally convinced of the utmost importance for virtual worlds to be interoperable. The Commission will ask for an analysis and recommendations on standards for “Secure, interoperable virtual and augmented reality ecosystem and virtual economy”, as part of the relevant action in the 2024 annual Union work programme for European standardisation (C(2024)541).  The Digital Markets Act, which contains interoperability obligations, will prevent gatekeepers from imposing unfair conditions on businesses and end users and at ensuring the openness of important digital services.</w:t>
      </w:r>
    </w:p>
    <w:p w14:paraId="1F25F8F5" w14:textId="77777777" w:rsidR="00471471" w:rsidRPr="00514477" w:rsidRDefault="00471471" w:rsidP="00471471">
      <w:pPr>
        <w:spacing w:after="120"/>
        <w:rPr>
          <w:rFonts w:ascii="Times New Roman" w:hAnsi="Times New Roman"/>
          <w:szCs w:val="24"/>
          <w:lang w:eastAsia="en-US"/>
        </w:rPr>
      </w:pPr>
      <w:r w:rsidRPr="00514477">
        <w:rPr>
          <w:rFonts w:ascii="Times New Roman" w:hAnsi="Times New Roman"/>
          <w:szCs w:val="24"/>
          <w:lang w:eastAsia="en-US"/>
        </w:rPr>
        <w:t>(</w:t>
      </w:r>
      <w:r w:rsidRPr="00514477">
        <w:rPr>
          <w:rFonts w:ascii="Times New Roman" w:hAnsi="Times New Roman"/>
          <w:b/>
          <w:bCs/>
          <w:szCs w:val="24"/>
          <w:lang w:eastAsia="en-US"/>
        </w:rPr>
        <w:t>Paragraph 14</w:t>
      </w:r>
      <w:r w:rsidRPr="00514477">
        <w:rPr>
          <w:rFonts w:ascii="Times New Roman" w:hAnsi="Times New Roman"/>
          <w:szCs w:val="24"/>
          <w:lang w:eastAsia="en-US"/>
        </w:rPr>
        <w:t xml:space="preserve">) </w:t>
      </w:r>
      <w:r w:rsidRPr="00514477">
        <w:rPr>
          <w:rFonts w:ascii="Times New Roman" w:eastAsia="Calibri" w:hAnsi="Times New Roman"/>
          <w:szCs w:val="24"/>
          <w:lang w:eastAsia="en-US"/>
        </w:rPr>
        <w:t>The Commission adheres fully to the idea of making virtual worlds accessible for all. Therefore, it aims for a Web 4.0 and virtual worlds where sustainability, inclusion and accessibility are at the core of technological developments (design for all), in line with the Strategy for the Rights of Persons with Disabilities 2021-2030</w:t>
      </w:r>
      <w:r w:rsidRPr="00514477">
        <w:rPr>
          <w:rFonts w:ascii="Times New Roman" w:eastAsia="Calibri" w:hAnsi="Times New Roman"/>
          <w:szCs w:val="24"/>
          <w:vertAlign w:val="superscript"/>
          <w:lang w:eastAsia="en-US"/>
        </w:rPr>
        <w:footnoteReference w:id="2"/>
      </w:r>
      <w:r w:rsidRPr="00514477">
        <w:rPr>
          <w:rFonts w:ascii="Times New Roman" w:eastAsia="Calibri" w:hAnsi="Times New Roman"/>
          <w:szCs w:val="24"/>
          <w:lang w:eastAsia="en-US"/>
        </w:rPr>
        <w:t xml:space="preserve">. This principle is also an outcome of the Citizens’ Panel in its Recommendation 20. Regarding </w:t>
      </w:r>
      <w:r w:rsidRPr="00514477">
        <w:rPr>
          <w:rFonts w:ascii="Times New Roman" w:hAnsi="Times New Roman"/>
          <w:b/>
          <w:bCs/>
          <w:szCs w:val="24"/>
          <w:lang w:eastAsia="en-US"/>
        </w:rPr>
        <w:t>the need to recognise the specific needs and rights of children</w:t>
      </w:r>
      <w:r w:rsidRPr="00514477">
        <w:rPr>
          <w:rFonts w:ascii="Times New Roman" w:hAnsi="Times New Roman"/>
          <w:szCs w:val="24"/>
          <w:lang w:eastAsia="en-US"/>
        </w:rPr>
        <w:t xml:space="preserve">, the Commission is in favour of putting a special focus on children as an </w:t>
      </w:r>
      <w:r w:rsidRPr="00514477">
        <w:rPr>
          <w:rFonts w:ascii="Times New Roman" w:hAnsi="Times New Roman"/>
          <w:szCs w:val="24"/>
          <w:lang w:eastAsia="en-US"/>
        </w:rPr>
        <w:lastRenderedPageBreak/>
        <w:t>important user group. The Commission will make resources on virtual environments available to empower young people and their parents under the Better Internet for Kids strategy.</w:t>
      </w:r>
    </w:p>
    <w:p w14:paraId="0ECCA2A1" w14:textId="77777777" w:rsidR="00471471" w:rsidRPr="00514477" w:rsidRDefault="00471471" w:rsidP="00471471">
      <w:pPr>
        <w:spacing w:after="120"/>
        <w:rPr>
          <w:rFonts w:ascii="Times New Roman" w:hAnsi="Times New Roman"/>
          <w:szCs w:val="24"/>
          <w:lang w:eastAsia="en-US"/>
        </w:rPr>
      </w:pPr>
      <w:r w:rsidRPr="00514477">
        <w:rPr>
          <w:rFonts w:ascii="Times New Roman" w:hAnsi="Times New Roman"/>
          <w:szCs w:val="24"/>
          <w:lang w:eastAsia="en-US"/>
        </w:rPr>
        <w:t>(</w:t>
      </w:r>
      <w:r w:rsidRPr="00514477">
        <w:rPr>
          <w:rFonts w:ascii="Times New Roman" w:hAnsi="Times New Roman"/>
          <w:b/>
          <w:bCs/>
          <w:szCs w:val="24"/>
          <w:lang w:eastAsia="en-US"/>
        </w:rPr>
        <w:t>Paragraph 15</w:t>
      </w:r>
      <w:r w:rsidRPr="00514477">
        <w:rPr>
          <w:rFonts w:ascii="Times New Roman" w:hAnsi="Times New Roman"/>
          <w:szCs w:val="24"/>
          <w:lang w:eastAsia="en-US"/>
        </w:rPr>
        <w:t xml:space="preserve">) The Commission welcomes the idea of assessing the potential use of the </w:t>
      </w:r>
      <w:r w:rsidRPr="00514477">
        <w:rPr>
          <w:rFonts w:ascii="Times New Roman" w:hAnsi="Times New Roman"/>
          <w:b/>
          <w:bCs/>
          <w:szCs w:val="24"/>
          <w:lang w:eastAsia="en-US"/>
        </w:rPr>
        <w:t>European Digital Identity (</w:t>
      </w:r>
      <w:proofErr w:type="spellStart"/>
      <w:r w:rsidRPr="00514477">
        <w:rPr>
          <w:rFonts w:ascii="Times New Roman" w:hAnsi="Times New Roman"/>
          <w:b/>
          <w:bCs/>
          <w:szCs w:val="24"/>
          <w:lang w:eastAsia="en-US"/>
        </w:rPr>
        <w:t>eID</w:t>
      </w:r>
      <w:proofErr w:type="spellEnd"/>
      <w:r w:rsidRPr="00514477">
        <w:rPr>
          <w:rFonts w:ascii="Times New Roman" w:hAnsi="Times New Roman"/>
          <w:b/>
          <w:bCs/>
          <w:szCs w:val="24"/>
          <w:lang w:eastAsia="en-US"/>
        </w:rPr>
        <w:t>) and wallet in virtual worlds</w:t>
      </w:r>
      <w:r w:rsidRPr="00514477">
        <w:rPr>
          <w:rFonts w:ascii="Times New Roman" w:hAnsi="Times New Roman"/>
          <w:szCs w:val="24"/>
          <w:lang w:eastAsia="en-US"/>
        </w:rPr>
        <w:t>, which is also echoed by the Citizens Panel’ Recommendation 19 “Develop regulations on digital identity and on when to allow and secure citizens’ right to be anonymous”. It will allow people and businesses to identify themselves in virtual worlds in a secure, convenient and uniform way across the EU.</w:t>
      </w:r>
    </w:p>
    <w:p w14:paraId="5B87A2E0" w14:textId="77777777" w:rsidR="00471471" w:rsidRPr="00514477" w:rsidRDefault="00471471" w:rsidP="00471471">
      <w:pPr>
        <w:spacing w:after="120"/>
        <w:rPr>
          <w:rFonts w:ascii="Times New Roman" w:hAnsi="Times New Roman"/>
          <w:szCs w:val="24"/>
          <w:lang w:eastAsia="en-US"/>
        </w:rPr>
      </w:pPr>
      <w:r w:rsidRPr="00514477">
        <w:rPr>
          <w:rFonts w:ascii="Times New Roman" w:hAnsi="Times New Roman"/>
          <w:b/>
          <w:bCs/>
          <w:szCs w:val="24"/>
          <w:lang w:eastAsia="en-US"/>
        </w:rPr>
        <w:t xml:space="preserve">(Paragraphs 16 and 17) </w:t>
      </w:r>
      <w:r w:rsidRPr="00514477">
        <w:rPr>
          <w:rFonts w:ascii="Times New Roman" w:hAnsi="Times New Roman"/>
          <w:szCs w:val="24"/>
          <w:lang w:eastAsia="en-US"/>
        </w:rPr>
        <w:t>The General Data Protection Regulation (GDPR) is technology-neutral and principles-based and takes a risk-based approach. These features are key for the application of GDPR to various technological developments. As the Commission stated in its Communication, the GDPR fully applies in virtual worlds, including specific rules on processing of sensitive personal data (e.g. biometric data for purpose of unique identification). The GDPR also provides for right to be forgotten/erasure of personal data. The compliance with the GDPR is supervised by the data protection authorities.</w:t>
      </w:r>
    </w:p>
    <w:p w14:paraId="7D80418A" w14:textId="77777777" w:rsidR="00471471" w:rsidRPr="00514477" w:rsidRDefault="00471471" w:rsidP="00471471">
      <w:pPr>
        <w:spacing w:after="120"/>
        <w:rPr>
          <w:rFonts w:ascii="Times New Roman" w:hAnsi="Times New Roman"/>
          <w:szCs w:val="24"/>
          <w:lang w:eastAsia="en-US"/>
        </w:rPr>
      </w:pPr>
      <w:r w:rsidRPr="00514477">
        <w:rPr>
          <w:rFonts w:ascii="Times New Roman" w:hAnsi="Times New Roman"/>
          <w:szCs w:val="24"/>
          <w:lang w:eastAsia="en-US"/>
        </w:rPr>
        <w:t>As outlined in its Communication, the Commission will set-up specific measures to monitor the developments in virtual worlds, including on their impact for the right to the protection of personal data. Finally, it is to note that the Commission reports on the application of the GDPR every four years. The second report is due this year.</w:t>
      </w:r>
    </w:p>
    <w:p w14:paraId="3C5F46FD" w14:textId="77777777" w:rsidR="00471471" w:rsidRPr="00514477" w:rsidRDefault="00471471" w:rsidP="00471471">
      <w:pPr>
        <w:spacing w:after="120"/>
        <w:rPr>
          <w:rFonts w:ascii="Times New Roman" w:hAnsi="Times New Roman"/>
          <w:szCs w:val="24"/>
          <w:lang w:eastAsia="en-US"/>
        </w:rPr>
      </w:pPr>
      <w:r w:rsidRPr="00514477">
        <w:rPr>
          <w:rFonts w:ascii="Times New Roman" w:hAnsi="Times New Roman"/>
          <w:szCs w:val="24"/>
          <w:lang w:eastAsia="en-US"/>
        </w:rPr>
        <w:t>(</w:t>
      </w:r>
      <w:r w:rsidRPr="00514477">
        <w:rPr>
          <w:rFonts w:ascii="Times New Roman" w:hAnsi="Times New Roman"/>
          <w:b/>
          <w:bCs/>
          <w:szCs w:val="24"/>
          <w:lang w:eastAsia="en-US"/>
        </w:rPr>
        <w:t>Paragraph 18</w:t>
      </w:r>
      <w:r w:rsidRPr="00514477">
        <w:rPr>
          <w:rFonts w:ascii="Times New Roman" w:hAnsi="Times New Roman"/>
          <w:szCs w:val="24"/>
          <w:lang w:eastAsia="en-US"/>
        </w:rPr>
        <w:t>) The Commission agrees on the need for research on</w:t>
      </w:r>
      <w:r w:rsidRPr="00514477" w:rsidDel="000D1915">
        <w:rPr>
          <w:rFonts w:ascii="Times New Roman" w:hAnsi="Times New Roman"/>
          <w:szCs w:val="24"/>
          <w:lang w:eastAsia="en-US"/>
        </w:rPr>
        <w:t xml:space="preserve"> </w:t>
      </w:r>
      <w:r w:rsidRPr="00514477">
        <w:rPr>
          <w:rFonts w:ascii="Times New Roman" w:hAnsi="Times New Roman"/>
          <w:b/>
          <w:bCs/>
          <w:szCs w:val="24"/>
          <w:lang w:eastAsia="en-US"/>
        </w:rPr>
        <w:t>potential health issues</w:t>
      </w:r>
      <w:r w:rsidRPr="00514477">
        <w:rPr>
          <w:rFonts w:ascii="Times New Roman" w:hAnsi="Times New Roman"/>
          <w:szCs w:val="24"/>
          <w:lang w:eastAsia="en-US"/>
        </w:rPr>
        <w:t xml:space="preserve"> that may arise from interacting with virtual worlds, and the need for </w:t>
      </w:r>
      <w:r w:rsidRPr="00514477">
        <w:rPr>
          <w:rFonts w:ascii="Times New Roman" w:hAnsi="Times New Roman"/>
          <w:b/>
          <w:bCs/>
          <w:szCs w:val="24"/>
          <w:lang w:eastAsia="en-US"/>
        </w:rPr>
        <w:t>research on the impact of technologies that imply direct and permanent modifications to the body</w:t>
      </w:r>
      <w:r w:rsidRPr="00514477">
        <w:rPr>
          <w:rFonts w:ascii="Times New Roman" w:hAnsi="Times New Roman"/>
          <w:szCs w:val="24"/>
          <w:lang w:eastAsia="en-US"/>
        </w:rPr>
        <w:t>. To this effect, a study has been launched entitled “Virtual worlds: how do they affect our health and well-being?”, the outcome of which can be an important starting point in understanding the various health implications of this technology.</w:t>
      </w:r>
    </w:p>
    <w:p w14:paraId="2E333B7E" w14:textId="77777777" w:rsidR="00471471" w:rsidRPr="00514477" w:rsidRDefault="00471471" w:rsidP="00471471">
      <w:pPr>
        <w:spacing w:after="120"/>
        <w:rPr>
          <w:rFonts w:ascii="Times New Roman" w:hAnsi="Times New Roman"/>
          <w:szCs w:val="24"/>
          <w:lang w:eastAsia="en-US"/>
        </w:rPr>
      </w:pPr>
      <w:r w:rsidRPr="00514477">
        <w:rPr>
          <w:rFonts w:ascii="Times New Roman" w:hAnsi="Times New Roman"/>
          <w:szCs w:val="24"/>
          <w:lang w:eastAsia="en-US"/>
        </w:rPr>
        <w:t>(</w:t>
      </w:r>
      <w:r w:rsidRPr="00514477">
        <w:rPr>
          <w:rFonts w:ascii="Times New Roman" w:hAnsi="Times New Roman"/>
          <w:b/>
          <w:bCs/>
          <w:szCs w:val="24"/>
          <w:lang w:eastAsia="en-US"/>
        </w:rPr>
        <w:t>Paragraph 20</w:t>
      </w:r>
      <w:r w:rsidRPr="00514477">
        <w:rPr>
          <w:rFonts w:ascii="Times New Roman" w:hAnsi="Times New Roman"/>
          <w:szCs w:val="24"/>
          <w:lang w:eastAsia="en-US"/>
        </w:rPr>
        <w:t xml:space="preserve">) The Commission is committed to addressing </w:t>
      </w:r>
      <w:r w:rsidRPr="00514477">
        <w:rPr>
          <w:rFonts w:ascii="Times New Roman" w:hAnsi="Times New Roman"/>
          <w:b/>
          <w:bCs/>
          <w:szCs w:val="24"/>
          <w:lang w:eastAsia="en-US"/>
        </w:rPr>
        <w:t>the skills gaps.</w:t>
      </w:r>
      <w:r w:rsidRPr="00514477">
        <w:rPr>
          <w:rFonts w:ascii="Times New Roman" w:hAnsi="Times New Roman"/>
          <w:szCs w:val="24"/>
          <w:lang w:eastAsia="en-US"/>
        </w:rPr>
        <w:t xml:space="preserve"> Dedicated calls will be launched under the Digital Europe Programme to support the education and training of Virtual worlds specialists and audiovisual professionals. The Commission is also committed to pay special attention </w:t>
      </w:r>
      <w:r w:rsidRPr="00514477">
        <w:rPr>
          <w:rFonts w:ascii="Times New Roman" w:hAnsi="Times New Roman"/>
          <w:b/>
          <w:bCs/>
          <w:szCs w:val="24"/>
          <w:lang w:eastAsia="en-US"/>
        </w:rPr>
        <w:t>to the specific needs, vulnerabilities and the rights of children in virtual worlds</w:t>
      </w:r>
      <w:r w:rsidRPr="00514477">
        <w:rPr>
          <w:rFonts w:ascii="Times New Roman" w:hAnsi="Times New Roman"/>
          <w:szCs w:val="24"/>
          <w:lang w:eastAsia="en-US"/>
        </w:rPr>
        <w:t>. Dedicated resources will be available to empower children and their parents under the BIK strategy.</w:t>
      </w:r>
    </w:p>
    <w:p w14:paraId="7E7E139B" w14:textId="77777777" w:rsidR="00471471" w:rsidRPr="00514477" w:rsidRDefault="00471471" w:rsidP="00471471">
      <w:pPr>
        <w:spacing w:after="120"/>
        <w:rPr>
          <w:rFonts w:ascii="Times New Roman" w:hAnsi="Times New Roman"/>
          <w:szCs w:val="24"/>
          <w:lang w:eastAsia="en-US"/>
        </w:rPr>
      </w:pPr>
      <w:r w:rsidRPr="00514477">
        <w:rPr>
          <w:rFonts w:ascii="Times New Roman" w:hAnsi="Times New Roman"/>
          <w:szCs w:val="24"/>
          <w:lang w:eastAsia="en-US"/>
        </w:rPr>
        <w:t>(</w:t>
      </w:r>
      <w:r w:rsidRPr="00514477">
        <w:rPr>
          <w:rFonts w:ascii="Times New Roman" w:hAnsi="Times New Roman"/>
          <w:b/>
          <w:bCs/>
          <w:szCs w:val="24"/>
          <w:lang w:eastAsia="en-US"/>
        </w:rPr>
        <w:t>Paragraph 22</w:t>
      </w:r>
      <w:r w:rsidRPr="00514477">
        <w:rPr>
          <w:rFonts w:ascii="Times New Roman" w:hAnsi="Times New Roman"/>
          <w:szCs w:val="24"/>
          <w:lang w:eastAsia="en-US"/>
        </w:rPr>
        <w:t xml:space="preserve">) The Commission acknowledges the need for highly performing </w:t>
      </w:r>
      <w:r w:rsidRPr="00514477">
        <w:rPr>
          <w:rFonts w:ascii="Times New Roman" w:hAnsi="Times New Roman"/>
          <w:b/>
          <w:bCs/>
          <w:szCs w:val="24"/>
          <w:lang w:eastAsia="en-US"/>
        </w:rPr>
        <w:t xml:space="preserve">infrastructure </w:t>
      </w:r>
      <w:r w:rsidRPr="00514477">
        <w:rPr>
          <w:rFonts w:ascii="Times New Roman" w:hAnsi="Times New Roman"/>
          <w:szCs w:val="24"/>
          <w:lang w:eastAsia="en-US"/>
        </w:rPr>
        <w:t>to support the development and functioning of Web 4.0 and virtual worlds. The development of smarter, flexible, and innovative services depends on the availability of ultra-fast and reliable connectivity. The Digital Decade connectivity goals aim at high-speed internet coverage by 2025 and gigabit connectivity by 2030, striving for making Europe the most connected continent by 2030. A Commission white paper on the future of telecommunications adopted on 21 February 2024, addressing the relevant issues.</w:t>
      </w:r>
    </w:p>
    <w:p w14:paraId="5C1680FD" w14:textId="45C32269" w:rsidR="004642C9" w:rsidRPr="00471471" w:rsidRDefault="00471471" w:rsidP="00471471">
      <w:r w:rsidRPr="00514477">
        <w:rPr>
          <w:rFonts w:ascii="Times New Roman" w:hAnsi="Times New Roman"/>
          <w:szCs w:val="24"/>
          <w:lang w:eastAsia="en-US"/>
        </w:rPr>
        <w:t>(</w:t>
      </w:r>
      <w:r w:rsidRPr="00514477">
        <w:rPr>
          <w:rFonts w:ascii="Times New Roman" w:hAnsi="Times New Roman"/>
          <w:b/>
          <w:bCs/>
          <w:szCs w:val="24"/>
          <w:lang w:eastAsia="en-US"/>
        </w:rPr>
        <w:t>Paragraph 25</w:t>
      </w:r>
      <w:r w:rsidRPr="00514477">
        <w:rPr>
          <w:rFonts w:ascii="Times New Roman" w:hAnsi="Times New Roman"/>
          <w:szCs w:val="24"/>
          <w:lang w:eastAsia="en-US"/>
        </w:rPr>
        <w:t xml:space="preserve">) </w:t>
      </w:r>
      <w:bookmarkStart w:id="1" w:name="_Hlk158880309"/>
      <w:r w:rsidRPr="00514477">
        <w:rPr>
          <w:rFonts w:ascii="Times New Roman" w:hAnsi="Times New Roman"/>
          <w:szCs w:val="24"/>
          <w:lang w:eastAsia="en-US"/>
        </w:rPr>
        <w:t xml:space="preserve">The Commission recognises the importance of increasing the efficiency and raising consumer awareness on the environmental impact and sustainability of new technologies. According to latest figures, energy consumption of data centres will account for 3.2% of EU energy demand by 2030 unless action is taken. As data centres workload grows, their adverse environmental effects on resource consumption must be mitigated. The Commission aims to make data centres climate-neutral, highly energy-efficient, and sustainable by 2030. Measures to achieve </w:t>
      </w:r>
      <w:r w:rsidRPr="00514477">
        <w:rPr>
          <w:rFonts w:ascii="Times New Roman" w:hAnsi="Times New Roman"/>
          <w:szCs w:val="24"/>
          <w:lang w:eastAsia="en-US"/>
        </w:rPr>
        <w:lastRenderedPageBreak/>
        <w:t>this objective include the revision of the Energy Efficiency Directive, the Code of Conduct for energy efficient data centres, the Taxonomy Regulation, among others. At the same time, the Commission underlines that virtual worlds can contribute to combat climate change. Destination Earth, a flagship initiative of the Commission, will develop a highly accurate digital model of the Earth on a global scale. It will monitor, simulate and predict the interaction between natural phenomena and human activities. It will contribute to achieving the objectives of the twin transition, green and digital.</w:t>
      </w:r>
      <w:bookmarkEnd w:id="1"/>
    </w:p>
    <w:sectPr w:rsidR="004642C9" w:rsidRPr="0047147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DFE7" w14:textId="77777777" w:rsidR="00BE14E2" w:rsidRDefault="00BE14E2" w:rsidP="00F646C2">
      <w:pPr>
        <w:spacing w:after="0"/>
      </w:pPr>
      <w:r>
        <w:separator/>
      </w:r>
    </w:p>
  </w:endnote>
  <w:endnote w:type="continuationSeparator" w:id="0">
    <w:p w14:paraId="4BC2939E" w14:textId="77777777" w:rsidR="00BE14E2" w:rsidRDefault="00BE14E2" w:rsidP="00F64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9EDC" w14:textId="77777777" w:rsidR="00BE14E2" w:rsidRDefault="00BE14E2" w:rsidP="00F646C2">
      <w:pPr>
        <w:spacing w:after="0"/>
      </w:pPr>
      <w:r>
        <w:separator/>
      </w:r>
    </w:p>
  </w:footnote>
  <w:footnote w:type="continuationSeparator" w:id="0">
    <w:p w14:paraId="0596B7CF" w14:textId="77777777" w:rsidR="00BE14E2" w:rsidRDefault="00BE14E2" w:rsidP="00F646C2">
      <w:pPr>
        <w:spacing w:after="0"/>
      </w:pPr>
      <w:r>
        <w:continuationSeparator/>
      </w:r>
    </w:p>
  </w:footnote>
  <w:footnote w:id="1">
    <w:p w14:paraId="6A0BEEC8" w14:textId="77777777" w:rsidR="00471471" w:rsidRPr="00F10E61" w:rsidRDefault="00471471" w:rsidP="00471471">
      <w:pPr>
        <w:pStyle w:val="FootnoteText"/>
        <w:rPr>
          <w:lang w:val="en-IE"/>
        </w:rPr>
      </w:pPr>
      <w:r>
        <w:rPr>
          <w:rStyle w:val="FootnoteReference"/>
        </w:rPr>
        <w:footnoteRef/>
      </w:r>
      <w:r>
        <w:t xml:space="preserve"> </w:t>
      </w:r>
      <w:r>
        <w:tab/>
      </w:r>
      <w:hyperlink r:id="rId1" w:history="1">
        <w:r w:rsidRPr="006564E6">
          <w:rPr>
            <w:rStyle w:val="Hyperlink"/>
            <w:rFonts w:ascii="Times New Roman" w:hAnsi="Times New Roman"/>
          </w:rPr>
          <w:t>https://ec.europa.eu/commission/presscorner/detail/en/IP_24_85</w:t>
        </w:r>
      </w:hyperlink>
    </w:p>
  </w:footnote>
  <w:footnote w:id="2">
    <w:p w14:paraId="66D46A49" w14:textId="77777777" w:rsidR="00471471" w:rsidRPr="00F10E61" w:rsidRDefault="00471471" w:rsidP="00471471">
      <w:pPr>
        <w:pStyle w:val="FootnoteText"/>
        <w:rPr>
          <w:rFonts w:ascii="Calibri" w:hAnsi="Calibri"/>
          <w:lang w:val="en-IE" w:eastAsia="en-US"/>
        </w:rPr>
      </w:pPr>
      <w:r>
        <w:rPr>
          <w:rStyle w:val="FootnoteReference"/>
        </w:rPr>
        <w:footnoteRef/>
      </w:r>
      <w:r>
        <w:t xml:space="preserve"> </w:t>
      </w:r>
      <w:r>
        <w:tab/>
      </w:r>
      <w:r>
        <w:rPr>
          <w:rFonts w:ascii="Times New Roman" w:hAnsi="Times New Roman"/>
        </w:rPr>
        <w:t>COM(2021) 101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58493041"/>
    <w:multiLevelType w:val="hybridMultilevel"/>
    <w:tmpl w:val="C66A48E8"/>
    <w:lvl w:ilvl="0" w:tplc="FFFFFFFF">
      <w:start w:val="1"/>
      <w:numFmt w:val="decimal"/>
      <w:lvlText w:val="%1."/>
      <w:lvlJc w:val="left"/>
      <w:pPr>
        <w:ind w:left="720" w:hanging="720"/>
      </w:pPr>
      <w:rPr>
        <w:rFonts w:hint="default"/>
        <w:b/>
        <w:i w:val="0"/>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574849905">
    <w:abstractNumId w:val="0"/>
  </w:num>
  <w:num w:numId="2" w16cid:durableId="1589538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0010A"/>
    <w:rsid w:val="00001A8A"/>
    <w:rsid w:val="000220DB"/>
    <w:rsid w:val="00033A40"/>
    <w:rsid w:val="00062F80"/>
    <w:rsid w:val="00065B21"/>
    <w:rsid w:val="000C215C"/>
    <w:rsid w:val="000C5435"/>
    <w:rsid w:val="000D1915"/>
    <w:rsid w:val="000F4AD0"/>
    <w:rsid w:val="000F7DA4"/>
    <w:rsid w:val="0010010A"/>
    <w:rsid w:val="001019A0"/>
    <w:rsid w:val="00110ED1"/>
    <w:rsid w:val="001137C1"/>
    <w:rsid w:val="00115DDF"/>
    <w:rsid w:val="001405A2"/>
    <w:rsid w:val="00153D89"/>
    <w:rsid w:val="00170415"/>
    <w:rsid w:val="001815B1"/>
    <w:rsid w:val="001958C7"/>
    <w:rsid w:val="001B3BAF"/>
    <w:rsid w:val="001B43C1"/>
    <w:rsid w:val="001D1E12"/>
    <w:rsid w:val="001E7391"/>
    <w:rsid w:val="0020233F"/>
    <w:rsid w:val="00206F72"/>
    <w:rsid w:val="00255BCF"/>
    <w:rsid w:val="002646A4"/>
    <w:rsid w:val="00272BE4"/>
    <w:rsid w:val="00290921"/>
    <w:rsid w:val="0029240F"/>
    <w:rsid w:val="002B44B5"/>
    <w:rsid w:val="002E35CD"/>
    <w:rsid w:val="002F7D3D"/>
    <w:rsid w:val="0030066A"/>
    <w:rsid w:val="00305DC7"/>
    <w:rsid w:val="0031660A"/>
    <w:rsid w:val="00344351"/>
    <w:rsid w:val="00345824"/>
    <w:rsid w:val="00355E50"/>
    <w:rsid w:val="0035619C"/>
    <w:rsid w:val="00376B99"/>
    <w:rsid w:val="00383816"/>
    <w:rsid w:val="003A0215"/>
    <w:rsid w:val="003A1640"/>
    <w:rsid w:val="003A3F2C"/>
    <w:rsid w:val="003C1F9B"/>
    <w:rsid w:val="003C263D"/>
    <w:rsid w:val="003E13B5"/>
    <w:rsid w:val="0040372B"/>
    <w:rsid w:val="00452528"/>
    <w:rsid w:val="004642C9"/>
    <w:rsid w:val="00471471"/>
    <w:rsid w:val="00475A04"/>
    <w:rsid w:val="004963C7"/>
    <w:rsid w:val="004A4688"/>
    <w:rsid w:val="004B3860"/>
    <w:rsid w:val="004D1293"/>
    <w:rsid w:val="004D23A1"/>
    <w:rsid w:val="004D4A5B"/>
    <w:rsid w:val="004E12D8"/>
    <w:rsid w:val="004E22B8"/>
    <w:rsid w:val="004F1D84"/>
    <w:rsid w:val="0054447F"/>
    <w:rsid w:val="00565DBC"/>
    <w:rsid w:val="00576694"/>
    <w:rsid w:val="005829E2"/>
    <w:rsid w:val="005A28A9"/>
    <w:rsid w:val="005B5337"/>
    <w:rsid w:val="005C4C05"/>
    <w:rsid w:val="005E72DB"/>
    <w:rsid w:val="005F22B5"/>
    <w:rsid w:val="005F5A7F"/>
    <w:rsid w:val="00600CD6"/>
    <w:rsid w:val="00617C83"/>
    <w:rsid w:val="00623438"/>
    <w:rsid w:val="00623F9E"/>
    <w:rsid w:val="0063075B"/>
    <w:rsid w:val="006428E6"/>
    <w:rsid w:val="00643198"/>
    <w:rsid w:val="00643AB5"/>
    <w:rsid w:val="006440FD"/>
    <w:rsid w:val="0065317D"/>
    <w:rsid w:val="00656C57"/>
    <w:rsid w:val="00663C6F"/>
    <w:rsid w:val="006776EE"/>
    <w:rsid w:val="0068522A"/>
    <w:rsid w:val="006B20CD"/>
    <w:rsid w:val="006B4114"/>
    <w:rsid w:val="006B72A5"/>
    <w:rsid w:val="006B75CD"/>
    <w:rsid w:val="006E7635"/>
    <w:rsid w:val="006F5B3D"/>
    <w:rsid w:val="007119E0"/>
    <w:rsid w:val="0073091B"/>
    <w:rsid w:val="00743534"/>
    <w:rsid w:val="00782D0C"/>
    <w:rsid w:val="00785456"/>
    <w:rsid w:val="007B3970"/>
    <w:rsid w:val="007B62A0"/>
    <w:rsid w:val="007C0108"/>
    <w:rsid w:val="007D296F"/>
    <w:rsid w:val="00803566"/>
    <w:rsid w:val="008050A3"/>
    <w:rsid w:val="00815CE5"/>
    <w:rsid w:val="00820FA9"/>
    <w:rsid w:val="00827424"/>
    <w:rsid w:val="00851D54"/>
    <w:rsid w:val="0085330D"/>
    <w:rsid w:val="00867A69"/>
    <w:rsid w:val="008B5885"/>
    <w:rsid w:val="008E08CE"/>
    <w:rsid w:val="00902185"/>
    <w:rsid w:val="00905B34"/>
    <w:rsid w:val="00975C81"/>
    <w:rsid w:val="009A25BA"/>
    <w:rsid w:val="009B391E"/>
    <w:rsid w:val="009B3F33"/>
    <w:rsid w:val="009B5D57"/>
    <w:rsid w:val="00A21CAD"/>
    <w:rsid w:val="00A369F8"/>
    <w:rsid w:val="00A45093"/>
    <w:rsid w:val="00A56298"/>
    <w:rsid w:val="00A71A2C"/>
    <w:rsid w:val="00A82583"/>
    <w:rsid w:val="00A91B4D"/>
    <w:rsid w:val="00A9507E"/>
    <w:rsid w:val="00AA5FA3"/>
    <w:rsid w:val="00AB2091"/>
    <w:rsid w:val="00AB3D93"/>
    <w:rsid w:val="00AC5197"/>
    <w:rsid w:val="00AE68FB"/>
    <w:rsid w:val="00B02950"/>
    <w:rsid w:val="00B26F6A"/>
    <w:rsid w:val="00B73A10"/>
    <w:rsid w:val="00B90A45"/>
    <w:rsid w:val="00B94203"/>
    <w:rsid w:val="00B946F7"/>
    <w:rsid w:val="00BA4435"/>
    <w:rsid w:val="00BB1DDA"/>
    <w:rsid w:val="00BB2E06"/>
    <w:rsid w:val="00BD1D7F"/>
    <w:rsid w:val="00BD6BFC"/>
    <w:rsid w:val="00BE14E2"/>
    <w:rsid w:val="00BF4EBB"/>
    <w:rsid w:val="00C065B2"/>
    <w:rsid w:val="00C17D2F"/>
    <w:rsid w:val="00C42667"/>
    <w:rsid w:val="00C46D62"/>
    <w:rsid w:val="00C46FAA"/>
    <w:rsid w:val="00C716CA"/>
    <w:rsid w:val="00C9019E"/>
    <w:rsid w:val="00CA7251"/>
    <w:rsid w:val="00CC0D68"/>
    <w:rsid w:val="00CC4F3F"/>
    <w:rsid w:val="00CC7694"/>
    <w:rsid w:val="00CE58CD"/>
    <w:rsid w:val="00D11B4E"/>
    <w:rsid w:val="00D17E10"/>
    <w:rsid w:val="00D17E4E"/>
    <w:rsid w:val="00D410EB"/>
    <w:rsid w:val="00D421E0"/>
    <w:rsid w:val="00D4304C"/>
    <w:rsid w:val="00D60FF4"/>
    <w:rsid w:val="00D6446A"/>
    <w:rsid w:val="00D823FB"/>
    <w:rsid w:val="00D92BE6"/>
    <w:rsid w:val="00DA2285"/>
    <w:rsid w:val="00DA5871"/>
    <w:rsid w:val="00DC1154"/>
    <w:rsid w:val="00E04C8D"/>
    <w:rsid w:val="00E167C9"/>
    <w:rsid w:val="00E2581B"/>
    <w:rsid w:val="00E2644A"/>
    <w:rsid w:val="00E33DC6"/>
    <w:rsid w:val="00E40BE3"/>
    <w:rsid w:val="00E46BF6"/>
    <w:rsid w:val="00E62E10"/>
    <w:rsid w:val="00E64927"/>
    <w:rsid w:val="00E83BC9"/>
    <w:rsid w:val="00EA268E"/>
    <w:rsid w:val="00ED0A53"/>
    <w:rsid w:val="00ED1687"/>
    <w:rsid w:val="00ED34DA"/>
    <w:rsid w:val="00F10E61"/>
    <w:rsid w:val="00F1436C"/>
    <w:rsid w:val="00F214B0"/>
    <w:rsid w:val="00F24849"/>
    <w:rsid w:val="00F25E37"/>
    <w:rsid w:val="00F6243B"/>
    <w:rsid w:val="00F646C2"/>
    <w:rsid w:val="00F93F4F"/>
    <w:rsid w:val="00F951E1"/>
    <w:rsid w:val="00F961C9"/>
    <w:rsid w:val="00FC3AE2"/>
    <w:rsid w:val="00FC5288"/>
    <w:rsid w:val="00FD1FA3"/>
    <w:rsid w:val="00FD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C9297"/>
  <w15:chartTrackingRefBased/>
  <w15:docId w15:val="{47A6392C-9711-4D07-B770-34E9CD92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DBC"/>
    <w:pPr>
      <w:spacing w:after="240" w:line="240" w:lineRule="auto"/>
      <w:jc w:val="both"/>
    </w:pPr>
    <w:rPr>
      <w:rFonts w:ascii="Courier New" w:eastAsia="Times New Roman" w:hAnsi="Courier New" w:cs="Times New Roman"/>
      <w:kern w:val="0"/>
      <w:sz w:val="24"/>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har1"/>
    <w:basedOn w:val="DefaultParagraphFont"/>
    <w:unhideWhenUsed/>
    <w:qFormat/>
    <w:rsid w:val="004D4A5B"/>
    <w:rPr>
      <w:color w:val="0000FF"/>
      <w:u w:val="single"/>
    </w:rPr>
  </w:style>
  <w:style w:type="paragraph" w:styleId="ListParagraph">
    <w:name w:val="List Paragraph"/>
    <w:basedOn w:val="Normal"/>
    <w:uiPriority w:val="34"/>
    <w:qFormat/>
    <w:rsid w:val="004B3860"/>
    <w:pPr>
      <w:ind w:left="720"/>
      <w:contextualSpacing/>
    </w:pPr>
  </w:style>
  <w:style w:type="character" w:styleId="CommentReference">
    <w:name w:val="annotation reference"/>
    <w:basedOn w:val="DefaultParagraphFont"/>
    <w:uiPriority w:val="99"/>
    <w:semiHidden/>
    <w:unhideWhenUsed/>
    <w:rsid w:val="00D17E4E"/>
    <w:rPr>
      <w:sz w:val="16"/>
      <w:szCs w:val="16"/>
    </w:rPr>
  </w:style>
  <w:style w:type="paragraph" w:styleId="CommentText">
    <w:name w:val="annotation text"/>
    <w:basedOn w:val="Normal"/>
    <w:link w:val="CommentTextChar"/>
    <w:uiPriority w:val="99"/>
    <w:unhideWhenUsed/>
    <w:rsid w:val="00D17E4E"/>
    <w:rPr>
      <w:sz w:val="20"/>
    </w:rPr>
  </w:style>
  <w:style w:type="character" w:customStyle="1" w:styleId="CommentTextChar">
    <w:name w:val="Comment Text Char"/>
    <w:basedOn w:val="DefaultParagraphFont"/>
    <w:link w:val="CommentText"/>
    <w:uiPriority w:val="99"/>
    <w:rsid w:val="00D17E4E"/>
    <w:rPr>
      <w:rFonts w:ascii="Courier New" w:eastAsia="Times New Roman" w:hAnsi="Courier New"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D17E4E"/>
    <w:rPr>
      <w:b/>
      <w:bCs/>
    </w:rPr>
  </w:style>
  <w:style w:type="character" w:customStyle="1" w:styleId="CommentSubjectChar">
    <w:name w:val="Comment Subject Char"/>
    <w:basedOn w:val="CommentTextChar"/>
    <w:link w:val="CommentSubject"/>
    <w:uiPriority w:val="99"/>
    <w:semiHidden/>
    <w:rsid w:val="00D17E4E"/>
    <w:rPr>
      <w:rFonts w:ascii="Courier New" w:eastAsia="Times New Roman" w:hAnsi="Courier New" w:cs="Times New Roman"/>
      <w:b/>
      <w:bCs/>
      <w:kern w:val="0"/>
      <w:sz w:val="20"/>
      <w:szCs w:val="20"/>
      <w:lang w:val="en-GB" w:eastAsia="en-GB"/>
      <w14:ligatures w14:val="non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single space,fn"/>
    <w:basedOn w:val="Normal"/>
    <w:link w:val="FootnoteTextChar"/>
    <w:uiPriority w:val="99"/>
    <w:unhideWhenUsed/>
    <w:qFormat/>
    <w:rsid w:val="005A28A9"/>
    <w:pPr>
      <w:spacing w:after="0"/>
    </w:pPr>
    <w:rPr>
      <w:sz w:val="20"/>
    </w:rPr>
  </w:style>
  <w:style w:type="character" w:customStyle="1" w:styleId="FootnoteTextChar">
    <w:name w:val="Footnote Text Char"/>
    <w:basedOn w:val="DefaultParagraphFont"/>
    <w:link w:val="FootnoteText"/>
    <w:uiPriority w:val="99"/>
    <w:semiHidden/>
    <w:rsid w:val="005A28A9"/>
    <w:rPr>
      <w:rFonts w:ascii="Courier New" w:eastAsia="Times New Roman" w:hAnsi="Courier New" w:cs="Times New Roman"/>
      <w:kern w:val="0"/>
      <w:sz w:val="20"/>
      <w:szCs w:val="20"/>
      <w:lang w:val="en-GB" w:eastAsia="en-GB"/>
      <w14:ligatures w14:val="none"/>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unhideWhenUsed/>
    <w:qFormat/>
    <w:rsid w:val="005A28A9"/>
    <w:rPr>
      <w:vertAlign w:val="superscript"/>
    </w:rPr>
  </w:style>
  <w:style w:type="character" w:styleId="UnresolvedMention">
    <w:name w:val="Unresolved Mention"/>
    <w:basedOn w:val="DefaultParagraphFont"/>
    <w:uiPriority w:val="99"/>
    <w:semiHidden/>
    <w:unhideWhenUsed/>
    <w:rsid w:val="002B44B5"/>
    <w:rPr>
      <w:color w:val="605E5C"/>
      <w:shd w:val="clear" w:color="auto" w:fill="E1DFDD"/>
    </w:rPr>
  </w:style>
  <w:style w:type="paragraph" w:styleId="Revision">
    <w:name w:val="Revision"/>
    <w:hidden/>
    <w:uiPriority w:val="99"/>
    <w:semiHidden/>
    <w:rsid w:val="00B90A45"/>
    <w:pPr>
      <w:spacing w:after="0" w:line="240" w:lineRule="auto"/>
    </w:pPr>
    <w:rPr>
      <w:rFonts w:ascii="Courier New" w:eastAsia="Times New Roman" w:hAnsi="Courier New" w:cs="Times New Roman"/>
      <w:kern w:val="0"/>
      <w:sz w:val="24"/>
      <w:szCs w:val="20"/>
      <w:lang w:val="en-GB" w:eastAsia="en-GB"/>
      <w14:ligatures w14:val="none"/>
    </w:rPr>
  </w:style>
  <w:style w:type="character" w:customStyle="1" w:styleId="NormalHanging12aChar">
    <w:name w:val="NormalHanging12a Char"/>
    <w:basedOn w:val="DefaultParagraphFont"/>
    <w:link w:val="NormalHanging12a"/>
    <w:locked/>
    <w:rsid w:val="00C716CA"/>
  </w:style>
  <w:style w:type="paragraph" w:customStyle="1" w:styleId="NormalHanging12a">
    <w:name w:val="NormalHanging12a"/>
    <w:basedOn w:val="Normal"/>
    <w:link w:val="NormalHanging12aChar"/>
    <w:rsid w:val="00C716CA"/>
    <w:pPr>
      <w:snapToGrid w:val="0"/>
      <w:ind w:left="567" w:hanging="567"/>
      <w:jc w:val="left"/>
    </w:pPr>
    <w:rPr>
      <w:rFonts w:asciiTheme="minorHAnsi" w:eastAsiaTheme="minorHAnsi" w:hAnsiTheme="minorHAnsi" w:cstheme="minorBidi"/>
      <w:kern w:val="2"/>
      <w:sz w:val="22"/>
      <w:szCs w:val="22"/>
      <w:lang w:val="en-US" w:eastAsia="en-US"/>
      <w14:ligatures w14:val="standardContextual"/>
    </w:rPr>
  </w:style>
  <w:style w:type="character" w:customStyle="1" w:styleId="cf01">
    <w:name w:val="cf01"/>
    <w:basedOn w:val="DefaultParagraphFont"/>
    <w:rsid w:val="007D296F"/>
    <w:rPr>
      <w:rFonts w:ascii="Segoe UI" w:hAnsi="Segoe UI" w:cs="Segoe UI" w:hint="default"/>
      <w:sz w:val="18"/>
      <w:szCs w:val="18"/>
    </w:rPr>
  </w:style>
  <w:style w:type="character" w:customStyle="1" w:styleId="cf11">
    <w:name w:val="cf11"/>
    <w:basedOn w:val="DefaultParagraphFont"/>
    <w:rsid w:val="007D296F"/>
    <w:rPr>
      <w:rFonts w:ascii="Segoe UI" w:hAnsi="Segoe UI" w:cs="Segoe UI" w:hint="default"/>
      <w:b/>
      <w:bCs/>
      <w:sz w:val="18"/>
      <w:szCs w:val="18"/>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qFormat/>
    <w:rsid w:val="00471471"/>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71471"/>
    <w:pPr>
      <w:spacing w:after="160" w:line="240" w:lineRule="exact"/>
      <w:jc w:val="left"/>
    </w:pPr>
    <w:rPr>
      <w:rFonts w:asciiTheme="minorHAnsi" w:eastAsiaTheme="minorHAnsi" w:hAnsiTheme="minorHAnsi" w:cstheme="minorBidi"/>
      <w:kern w:val="2"/>
      <w:sz w:val="22"/>
      <w:szCs w:val="22"/>
      <w:vertAlign w:val="superscript"/>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2069">
      <w:bodyDiv w:val="1"/>
      <w:marLeft w:val="0"/>
      <w:marRight w:val="0"/>
      <w:marTop w:val="0"/>
      <w:marBottom w:val="0"/>
      <w:divBdr>
        <w:top w:val="none" w:sz="0" w:space="0" w:color="auto"/>
        <w:left w:val="none" w:sz="0" w:space="0" w:color="auto"/>
        <w:bottom w:val="none" w:sz="0" w:space="0" w:color="auto"/>
        <w:right w:val="none" w:sz="0" w:space="0" w:color="auto"/>
      </w:divBdr>
    </w:div>
    <w:div w:id="1302148011">
      <w:bodyDiv w:val="1"/>
      <w:marLeft w:val="0"/>
      <w:marRight w:val="0"/>
      <w:marTop w:val="0"/>
      <w:marBottom w:val="0"/>
      <w:divBdr>
        <w:top w:val="none" w:sz="0" w:space="0" w:color="auto"/>
        <w:left w:val="none" w:sz="0" w:space="0" w:color="auto"/>
        <w:bottom w:val="none" w:sz="0" w:space="0" w:color="auto"/>
        <w:right w:val="none" w:sz="0" w:space="0" w:color="auto"/>
      </w:divBdr>
    </w:div>
    <w:div w:id="1437748674">
      <w:bodyDiv w:val="1"/>
      <w:marLeft w:val="0"/>
      <w:marRight w:val="0"/>
      <w:marTop w:val="0"/>
      <w:marBottom w:val="0"/>
      <w:divBdr>
        <w:top w:val="none" w:sz="0" w:space="0" w:color="auto"/>
        <w:left w:val="none" w:sz="0" w:space="0" w:color="auto"/>
        <w:bottom w:val="none" w:sz="0" w:space="0" w:color="auto"/>
        <w:right w:val="none" w:sz="0" w:space="0" w:color="auto"/>
      </w:divBdr>
    </w:div>
    <w:div w:id="1535847129">
      <w:bodyDiv w:val="1"/>
      <w:marLeft w:val="0"/>
      <w:marRight w:val="0"/>
      <w:marTop w:val="0"/>
      <w:marBottom w:val="0"/>
      <w:divBdr>
        <w:top w:val="none" w:sz="0" w:space="0" w:color="auto"/>
        <w:left w:val="none" w:sz="0" w:space="0" w:color="auto"/>
        <w:bottom w:val="none" w:sz="0" w:space="0" w:color="auto"/>
        <w:right w:val="none" w:sz="0" w:space="0" w:color="auto"/>
      </w:divBdr>
    </w:div>
    <w:div w:id="155624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en/IP_24_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CBAF6-4BED-4D81-A581-6BEA8F59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1584</Words>
  <Characters>9062</Characters>
  <Application>Microsoft Office Word</Application>
  <DocSecurity>0</DocSecurity>
  <Lines>122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GAIU Andrei (CNECT)</dc:creator>
  <cp:keywords/>
  <dc:description/>
  <cp:lastModifiedBy>ALMEIDA Maria Jose (SG)</cp:lastModifiedBy>
  <cp:revision>4</cp:revision>
  <dcterms:created xsi:type="dcterms:W3CDTF">2024-04-09T10:29:00Z</dcterms:created>
  <dcterms:modified xsi:type="dcterms:W3CDTF">2024-04-17T12:31:00Z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2024-02-05T09:47:20Z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7237d1a5-b4a3-43a9-948c-fe45cab1c300</vt:lpwstr>
  </property>
  <property fmtid="{D5CDD505-2E9C-101B-9397-08002B2CF9AE}" pid="8" name="MSIP_Label_6bd9ddd1-4d20-43f6-abfa-fc3c07406f94_ContentBits">
    <vt:lpwstr>0</vt:lpwstr>
  </property>
</Properties>
</file>