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04E8" w14:textId="21916BA2" w:rsidR="00331DB9" w:rsidRPr="00331DB9" w:rsidRDefault="004A6C66" w:rsidP="00C26A74">
      <w:pPr>
        <w:spacing w:after="600"/>
        <w:jc w:val="center"/>
        <w:rPr>
          <w:rFonts w:ascii="Times New Roman" w:hAnsi="Times New Roman"/>
          <w:b/>
        </w:rPr>
      </w:pPr>
      <w:r>
        <w:rPr>
          <w:rFonts w:ascii="Times New Roman" w:hAnsi="Times New Roman"/>
          <w:b/>
        </w:rPr>
        <w:t>Suite donnée à la résolution non législative du Parlement européen relative à la mise en œuvre de la stratégie de l’Union en faveur de l’égalité des personnes LGBTIQ pour la période 2020-2025</w:t>
      </w:r>
    </w:p>
    <w:p w14:paraId="76C80262" w14:textId="06F236B6" w:rsidR="004A6C66" w:rsidRPr="00B679BE" w:rsidRDefault="00B679BE" w:rsidP="00A824B4">
      <w:pPr>
        <w:numPr>
          <w:ilvl w:val="0"/>
          <w:numId w:val="27"/>
        </w:numPr>
        <w:ind w:left="567" w:hanging="567"/>
        <w:rPr>
          <w:rFonts w:ascii="Times New Roman" w:hAnsi="Times New Roman"/>
          <w:b/>
          <w:szCs w:val="24"/>
        </w:rPr>
      </w:pPr>
      <w:r>
        <w:rPr>
          <w:rFonts w:ascii="Times New Roman" w:hAnsi="Times New Roman"/>
          <w:b/>
        </w:rPr>
        <w:t>Rapporteur(e</w:t>
      </w:r>
      <w:proofErr w:type="gramStart"/>
      <w:r>
        <w:rPr>
          <w:rFonts w:ascii="Times New Roman" w:hAnsi="Times New Roman"/>
          <w:b/>
        </w:rPr>
        <w:t>):</w:t>
      </w:r>
      <w:proofErr w:type="gramEnd"/>
      <w:r>
        <w:rPr>
          <w:rFonts w:ascii="Times New Roman" w:hAnsi="Times New Roman"/>
          <w:b/>
        </w:rPr>
        <w:t xml:space="preserve"> </w:t>
      </w:r>
      <w:r>
        <w:rPr>
          <w:rFonts w:ascii="Times New Roman" w:hAnsi="Times New Roman"/>
        </w:rPr>
        <w:t>José GUSM</w:t>
      </w:r>
      <w:r w:rsidR="00273582" w:rsidRPr="00273582">
        <w:rPr>
          <w:rFonts w:ascii="Times New Roman" w:hAnsi="Times New Roman"/>
        </w:rPr>
        <w:t>Ã</w:t>
      </w:r>
      <w:r>
        <w:rPr>
          <w:rFonts w:ascii="Times New Roman" w:hAnsi="Times New Roman"/>
        </w:rPr>
        <w:t>O (La gauche/PT)</w:t>
      </w:r>
    </w:p>
    <w:p w14:paraId="72105C17" w14:textId="4A92AAFE" w:rsidR="004A6C66" w:rsidRPr="008E2413" w:rsidRDefault="00535D4D" w:rsidP="00A824B4">
      <w:pPr>
        <w:numPr>
          <w:ilvl w:val="0"/>
          <w:numId w:val="27"/>
        </w:numPr>
        <w:ind w:left="567" w:hanging="567"/>
        <w:rPr>
          <w:rFonts w:ascii="Times New Roman" w:hAnsi="Times New Roman"/>
          <w:iCs/>
          <w:szCs w:val="24"/>
        </w:rPr>
      </w:pPr>
      <w:r>
        <w:rPr>
          <w:rFonts w:ascii="Times New Roman" w:hAnsi="Times New Roman"/>
          <w:b/>
        </w:rPr>
        <w:t xml:space="preserve">Numéros de </w:t>
      </w:r>
      <w:proofErr w:type="gramStart"/>
      <w:r>
        <w:rPr>
          <w:rFonts w:ascii="Times New Roman" w:hAnsi="Times New Roman"/>
          <w:b/>
        </w:rPr>
        <w:t>référence:</w:t>
      </w:r>
      <w:proofErr w:type="gramEnd"/>
      <w:r>
        <w:rPr>
          <w:rFonts w:ascii="Times New Roman" w:hAnsi="Times New Roman"/>
          <w:b/>
        </w:rPr>
        <w:t xml:space="preserve"> </w:t>
      </w:r>
      <w:r>
        <w:rPr>
          <w:rFonts w:ascii="Times New Roman" w:hAnsi="Times New Roman"/>
        </w:rPr>
        <w:t>2023/2082 (INI) / A9-0030/2024 /</w:t>
      </w:r>
      <w:r>
        <w:t xml:space="preserve"> </w:t>
      </w:r>
      <w:r>
        <w:rPr>
          <w:rFonts w:ascii="Times New Roman" w:hAnsi="Times New Roman"/>
        </w:rPr>
        <w:t>P9_TA(2024)0076</w:t>
      </w:r>
    </w:p>
    <w:p w14:paraId="78A9CD2C" w14:textId="0BDEDC5D" w:rsidR="005A00C3" w:rsidRPr="00E07C2D" w:rsidRDefault="004A6C66" w:rsidP="00A824B4">
      <w:pPr>
        <w:numPr>
          <w:ilvl w:val="0"/>
          <w:numId w:val="27"/>
        </w:numPr>
        <w:ind w:left="567" w:hanging="567"/>
        <w:rPr>
          <w:rFonts w:ascii="Times New Roman" w:hAnsi="Times New Roman"/>
          <w:szCs w:val="24"/>
        </w:rPr>
      </w:pPr>
      <w:r>
        <w:rPr>
          <w:rFonts w:ascii="Times New Roman" w:hAnsi="Times New Roman"/>
          <w:b/>
        </w:rPr>
        <w:t xml:space="preserve">Date d'adoption de la </w:t>
      </w:r>
      <w:proofErr w:type="gramStart"/>
      <w:r>
        <w:rPr>
          <w:rFonts w:ascii="Times New Roman" w:hAnsi="Times New Roman"/>
          <w:b/>
        </w:rPr>
        <w:t>résolution:</w:t>
      </w:r>
      <w:proofErr w:type="gramEnd"/>
      <w:r>
        <w:rPr>
          <w:rFonts w:ascii="Times New Roman" w:hAnsi="Times New Roman"/>
          <w:b/>
        </w:rPr>
        <w:t xml:space="preserve"> </w:t>
      </w:r>
      <w:r>
        <w:rPr>
          <w:rFonts w:ascii="Times New Roman" w:hAnsi="Times New Roman"/>
        </w:rPr>
        <w:t>8 février 2024</w:t>
      </w:r>
    </w:p>
    <w:p w14:paraId="253103B4" w14:textId="4BF85733" w:rsidR="00EC0A27" w:rsidRPr="00B127A9" w:rsidRDefault="00EC0A27" w:rsidP="00A824B4">
      <w:pPr>
        <w:numPr>
          <w:ilvl w:val="0"/>
          <w:numId w:val="27"/>
        </w:numPr>
        <w:ind w:left="567" w:hanging="567"/>
        <w:rPr>
          <w:rFonts w:ascii="Times New Roman" w:hAnsi="Times New Roman"/>
          <w:i/>
          <w:szCs w:val="24"/>
        </w:rPr>
      </w:pPr>
      <w:r>
        <w:rPr>
          <w:rFonts w:ascii="Times New Roman" w:hAnsi="Times New Roman"/>
          <w:b/>
        </w:rPr>
        <w:t xml:space="preserve">Commission parlementaires </w:t>
      </w:r>
      <w:proofErr w:type="gramStart"/>
      <w:r>
        <w:rPr>
          <w:rFonts w:ascii="Times New Roman" w:hAnsi="Times New Roman"/>
          <w:b/>
        </w:rPr>
        <w:t>compétente</w:t>
      </w:r>
      <w:r>
        <w:rPr>
          <w:b/>
        </w:rPr>
        <w:t>:</w:t>
      </w:r>
      <w:proofErr w:type="gramEnd"/>
      <w:r>
        <w:t xml:space="preserve"> </w:t>
      </w:r>
      <w:r>
        <w:rPr>
          <w:rFonts w:ascii="Times New Roman" w:hAnsi="Times New Roman"/>
        </w:rPr>
        <w:t>commission des libertés civiles, de la justice et des affaires intérieures (LIBE)</w:t>
      </w:r>
    </w:p>
    <w:p w14:paraId="6467C776" w14:textId="113627E8" w:rsidR="004A6C66" w:rsidRDefault="004A6C66" w:rsidP="00A824B4">
      <w:pPr>
        <w:widowControl w:val="0"/>
        <w:numPr>
          <w:ilvl w:val="0"/>
          <w:numId w:val="27"/>
        </w:numPr>
        <w:ind w:left="567" w:hanging="567"/>
        <w:rPr>
          <w:rFonts w:ascii="Times New Roman" w:hAnsi="Times New Roman"/>
          <w:szCs w:val="24"/>
        </w:rPr>
      </w:pPr>
      <w:r>
        <w:rPr>
          <w:rFonts w:ascii="Times New Roman" w:hAnsi="Times New Roman"/>
          <w:b/>
        </w:rPr>
        <w:t xml:space="preserve">Analyse/évaluation succincte de la résolution et des demandes qu’elle </w:t>
      </w:r>
      <w:proofErr w:type="gramStart"/>
      <w:r>
        <w:rPr>
          <w:rFonts w:ascii="Times New Roman" w:hAnsi="Times New Roman"/>
          <w:b/>
        </w:rPr>
        <w:t>contient:</w:t>
      </w:r>
      <w:proofErr w:type="gramEnd"/>
      <w:r>
        <w:rPr>
          <w:rFonts w:ascii="Times New Roman" w:hAnsi="Times New Roman"/>
        </w:rPr>
        <w:t xml:space="preserve"> </w:t>
      </w:r>
    </w:p>
    <w:p w14:paraId="77831059" w14:textId="32456548" w:rsidR="005D5B93" w:rsidRDefault="008E2413" w:rsidP="00C26A74">
      <w:pPr>
        <w:widowControl w:val="0"/>
        <w:spacing w:after="120"/>
        <w:rPr>
          <w:rFonts w:ascii="Times New Roman" w:hAnsi="Times New Roman"/>
          <w:szCs w:val="24"/>
        </w:rPr>
      </w:pPr>
      <w:r>
        <w:rPr>
          <w:rFonts w:ascii="Times New Roman" w:hAnsi="Times New Roman"/>
        </w:rPr>
        <w:t xml:space="preserve">Dans sa résolution, le Parlement se félicite de la stratégie en faveur de l’égalité des personnes LGBTIQ pour la période 2020-2025, et du récent rapport sur l’état d’avancement de la mise en place de cette </w:t>
      </w:r>
      <w:proofErr w:type="gramStart"/>
      <w:r>
        <w:rPr>
          <w:rFonts w:ascii="Times New Roman" w:hAnsi="Times New Roman"/>
        </w:rPr>
        <w:t>stratégie;</w:t>
      </w:r>
      <w:proofErr w:type="gramEnd"/>
      <w:r>
        <w:rPr>
          <w:rFonts w:ascii="Times New Roman" w:hAnsi="Times New Roman"/>
        </w:rPr>
        <w:t xml:space="preserve"> prend acte de la détermination de la Commission à accompagner les États membres dans la mise en place de la stratégie.</w:t>
      </w:r>
    </w:p>
    <w:p w14:paraId="02C58B30" w14:textId="2B4B36F3" w:rsidR="005D5B93" w:rsidRDefault="00626B0D" w:rsidP="00C26A74">
      <w:pPr>
        <w:widowControl w:val="0"/>
        <w:spacing w:after="120"/>
        <w:rPr>
          <w:rFonts w:ascii="Times New Roman" w:hAnsi="Times New Roman"/>
          <w:szCs w:val="24"/>
        </w:rPr>
      </w:pPr>
      <w:bookmarkStart w:id="0" w:name="_Hlk160009411"/>
      <w:r>
        <w:rPr>
          <w:rFonts w:ascii="Times New Roman" w:hAnsi="Times New Roman"/>
        </w:rPr>
        <w:t>De manière générale, il fait part de sa préoccupation quant aux discriminations et aux violences subies par les personnes LGBTIQ+ dans l’Union et aux conséquences que ces discriminations et violences ont lorsqu’il s’agit de leur permettre de vivre une vie libre et digne.</w:t>
      </w:r>
    </w:p>
    <w:p w14:paraId="23D8BBAC" w14:textId="119442C1" w:rsidR="00225F58" w:rsidRDefault="00225F58" w:rsidP="00C26A74">
      <w:pPr>
        <w:widowControl w:val="0"/>
        <w:spacing w:after="120"/>
        <w:rPr>
          <w:rFonts w:ascii="Times New Roman" w:hAnsi="Times New Roman"/>
          <w:szCs w:val="24"/>
        </w:rPr>
      </w:pPr>
      <w:r>
        <w:rPr>
          <w:rFonts w:ascii="Times New Roman" w:hAnsi="Times New Roman"/>
        </w:rPr>
        <w:t>Il invite dès lors la Commission à élaborer une nouvelle stratégie en faveur de l’égalité des personnes LGBTIQ+ pour la période 2026-2030 et à veiller à ce que la prochaine stratégie s’appuie sur un instrument plus robuste et s’accompagne d’un plan de mise en œuvre axé sur des objectifs et d’une solide structure garantissant l’intégration des droits des personnes LGBTIQ+ dans l’ensemble des politiques de l’Union et d’une bonne affectation des ressources; à inclure un calendrier et des étapes pour le suivi, l’évaluation, l’obligation de rendre des comptes et l’apprentissage. Il demande également à l’ensemble des États membres d’adopter, au niveau national, des plans d’action et des stratégies en faveur des personnes LGBTIQ+ jusqu’en 2025.</w:t>
      </w:r>
    </w:p>
    <w:p w14:paraId="1D906FB9" w14:textId="7FD1A054" w:rsidR="00AD735E" w:rsidRDefault="00301B09" w:rsidP="00C26A74">
      <w:pPr>
        <w:widowControl w:val="0"/>
        <w:spacing w:after="120"/>
        <w:rPr>
          <w:rFonts w:ascii="Times New Roman" w:hAnsi="Times New Roman"/>
          <w:szCs w:val="24"/>
        </w:rPr>
      </w:pPr>
      <w:r>
        <w:rPr>
          <w:rFonts w:ascii="Times New Roman" w:hAnsi="Times New Roman"/>
        </w:rPr>
        <w:t>En ce qui concerne la législation spécifique, le Parlement appelle de nouveau le Conseil à approuver une décision visant à étendre la liste des infractions pénales de l’Union figurant à l’article 83, paragraphe 1, du TFUE aux discours et crimes de haine, ce qui permettrait la mise en place de règles minimales sur la définition des infractions pénales et des sanctions applicables dans l’ensemble des États membres de l’Union. Le Parlement exprime également son soutien en faveur de la proposition de la Commission de règlement relatif à la compétence, à la loi applicable et à la reconnaissance des décisions et à l’acceptation des actes authentiques en matière de filiation ainsi qu’à la création d’un certificat européen de filiation</w:t>
      </w:r>
    </w:p>
    <w:p w14:paraId="582CEC3E" w14:textId="2800BBE4" w:rsidR="00301B09" w:rsidRDefault="00301B09" w:rsidP="00C26A74">
      <w:pPr>
        <w:widowControl w:val="0"/>
        <w:spacing w:after="120"/>
        <w:rPr>
          <w:rFonts w:ascii="Times New Roman" w:hAnsi="Times New Roman"/>
          <w:szCs w:val="24"/>
        </w:rPr>
      </w:pPr>
      <w:r>
        <w:rPr>
          <w:rFonts w:ascii="Times New Roman" w:hAnsi="Times New Roman"/>
        </w:rPr>
        <w:t>Le Parlement déplore en outre que la directive horizontale anti-discrimination soit bloquée au Conseil depuis 2008.</w:t>
      </w:r>
    </w:p>
    <w:p w14:paraId="2DED19F9" w14:textId="3F34D998" w:rsidR="00301B09" w:rsidRDefault="00301B09" w:rsidP="00C26A74">
      <w:pPr>
        <w:widowControl w:val="0"/>
        <w:spacing w:after="120"/>
        <w:rPr>
          <w:rFonts w:ascii="Times New Roman" w:hAnsi="Times New Roman"/>
          <w:szCs w:val="24"/>
        </w:rPr>
      </w:pPr>
      <w:r>
        <w:rPr>
          <w:rFonts w:ascii="Times New Roman" w:hAnsi="Times New Roman"/>
        </w:rPr>
        <w:t>Enfin, le Parlement invite la Commission à créer un portefeuille de commissaire à l’égalité et à la diversité pour la prochaine législature et plaide en faveur de la création d’un poste de coordinateur des droits des personnes LGBTIQ+ au sein de la Commission.</w:t>
      </w:r>
    </w:p>
    <w:bookmarkEnd w:id="0"/>
    <w:p w14:paraId="7C5BE71C" w14:textId="51B97618" w:rsidR="004A6C66" w:rsidRPr="00D63D2D" w:rsidRDefault="004A6C66" w:rsidP="00A824B4">
      <w:pPr>
        <w:widowControl w:val="0"/>
        <w:numPr>
          <w:ilvl w:val="0"/>
          <w:numId w:val="27"/>
        </w:numPr>
        <w:ind w:left="567" w:hanging="567"/>
        <w:rPr>
          <w:rFonts w:ascii="Times New Roman" w:hAnsi="Times New Roman"/>
          <w:b/>
          <w:i/>
          <w:szCs w:val="24"/>
        </w:rPr>
      </w:pPr>
      <w:r>
        <w:rPr>
          <w:rFonts w:ascii="Times New Roman" w:hAnsi="Times New Roman"/>
          <w:b/>
        </w:rPr>
        <w:t xml:space="preserve">Réponse à ces demandes et aperçu des mesures que la Commission a prises ou envisage de </w:t>
      </w:r>
      <w:proofErr w:type="gramStart"/>
      <w:r>
        <w:rPr>
          <w:rFonts w:ascii="Times New Roman" w:hAnsi="Times New Roman"/>
          <w:b/>
        </w:rPr>
        <w:t>prendre:</w:t>
      </w:r>
      <w:proofErr w:type="gramEnd"/>
      <w:r>
        <w:rPr>
          <w:rFonts w:ascii="Times New Roman" w:hAnsi="Times New Roman"/>
        </w:rPr>
        <w:t xml:space="preserve"> </w:t>
      </w:r>
    </w:p>
    <w:p w14:paraId="6DDBA21F" w14:textId="57C619C6" w:rsidR="00D63D2D" w:rsidRPr="00C26A74" w:rsidRDefault="00D63D2D" w:rsidP="00C26A74">
      <w:pPr>
        <w:spacing w:after="120"/>
        <w:rPr>
          <w:rFonts w:ascii="Times New Roman" w:eastAsia="Calibri" w:hAnsi="Times New Roman"/>
          <w:szCs w:val="24"/>
        </w:rPr>
      </w:pPr>
      <w:r>
        <w:rPr>
          <w:rFonts w:ascii="Times New Roman" w:hAnsi="Times New Roman"/>
        </w:rPr>
        <w:lastRenderedPageBreak/>
        <w:t>La Commission se félicite de la résolution et de l’évaluation du Parlement européen sur la mise en œuvre de la stratégie en faveur de l’égalité des personnes LGBTIQ pour la période 2020-2025. La Commission partage pleinement l’objectif visant à faire progresser davantage les droits des personnes LGBTIQ dans l’UE et au-delà.</w:t>
      </w:r>
    </w:p>
    <w:p w14:paraId="6E30EB17" w14:textId="23563097" w:rsidR="00AB6891" w:rsidRPr="00C26A74" w:rsidRDefault="0031786A" w:rsidP="00C26A74">
      <w:pPr>
        <w:widowControl w:val="0"/>
        <w:spacing w:after="120"/>
        <w:rPr>
          <w:rFonts w:ascii="Times New Roman" w:eastAsia="Calibri" w:hAnsi="Times New Roman"/>
          <w:b/>
          <w:bCs/>
          <w:szCs w:val="24"/>
        </w:rPr>
      </w:pPr>
      <w:r>
        <w:rPr>
          <w:rFonts w:ascii="Times New Roman" w:hAnsi="Times New Roman"/>
        </w:rPr>
        <w:t>En outre, la Commission partage les préoccupations du Parlement concernant les discriminations et les violences subies par les personnes LGBTIQ dans l’Union. La stratégie en faveur de l’égalité des personnes LGBTIQ présente plusieurs initiatives visant à faire en sorte que les personnes LGBTIQ puissent vivre en sécurité, exercer leurs droits et réaliser pleinement leur potentiel. Par exemple, en décembre 2021, la Commission a présenté une initiative en vue de l’adoption d’une décision du Conseil (à l’unanimité, avec l’approbation du Parlement européen) visant à étendre la liste des</w:t>
      </w:r>
      <w:proofErr w:type="gramStart"/>
      <w:r>
        <w:rPr>
          <w:rFonts w:ascii="Times New Roman" w:hAnsi="Times New Roman"/>
        </w:rPr>
        <w:t xml:space="preserve"> «infractions</w:t>
      </w:r>
      <w:proofErr w:type="gramEnd"/>
      <w:r>
        <w:rPr>
          <w:rFonts w:ascii="Times New Roman" w:hAnsi="Times New Roman"/>
        </w:rPr>
        <w:t xml:space="preserve"> pénales de l’UE» (article 83 du TFUE) aux discours et crimes de haine. </w:t>
      </w:r>
      <w:bookmarkStart w:id="1" w:name="_Hlk160099369"/>
      <w:r>
        <w:rPr>
          <w:rFonts w:ascii="Times New Roman" w:hAnsi="Times New Roman"/>
        </w:rPr>
        <w:t>La Commission continuera de plaider en faveur de l’adoption rapide de la décision du Conseil susmentionnée.</w:t>
      </w:r>
    </w:p>
    <w:p w14:paraId="5277C06F" w14:textId="3EF9A917" w:rsidR="007E2F28" w:rsidRPr="00C26A74" w:rsidRDefault="007E2F28" w:rsidP="00C26A74">
      <w:pPr>
        <w:widowControl w:val="0"/>
        <w:spacing w:after="120"/>
        <w:rPr>
          <w:rFonts w:ascii="Times New Roman" w:hAnsi="Times New Roman"/>
          <w:szCs w:val="24"/>
        </w:rPr>
      </w:pPr>
      <w:r>
        <w:rPr>
          <w:rFonts w:ascii="Times New Roman" w:hAnsi="Times New Roman"/>
        </w:rPr>
        <w:t>En outre, afin d’intensifier les efforts de l’UE pour lutter contre la haine sous toutes ses formes, y compris à l’encontre des personnes LGBTIQ, la Commission et le haut représentant ont adopté, en décembre 2023, une communication conjointe intitulée «</w:t>
      </w:r>
      <w:hyperlink r:id="rId11" w:history="1">
        <w:r>
          <w:rPr>
            <w:rStyle w:val="Hyperlink"/>
            <w:rFonts w:ascii="Times New Roman" w:hAnsi="Times New Roman"/>
          </w:rPr>
          <w:t xml:space="preserve">Pas de place pour la </w:t>
        </w:r>
        <w:proofErr w:type="spellStart"/>
        <w:r>
          <w:rPr>
            <w:rStyle w:val="Hyperlink"/>
            <w:rFonts w:ascii="Times New Roman" w:hAnsi="Times New Roman"/>
          </w:rPr>
          <w:t>haine:</w:t>
        </w:r>
      </w:hyperlink>
      <w:hyperlink r:id="rId12" w:history="1">
        <w:r>
          <w:rPr>
            <w:rStyle w:val="Hyperlink"/>
            <w:rFonts w:ascii="Times New Roman" w:hAnsi="Times New Roman"/>
          </w:rPr>
          <w:t>une</w:t>
        </w:r>
        <w:proofErr w:type="spellEnd"/>
        <w:r>
          <w:rPr>
            <w:rStyle w:val="Hyperlink"/>
            <w:rFonts w:ascii="Times New Roman" w:hAnsi="Times New Roman"/>
          </w:rPr>
          <w:t xml:space="preserve"> Europe unie contre toute forme de haine</w:t>
        </w:r>
      </w:hyperlink>
      <w:r>
        <w:rPr>
          <w:rFonts w:ascii="Times New Roman" w:hAnsi="Times New Roman"/>
        </w:rPr>
        <w:t xml:space="preserve">». La communication vise à renforcer l’action dans toute une série de politiques. Il s’agit notamment d’intensifier les travaux sur la lutte contre les discours de haine en ligne grâce à une mise à niveau du </w:t>
      </w:r>
      <w:hyperlink r:id="rId13" w:history="1">
        <w:r>
          <w:rPr>
            <w:rStyle w:val="Hyperlink"/>
            <w:rFonts w:ascii="Times New Roman" w:hAnsi="Times New Roman"/>
          </w:rPr>
          <w:t>code de conduite</w:t>
        </w:r>
      </w:hyperlink>
      <w:r>
        <w:rPr>
          <w:rFonts w:ascii="Times New Roman" w:hAnsi="Times New Roman"/>
        </w:rPr>
        <w:t xml:space="preserve"> à convenir avec les grandes plateformes en ligne.</w:t>
      </w:r>
    </w:p>
    <w:bookmarkEnd w:id="1"/>
    <w:p w14:paraId="6F533252" w14:textId="6677178E" w:rsidR="00AB6891" w:rsidRPr="00C26A74" w:rsidRDefault="00AB6891" w:rsidP="00C26A74">
      <w:pPr>
        <w:widowControl w:val="0"/>
        <w:spacing w:after="120"/>
        <w:rPr>
          <w:rFonts w:ascii="Times New Roman" w:hAnsi="Times New Roman"/>
          <w:szCs w:val="24"/>
        </w:rPr>
      </w:pPr>
      <w:r>
        <w:rPr>
          <w:rFonts w:ascii="Times New Roman" w:hAnsi="Times New Roman"/>
        </w:rPr>
        <w:t>Conformément à la résolution du Parlement, l’adoption de la directive sur l’égalité de traitement demeure une priorité pour la Commission. La directive viendrait combler une lacune majeure dans la législation de l’UE en matière de non-discrimination en élargissant la protection contre la discrimination fondée sur la religion ou les convictions, le handicap, l’âge ou l’orientation sexuelle au-delà du domaine de l’emploi et de la formation professionnelle. La Commission se félicite du soutien apporté par les présidences précédente et actuelle du Conseil pour donner un nouvel élan à ce dossier important.</w:t>
      </w:r>
    </w:p>
    <w:p w14:paraId="6274F0A8" w14:textId="0EB60148" w:rsidR="00377CD5" w:rsidRPr="00C26A74" w:rsidRDefault="00377CD5" w:rsidP="00C26A74">
      <w:pPr>
        <w:widowControl w:val="0"/>
        <w:spacing w:after="120"/>
        <w:rPr>
          <w:rFonts w:ascii="Times New Roman" w:hAnsi="Times New Roman"/>
          <w:szCs w:val="24"/>
        </w:rPr>
      </w:pPr>
      <w:r>
        <w:rPr>
          <w:rFonts w:ascii="Times New Roman" w:hAnsi="Times New Roman"/>
        </w:rPr>
        <w:t>La Commission se réjouit du soutien exprimé par le Parlement dans sa résolution à la proposition de règlement de la Commission sur la reconnaissance de la filiation entre États membres, qui est également conforme à l’avis positif du Parlement du 14 décembre 2023. La Commission reste déterminée à faciliter les négociations en cours au sein du Conseil.</w:t>
      </w:r>
    </w:p>
    <w:p w14:paraId="78D71490" w14:textId="6E2C979C" w:rsidR="00191ECE" w:rsidRPr="00C26A74" w:rsidRDefault="00191ECE" w:rsidP="00C26A74">
      <w:pPr>
        <w:widowControl w:val="0"/>
        <w:spacing w:after="120"/>
        <w:rPr>
          <w:rFonts w:ascii="Times New Roman" w:hAnsi="Times New Roman"/>
          <w:szCs w:val="24"/>
        </w:rPr>
      </w:pPr>
      <w:r>
        <w:rPr>
          <w:rFonts w:ascii="Times New Roman" w:hAnsi="Times New Roman"/>
        </w:rPr>
        <w:t>En ce qui concerne les personnes transgenres, non binaires et intersexuées, la Commission est résolue à bâtir une Union dans laquelle ces personnes peuvent vivre à l’abri de toute discrimination et exercer pleinement leurs droits. En novembre 2022, la Commission a organisé une réunion du sous-groupe sur l’égalité des personnes LGBTIQ sur le thème de la législation accessible en ce qui concerne la reconnaissance du genre fondée sur le principe d’autodétermination. Bien que cette question relève de la compétence nationale et sorte du champ d’application du droit de l’Union, la Commission continuera d’encourager les bonnes pratiques en matière de reconnaissance des identités transgenres, sur la base du principe d’autodétermination et sans restriction d’âge.</w:t>
      </w:r>
    </w:p>
    <w:p w14:paraId="734D4F46" w14:textId="775BE951" w:rsidR="00FF6276" w:rsidRPr="00C26A74" w:rsidRDefault="00FF6276" w:rsidP="00C26A74">
      <w:pPr>
        <w:widowControl w:val="0"/>
        <w:spacing w:after="120"/>
        <w:rPr>
          <w:rFonts w:ascii="Times New Roman" w:hAnsi="Times New Roman"/>
          <w:szCs w:val="24"/>
        </w:rPr>
      </w:pPr>
      <w:r>
        <w:rPr>
          <w:rFonts w:ascii="Times New Roman" w:hAnsi="Times New Roman"/>
        </w:rPr>
        <w:t xml:space="preserve">La Commission prend note de l’appel du Parlement à élaborer une nouvelle stratégie en faveur de l’égalité des personnes LGBTIQ pour la période 2025-2030, à créer un portefeuille de commissaire à l’égalité et à la diversité pour la prochaine législature et à mettre en place un poste de coordinateur des droits des personnes LGBTIQ. La Commission évalue actuellement la mise en œuvre de la stratégie en faveur de l’égalité des personnes LGBTIQ, laquelle est arrivée à mi-parcours. L’examen à mi-parcours de la </w:t>
      </w:r>
      <w:r>
        <w:rPr>
          <w:rFonts w:ascii="Times New Roman" w:hAnsi="Times New Roman"/>
        </w:rPr>
        <w:lastRenderedPageBreak/>
        <w:t>stratégie permettra d’évaluer la manière dont la situation des personnes LGBTIQ a évolué depuis son adoption, les progrès accomplis et les domaines qui nécessitent une plus grande attention pour mettre pleinement en œuvre la stratégie d’ici à 2025. La Commission prévoit son adoption au cours du deuxième trimestre de 2024.</w:t>
      </w:r>
    </w:p>
    <w:p w14:paraId="65BE6B26" w14:textId="1E8B9FB9" w:rsidR="00AB6891" w:rsidRPr="00C26A74" w:rsidRDefault="00AB6891" w:rsidP="00C26A74">
      <w:pPr>
        <w:widowControl w:val="0"/>
        <w:spacing w:after="120"/>
        <w:rPr>
          <w:rFonts w:ascii="Times New Roman" w:hAnsi="Times New Roman"/>
          <w:szCs w:val="24"/>
        </w:rPr>
      </w:pPr>
      <w:r>
        <w:rPr>
          <w:rFonts w:ascii="Times New Roman" w:hAnsi="Times New Roman"/>
        </w:rPr>
        <w:t>Enfin, la Commission convient que les États membres jouent un rôle clé dans la promotion de l’égalité des personnes LGBTIQ. Par conséquent, dans la stratégie en faveur de l’égalité des personnes LGBTIQ, la Commission les a encouragés à adopter des plans d’action nationaux. En mai 2021, le sous-groupe sur l’égalité des personnes LGBTIQ a été créé dans le cadre du groupe de haut niveau sur la non-discrimination, l’égalité et la diversité afin d’améliorer la mise en œuvre de la stratégie. Le sous-groupe est à l’origine des lignes directrices pour les stratégies et les plans d’action visant à renforcer l’égalité des personnes LGBTIQ, dont le but est de soutenir les efforts déployés par les États membres pour faire progresser l’égalité de traitement à l’égard des personnes LGBTIQ. La Commission continuera d’épauler les États membres dans la conception, le suivi et la mise en œuvre de leurs plans d’action nationaux dans le cadre du sous-groupe sur l’égalité des personnes LGBTIQ.</w:t>
      </w:r>
    </w:p>
    <w:sectPr w:rsidR="00AB6891" w:rsidRPr="00C26A74" w:rsidSect="000A07D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B523" w14:textId="77777777" w:rsidR="008A2ACC" w:rsidRDefault="008A2ACC">
      <w:r>
        <w:separator/>
      </w:r>
    </w:p>
  </w:endnote>
  <w:endnote w:type="continuationSeparator" w:id="0">
    <w:p w14:paraId="020EBFC8" w14:textId="77777777" w:rsidR="008A2ACC" w:rsidRDefault="008A2ACC">
      <w:r>
        <w:continuationSeparator/>
      </w:r>
    </w:p>
  </w:endnote>
  <w:endnote w:type="continuationNotice" w:id="1">
    <w:p w14:paraId="4DCE9E43" w14:textId="77777777" w:rsidR="008A2ACC" w:rsidRDefault="008A2A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EE89"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7846C579"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E8D1"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E5F">
      <w:rPr>
        <w:rStyle w:val="PageNumber"/>
      </w:rPr>
      <w:t>3</w:t>
    </w:r>
    <w:r>
      <w:rPr>
        <w:rStyle w:val="PageNumber"/>
      </w:rPr>
      <w:fldChar w:fldCharType="end"/>
    </w:r>
  </w:p>
  <w:p w14:paraId="6F718093"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E124" w14:textId="4EEDA413" w:rsidR="005E6EC2" w:rsidRPr="00C26A74" w:rsidRDefault="005E6EC2" w:rsidP="00C26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43AD" w14:textId="77777777" w:rsidR="008A2ACC" w:rsidRDefault="008A2ACC">
      <w:r>
        <w:separator/>
      </w:r>
    </w:p>
  </w:footnote>
  <w:footnote w:type="continuationSeparator" w:id="0">
    <w:p w14:paraId="342B4CA2" w14:textId="77777777" w:rsidR="008A2ACC" w:rsidRDefault="008A2ACC">
      <w:r>
        <w:continuationSeparator/>
      </w:r>
    </w:p>
  </w:footnote>
  <w:footnote w:type="continuationNotice" w:id="1">
    <w:p w14:paraId="17A06087" w14:textId="77777777" w:rsidR="008A2ACC" w:rsidRDefault="008A2A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CB51" w14:textId="77777777" w:rsidR="00C26A74" w:rsidRDefault="00C26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96F7" w14:textId="77777777" w:rsidR="00C26A74" w:rsidRDefault="00C26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BDA1" w14:textId="77777777" w:rsidR="00C26A74" w:rsidRDefault="00C26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8"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0"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1"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119644066">
    <w:abstractNumId w:val="6"/>
  </w:num>
  <w:num w:numId="2" w16cid:durableId="1741368632">
    <w:abstractNumId w:val="1"/>
  </w:num>
  <w:num w:numId="3" w16cid:durableId="691303854">
    <w:abstractNumId w:val="30"/>
  </w:num>
  <w:num w:numId="4" w16cid:durableId="1617835536">
    <w:abstractNumId w:val="12"/>
  </w:num>
  <w:num w:numId="5" w16cid:durableId="2003265904">
    <w:abstractNumId w:val="24"/>
  </w:num>
  <w:num w:numId="6" w16cid:durableId="624387922">
    <w:abstractNumId w:val="10"/>
  </w:num>
  <w:num w:numId="7" w16cid:durableId="158162042">
    <w:abstractNumId w:val="5"/>
  </w:num>
  <w:num w:numId="8" w16cid:durableId="1777407638">
    <w:abstractNumId w:val="15"/>
  </w:num>
  <w:num w:numId="9" w16cid:durableId="439574395">
    <w:abstractNumId w:val="29"/>
  </w:num>
  <w:num w:numId="10" w16cid:durableId="537746455">
    <w:abstractNumId w:val="20"/>
  </w:num>
  <w:num w:numId="11" w16cid:durableId="172961604">
    <w:abstractNumId w:val="22"/>
  </w:num>
  <w:num w:numId="12" w16cid:durableId="602567448">
    <w:abstractNumId w:val="11"/>
  </w:num>
  <w:num w:numId="13" w16cid:durableId="79301190">
    <w:abstractNumId w:val="16"/>
  </w:num>
  <w:num w:numId="14" w16cid:durableId="842208399">
    <w:abstractNumId w:val="25"/>
  </w:num>
  <w:num w:numId="15" w16cid:durableId="862402853">
    <w:abstractNumId w:val="14"/>
  </w:num>
  <w:num w:numId="16" w16cid:durableId="1872761630">
    <w:abstractNumId w:val="31"/>
  </w:num>
  <w:num w:numId="17" w16cid:durableId="106048670">
    <w:abstractNumId w:val="28"/>
  </w:num>
  <w:num w:numId="18" w16cid:durableId="256402043">
    <w:abstractNumId w:val="18"/>
  </w:num>
  <w:num w:numId="19" w16cid:durableId="87778805">
    <w:abstractNumId w:val="19"/>
  </w:num>
  <w:num w:numId="20" w16cid:durableId="1800149640">
    <w:abstractNumId w:val="23"/>
  </w:num>
  <w:num w:numId="21" w16cid:durableId="1752700986">
    <w:abstractNumId w:val="3"/>
  </w:num>
  <w:num w:numId="22" w16cid:durableId="661810459">
    <w:abstractNumId w:val="4"/>
  </w:num>
  <w:num w:numId="23" w16cid:durableId="1200509776">
    <w:abstractNumId w:val="17"/>
  </w:num>
  <w:num w:numId="24" w16cid:durableId="528222534">
    <w:abstractNumId w:val="26"/>
  </w:num>
  <w:num w:numId="25" w16cid:durableId="928389522">
    <w:abstractNumId w:val="9"/>
  </w:num>
  <w:num w:numId="26" w16cid:durableId="1033916731">
    <w:abstractNumId w:val="27"/>
  </w:num>
  <w:num w:numId="27" w16cid:durableId="746654987">
    <w:abstractNumId w:val="8"/>
  </w:num>
  <w:num w:numId="28" w16cid:durableId="249890896">
    <w:abstractNumId w:val="2"/>
  </w:num>
  <w:num w:numId="29" w16cid:durableId="782772914">
    <w:abstractNumId w:val="13"/>
  </w:num>
  <w:num w:numId="30" w16cid:durableId="1422293934">
    <w:abstractNumId w:val="21"/>
  </w:num>
  <w:num w:numId="31" w16cid:durableId="133353014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4E3D"/>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25F"/>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43"/>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A06"/>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11D"/>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895"/>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088"/>
    <w:rsid w:val="0014413D"/>
    <w:rsid w:val="00145AB8"/>
    <w:rsid w:val="00145BBD"/>
    <w:rsid w:val="00145D7D"/>
    <w:rsid w:val="001463CA"/>
    <w:rsid w:val="00146572"/>
    <w:rsid w:val="001466DF"/>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82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26C"/>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088"/>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1ECE"/>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593F"/>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5F58"/>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5CCA"/>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582"/>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28"/>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6DDD"/>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17"/>
    <w:rsid w:val="002E706B"/>
    <w:rsid w:val="002E7523"/>
    <w:rsid w:val="002E7AA9"/>
    <w:rsid w:val="002E7ABC"/>
    <w:rsid w:val="002E7B1B"/>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2B1"/>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09"/>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DC9"/>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50B"/>
    <w:rsid w:val="00315540"/>
    <w:rsid w:val="00315A9D"/>
    <w:rsid w:val="00315E08"/>
    <w:rsid w:val="00316755"/>
    <w:rsid w:val="003169B6"/>
    <w:rsid w:val="00316C69"/>
    <w:rsid w:val="003171CB"/>
    <w:rsid w:val="00317261"/>
    <w:rsid w:val="0031736F"/>
    <w:rsid w:val="00317766"/>
    <w:rsid w:val="0031786A"/>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CD5"/>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BF9"/>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183"/>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29D"/>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ACC"/>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2B6"/>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9A8"/>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7C"/>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9CB"/>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747"/>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B93"/>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0E3"/>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349"/>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1B8"/>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B0D"/>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194"/>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201"/>
    <w:rsid w:val="006E4585"/>
    <w:rsid w:val="006E4900"/>
    <w:rsid w:val="006E4923"/>
    <w:rsid w:val="006E4960"/>
    <w:rsid w:val="006E4C15"/>
    <w:rsid w:val="006E4DC4"/>
    <w:rsid w:val="006E4FEC"/>
    <w:rsid w:val="006E5332"/>
    <w:rsid w:val="006E533F"/>
    <w:rsid w:val="006E53A3"/>
    <w:rsid w:val="006E5576"/>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42"/>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53"/>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1A4"/>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01"/>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DE4"/>
    <w:rsid w:val="007D3FD8"/>
    <w:rsid w:val="007D4C80"/>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28"/>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AF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851"/>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ACC"/>
    <w:rsid w:val="008A2E0C"/>
    <w:rsid w:val="008A34E0"/>
    <w:rsid w:val="008A368E"/>
    <w:rsid w:val="008A36C8"/>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6B1"/>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413"/>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3C9F"/>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1A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8C0"/>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75B"/>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E"/>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DD7"/>
    <w:rsid w:val="009B1E2D"/>
    <w:rsid w:val="009B28D3"/>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C04"/>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85"/>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661"/>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B1"/>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38"/>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418"/>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198"/>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18E"/>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4DAA"/>
    <w:rsid w:val="00AB52DD"/>
    <w:rsid w:val="00AB56A2"/>
    <w:rsid w:val="00AB58D2"/>
    <w:rsid w:val="00AB5DE5"/>
    <w:rsid w:val="00AB5E40"/>
    <w:rsid w:val="00AB5F98"/>
    <w:rsid w:val="00AB608D"/>
    <w:rsid w:val="00AB61FB"/>
    <w:rsid w:val="00AB63A6"/>
    <w:rsid w:val="00AB650D"/>
    <w:rsid w:val="00AB688C"/>
    <w:rsid w:val="00AB6891"/>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0F6B"/>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35E"/>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42D"/>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9BE"/>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59"/>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C7CD1"/>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1B65"/>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5CE1"/>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01"/>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A74"/>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9CF"/>
    <w:rsid w:val="00C43B4A"/>
    <w:rsid w:val="00C43C91"/>
    <w:rsid w:val="00C44069"/>
    <w:rsid w:val="00C443DF"/>
    <w:rsid w:val="00C44476"/>
    <w:rsid w:val="00C4500C"/>
    <w:rsid w:val="00C4504E"/>
    <w:rsid w:val="00C45339"/>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25"/>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5FB4"/>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4CB"/>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3D2D"/>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1E"/>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2BD"/>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0D"/>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36"/>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3B6"/>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0AE1"/>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BA7"/>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6EED"/>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63"/>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5FF0"/>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736"/>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DBC"/>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6C"/>
    <w:rsid w:val="00F96289"/>
    <w:rsid w:val="00F9641F"/>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C7A"/>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276"/>
    <w:rsid w:val="00FF6664"/>
    <w:rsid w:val="00FF6832"/>
    <w:rsid w:val="00FF6A9D"/>
    <w:rsid w:val="00FF6BB9"/>
    <w:rsid w:val="00FF6F78"/>
    <w:rsid w:val="00FF6FBA"/>
    <w:rsid w:val="00FF7211"/>
    <w:rsid w:val="00FF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D6222"/>
  <w15:docId w15:val="{D8E72ABB-9DD3-4C50-B0E9-591CA4B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
    <w:basedOn w:val="Normal"/>
    <w:uiPriority w:val="99"/>
    <w:rsid w:val="00F50736"/>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styleId="UnresolvedMention">
    <w:name w:val="Unresolved Mention"/>
    <w:basedOn w:val="DefaultParagraphFont"/>
    <w:uiPriority w:val="99"/>
    <w:semiHidden/>
    <w:unhideWhenUsed/>
    <w:rsid w:val="00EA6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6679">
      <w:bodyDiv w:val="1"/>
      <w:marLeft w:val="0"/>
      <w:marRight w:val="0"/>
      <w:marTop w:val="0"/>
      <w:marBottom w:val="0"/>
      <w:divBdr>
        <w:top w:val="none" w:sz="0" w:space="0" w:color="auto"/>
        <w:left w:val="none" w:sz="0" w:space="0" w:color="auto"/>
        <w:bottom w:val="none" w:sz="0" w:space="0" w:color="auto"/>
        <w:right w:val="none" w:sz="0" w:space="0" w:color="auto"/>
      </w:divBdr>
    </w:div>
    <w:div w:id="345524553">
      <w:bodyDiv w:val="1"/>
      <w:marLeft w:val="0"/>
      <w:marRight w:val="0"/>
      <w:marTop w:val="0"/>
      <w:marBottom w:val="0"/>
      <w:divBdr>
        <w:top w:val="none" w:sz="0" w:space="0" w:color="auto"/>
        <w:left w:val="none" w:sz="0" w:space="0" w:color="auto"/>
        <w:bottom w:val="none" w:sz="0" w:space="0" w:color="auto"/>
        <w:right w:val="none" w:sz="0" w:space="0" w:color="auto"/>
      </w:divBdr>
    </w:div>
    <w:div w:id="1380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ission.europa.eu/strategy-and-policy/policies/justice-and-fundamental-rights/combatting-discrimination/racism-and-xenophobia/eu-code-conduct-countering-illegal-hate-speech-online_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mmission.europa.eu/document/c60c451c-ccd2-406a-be3a-ef65123f2bb6_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document/c60c451c-ccd2-406a-be3a-ef65123f2bb6_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b21a4a1d-4eb8-49d3-b465-be101281b0f3" xsi:nil="true"/>
    <_Flow_SignoffStatus xmlns="b21a4a1d-4eb8-49d3-b465-be101281b0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10" ma:contentTypeDescription="Create a new document." ma:contentTypeScope="" ma:versionID="4f2662ad00e94f3ba6e983dcd4d718de">
  <xsd:schema xmlns:xsd="http://www.w3.org/2001/XMLSchema" xmlns:xs="http://www.w3.org/2001/XMLSchema" xmlns:p="http://schemas.microsoft.com/office/2006/metadata/properties" xmlns:ns2="b21a4a1d-4eb8-49d3-b465-be101281b0f3" xmlns:ns3="f34a3906-e2fe-45dd-be63-435c8762400b" targetNamespace="http://schemas.microsoft.com/office/2006/metadata/properties" ma:root="true" ma:fieldsID="c12e5ab7b42ed1a589a52803b85ec9e1" ns2:_="" ns3:_="">
    <xsd:import namespace="b21a4a1d-4eb8-49d3-b465-be101281b0f3"/>
    <xsd:import namespace="f34a3906-e2fe-45dd-be63-435c87624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mments"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2" nillable="true" ma:displayName="Comments" ma:format="Dropdown" ma:internalName="Comments">
      <xsd:simpleType>
        <xsd:restriction base="dms:Note">
          <xsd:maxLength value="255"/>
        </xsd:restriction>
      </xsd:simpleType>
    </xsd:element>
    <xsd:element name="_Flow_SignoffStatus" ma:index="13" nillable="true" ma:displayName="Sign-off status" ma:internalName="Sign_x002d_off_x0020_status">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F5609-84E3-48B6-8AB9-9B1D6063828A}">
  <ds:schemaRefs>
    <ds:schemaRef ds:uri="http://schemas.microsoft.com/office/2006/metadata/properties"/>
    <ds:schemaRef ds:uri="http://schemas.microsoft.com/office/infopath/2007/PartnerControls"/>
    <ds:schemaRef ds:uri="b21a4a1d-4eb8-49d3-b465-be101281b0f3"/>
  </ds:schemaRefs>
</ds:datastoreItem>
</file>

<file path=customXml/itemProps2.xml><?xml version="1.0" encoding="utf-8"?>
<ds:datastoreItem xmlns:ds="http://schemas.openxmlformats.org/officeDocument/2006/customXml" ds:itemID="{8C327481-BA2F-4F21-8CCE-1F58717BE599}">
  <ds:schemaRefs>
    <ds:schemaRef ds:uri="http://schemas.microsoft.com/sharepoint/v3/contenttype/forms"/>
  </ds:schemaRefs>
</ds:datastoreItem>
</file>

<file path=customXml/itemProps3.xml><?xml version="1.0" encoding="utf-8"?>
<ds:datastoreItem xmlns:ds="http://schemas.openxmlformats.org/officeDocument/2006/customXml" ds:itemID="{AD489DDE-6A82-4DF7-9B5C-BEF9BD79F170}">
  <ds:schemaRefs>
    <ds:schemaRef ds:uri="http://schemas.openxmlformats.org/officeDocument/2006/bibliography"/>
  </ds:schemaRefs>
</ds:datastoreItem>
</file>

<file path=customXml/itemProps4.xml><?xml version="1.0" encoding="utf-8"?>
<ds:datastoreItem xmlns:ds="http://schemas.openxmlformats.org/officeDocument/2006/customXml" ds:itemID="{7FBFE1D4-C569-468B-8AC5-CDE1AB770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TEL</Template>
  <TotalTime>1</TotalTime>
  <Pages>3</Pages>
  <Words>1341</Words>
  <Characters>7430</Characters>
  <Application>Microsoft Office Word</Application>
  <DocSecurity>0</DocSecurity>
  <PresentationFormat>Microsoft Word 8.0b</PresentationFormat>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8739</CharactersWithSpaces>
  <SharedDoc>false</SharedDoc>
  <HLinks>
    <vt:vector size="6" baseType="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DE BOECK Alicia (DGT)</cp:lastModifiedBy>
  <cp:revision>3</cp:revision>
  <cp:lastPrinted>2024-03-19T14:53:00Z</cp:lastPrinted>
  <dcterms:created xsi:type="dcterms:W3CDTF">2024-04-05T11:04:00Z</dcterms:created>
  <dcterms:modified xsi:type="dcterms:W3CDTF">2024-07-10T14:57:00Z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2024-02-29T14:32:31Z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277aab40-ad16-4651-84bb-49266c4d81f0</vt:lpwstr>
  </property>
  <property fmtid="{D5CDD505-2E9C-101B-9397-08002B2CF9AE}" pid="19" name="MSIP_Label_6bd9ddd1-4d20-43f6-abfa-fc3c07406f94_ContentBits">
    <vt:lpwstr>0</vt:lpwstr>
  </property>
  <property fmtid="{D5CDD505-2E9C-101B-9397-08002B2CF9AE}" pid="20" name="ContentTypeId">
    <vt:lpwstr>0x010100724FDE23FB365D4CB8B2901107175F9F</vt:lpwstr>
  </property>
</Properties>
</file>