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DA" w:rsidRPr="008C2BDA" w:rsidRDefault="008C2BDA" w:rsidP="008C2BDA">
      <w:pPr>
        <w:spacing w:after="240"/>
        <w:jc w:val="center"/>
        <w:rPr>
          <w:rFonts w:eastAsia="Times New Roman"/>
          <w:b/>
          <w:caps/>
          <w:szCs w:val="20"/>
          <w:lang w:eastAsia="en-GB"/>
        </w:rPr>
      </w:pPr>
      <w:bookmarkStart w:id="0" w:name="_GoBack"/>
      <w:bookmarkEnd w:id="0"/>
      <w:r w:rsidRPr="008C2BDA">
        <w:rPr>
          <w:rFonts w:eastAsia="Times New Roman"/>
          <w:b/>
          <w:szCs w:val="20"/>
          <w:lang w:eastAsia="en-GB"/>
        </w:rPr>
        <w:t xml:space="preserve">ORDINARY LEGISLATIVE </w:t>
      </w:r>
      <w:r w:rsidRPr="008C2BDA">
        <w:rPr>
          <w:rFonts w:eastAsia="Times New Roman"/>
          <w:b/>
          <w:caps/>
          <w:szCs w:val="20"/>
          <w:lang w:eastAsia="en-GB"/>
        </w:rPr>
        <w:t>procedure</w:t>
      </w:r>
    </w:p>
    <w:p w:rsidR="008C2BDA" w:rsidRPr="008C2BDA" w:rsidRDefault="008C2BDA" w:rsidP="008C2BDA">
      <w:pPr>
        <w:spacing w:after="240"/>
        <w:jc w:val="center"/>
        <w:rPr>
          <w:rFonts w:eastAsia="Times New Roman"/>
          <w:szCs w:val="20"/>
          <w:lang w:eastAsia="en-GB"/>
        </w:rPr>
      </w:pPr>
      <w:r w:rsidRPr="008C2BDA">
        <w:rPr>
          <w:rFonts w:eastAsia="Times New Roman"/>
          <w:b/>
          <w:smallCaps/>
          <w:szCs w:val="20"/>
          <w:lang w:eastAsia="en-GB"/>
        </w:rPr>
        <w:t>(First reading without prior interinstitutional negotiations)</w:t>
      </w:r>
    </w:p>
    <w:p w:rsidR="008C2BDA" w:rsidRPr="008C2BDA" w:rsidRDefault="008C2BDA" w:rsidP="008C2BDA">
      <w:pPr>
        <w:spacing w:after="600"/>
        <w:jc w:val="center"/>
        <w:rPr>
          <w:rFonts w:eastAsia="Times New Roman"/>
          <w:b/>
          <w:bCs/>
          <w:lang w:val="en-IE" w:eastAsia="en-GB"/>
        </w:rPr>
      </w:pPr>
      <w:bookmarkStart w:id="1" w:name="GCD"/>
      <w:r w:rsidRPr="008C2BDA">
        <w:rPr>
          <w:rFonts w:eastAsia="Times New Roman"/>
          <w:b/>
          <w:bCs/>
          <w:lang w:eastAsia="en-GB"/>
        </w:rPr>
        <w:t xml:space="preserve">Follow up to the </w:t>
      </w:r>
      <w:r w:rsidRPr="008C2BDA">
        <w:rPr>
          <w:rFonts w:eastAsia="Times New Roman"/>
          <w:b/>
          <w:lang w:eastAsia="en-GB"/>
        </w:rPr>
        <w:t>European Parliament legislative resolution</w:t>
      </w:r>
      <w:r w:rsidRPr="008C2BDA">
        <w:rPr>
          <w:rFonts w:eastAsia="Times New Roman"/>
          <w:b/>
          <w:bCs/>
          <w:lang w:eastAsia="en-GB"/>
        </w:rPr>
        <w:t xml:space="preserve"> </w:t>
      </w:r>
      <w:r w:rsidRPr="008C2BDA">
        <w:rPr>
          <w:rFonts w:eastAsia="Times New Roman"/>
          <w:b/>
          <w:bCs/>
          <w:lang w:val="en-IE" w:eastAsia="en-GB"/>
        </w:rPr>
        <w:t>on the proposal for a directive of the European Parliament and of the Council on substantiation and communication of explicit environmental claims (Green Claims Directive)</w:t>
      </w:r>
      <w:bookmarkEnd w:id="1"/>
    </w:p>
    <w:p w:rsidR="008C2BDA" w:rsidRPr="008C2BDA" w:rsidRDefault="008C2BDA" w:rsidP="008C2BDA">
      <w:pPr>
        <w:spacing w:after="240" w:line="240" w:lineRule="atLeast"/>
        <w:ind w:left="567" w:hanging="567"/>
        <w:jc w:val="left"/>
        <w:rPr>
          <w:rFonts w:eastAsia="Times New Roman"/>
          <w:szCs w:val="20"/>
          <w:lang w:val="en-IE" w:eastAsia="en-GB"/>
        </w:rPr>
      </w:pPr>
      <w:r w:rsidRPr="008C2BDA">
        <w:rPr>
          <w:rFonts w:eastAsia="Times New Roman"/>
          <w:b/>
          <w:szCs w:val="20"/>
          <w:lang w:val="en-IE" w:eastAsia="en-GB"/>
        </w:rPr>
        <w:t>1.</w:t>
      </w:r>
      <w:r w:rsidRPr="008C2BDA">
        <w:rPr>
          <w:rFonts w:eastAsia="Times New Roman"/>
          <w:b/>
          <w:szCs w:val="20"/>
          <w:lang w:val="en-IE" w:eastAsia="en-GB"/>
        </w:rPr>
        <w:tab/>
        <w:t xml:space="preserve">Rapporteur: </w:t>
      </w:r>
      <w:r w:rsidRPr="008C2BDA">
        <w:rPr>
          <w:rFonts w:eastAsia="Times New Roman"/>
          <w:bCs/>
          <w:szCs w:val="20"/>
          <w:lang w:val="en-IE" w:eastAsia="en-GB"/>
        </w:rPr>
        <w:t>Cyrus ENGERER (S&amp;D / MT), Andrus ANSIP (Renew / EE)</w:t>
      </w:r>
    </w:p>
    <w:p w:rsidR="008C2BDA" w:rsidRPr="008C2BDA" w:rsidRDefault="008C2BDA" w:rsidP="008C2BDA">
      <w:pPr>
        <w:spacing w:after="240" w:line="240" w:lineRule="atLeast"/>
        <w:ind w:left="567" w:hanging="567"/>
        <w:rPr>
          <w:rFonts w:eastAsia="Times New Roman"/>
          <w:szCs w:val="20"/>
          <w:lang w:val="en-IE" w:eastAsia="en-GB"/>
        </w:rPr>
      </w:pPr>
      <w:r w:rsidRPr="008C2BDA">
        <w:rPr>
          <w:rFonts w:eastAsia="Times New Roman"/>
          <w:b/>
          <w:szCs w:val="20"/>
          <w:lang w:val="en-IE" w:eastAsia="en-GB"/>
        </w:rPr>
        <w:t>2.</w:t>
      </w:r>
      <w:r w:rsidRPr="008C2BDA">
        <w:rPr>
          <w:rFonts w:eastAsia="Times New Roman"/>
          <w:b/>
          <w:szCs w:val="20"/>
          <w:lang w:val="en-IE" w:eastAsia="en-GB"/>
        </w:rPr>
        <w:tab/>
        <w:t>Reference numbers:</w:t>
      </w:r>
      <w:r w:rsidRPr="008C2BDA">
        <w:rPr>
          <w:rFonts w:eastAsia="Times New Roman"/>
          <w:szCs w:val="20"/>
          <w:lang w:val="en-IE" w:eastAsia="en-GB"/>
        </w:rPr>
        <w:t xml:space="preserve"> 2023/0085 (COD) /</w:t>
      </w:r>
      <w:r w:rsidRPr="008C2BDA">
        <w:rPr>
          <w:rFonts w:eastAsia="Times New Roman"/>
          <w:noProof/>
          <w:lang w:val="en-IE" w:eastAsia="en-GB"/>
        </w:rPr>
        <w:t xml:space="preserve"> A9</w:t>
      </w:r>
      <w:r w:rsidRPr="008C2BDA">
        <w:rPr>
          <w:rFonts w:eastAsia="Times New Roman"/>
          <w:szCs w:val="20"/>
          <w:lang w:val="en-IE" w:eastAsia="en-GB"/>
        </w:rPr>
        <w:t>-0056/2024 / P9_TA(2024)0131</w:t>
      </w:r>
    </w:p>
    <w:p w:rsidR="008C2BDA" w:rsidRPr="008C2BDA" w:rsidRDefault="008C2BDA" w:rsidP="008C2BDA">
      <w:pPr>
        <w:spacing w:after="240" w:line="240" w:lineRule="atLeast"/>
        <w:ind w:left="567" w:hanging="567"/>
        <w:jc w:val="left"/>
        <w:rPr>
          <w:rFonts w:eastAsia="Times New Roman"/>
          <w:szCs w:val="20"/>
          <w:lang w:eastAsia="en-GB"/>
        </w:rPr>
      </w:pPr>
      <w:r w:rsidRPr="008C2BDA">
        <w:rPr>
          <w:rFonts w:eastAsia="Times New Roman"/>
          <w:b/>
          <w:szCs w:val="20"/>
          <w:lang w:eastAsia="en-GB"/>
        </w:rPr>
        <w:t>3.</w:t>
      </w:r>
      <w:r w:rsidRPr="008C2BDA">
        <w:rPr>
          <w:rFonts w:eastAsia="Times New Roman"/>
          <w:b/>
          <w:szCs w:val="20"/>
          <w:lang w:eastAsia="en-GB"/>
        </w:rPr>
        <w:tab/>
        <w:t>Date of adoption of the resolution:</w:t>
      </w:r>
      <w:r w:rsidRPr="008C2BDA">
        <w:rPr>
          <w:rFonts w:eastAsia="Times New Roman"/>
          <w:bCs/>
          <w:szCs w:val="20"/>
          <w:lang w:eastAsia="en-GB"/>
        </w:rPr>
        <w:t xml:space="preserve"> 12 March</w:t>
      </w:r>
      <w:r w:rsidRPr="008C2BDA">
        <w:rPr>
          <w:rFonts w:eastAsia="Times New Roman"/>
          <w:szCs w:val="20"/>
          <w:lang w:eastAsia="en-GB"/>
        </w:rPr>
        <w:t xml:space="preserve"> 2024</w:t>
      </w:r>
    </w:p>
    <w:p w:rsidR="008C2BDA" w:rsidRPr="008C2BDA" w:rsidRDefault="008C2BDA" w:rsidP="008C2BDA">
      <w:pPr>
        <w:spacing w:after="240" w:line="240" w:lineRule="atLeast"/>
        <w:ind w:left="567" w:hanging="567"/>
        <w:rPr>
          <w:rFonts w:eastAsia="Times New Roman"/>
          <w:szCs w:val="20"/>
          <w:lang w:eastAsia="en-GB"/>
        </w:rPr>
      </w:pPr>
      <w:r w:rsidRPr="008C2BDA">
        <w:rPr>
          <w:rFonts w:eastAsia="Times New Roman"/>
          <w:b/>
          <w:szCs w:val="20"/>
          <w:lang w:eastAsia="en-GB"/>
        </w:rPr>
        <w:t>4.</w:t>
      </w:r>
      <w:r w:rsidRPr="008C2BDA">
        <w:rPr>
          <w:rFonts w:eastAsia="Times New Roman"/>
          <w:b/>
          <w:szCs w:val="20"/>
          <w:lang w:eastAsia="en-GB"/>
        </w:rPr>
        <w:tab/>
        <w:t xml:space="preserve">Legal basis: </w:t>
      </w:r>
      <w:r w:rsidRPr="008C2BDA">
        <w:rPr>
          <w:rFonts w:eastAsia="Times New Roman"/>
          <w:szCs w:val="20"/>
          <w:lang w:val="en-IE" w:eastAsia="en-GB"/>
        </w:rPr>
        <w:t xml:space="preserve">Article 114 </w:t>
      </w:r>
      <w:r w:rsidRPr="008C2BDA">
        <w:rPr>
          <w:rFonts w:eastAsia="Times New Roman"/>
          <w:szCs w:val="20"/>
          <w:lang w:eastAsia="en-GB"/>
        </w:rPr>
        <w:t>of the Treaty on the Functioning of the European Union</w:t>
      </w:r>
    </w:p>
    <w:p w:rsidR="008C2BDA" w:rsidRPr="008C2BDA" w:rsidRDefault="008C2BDA" w:rsidP="008C2BDA">
      <w:pPr>
        <w:spacing w:after="240" w:line="240" w:lineRule="atLeast"/>
        <w:ind w:left="567" w:hanging="567"/>
        <w:rPr>
          <w:rFonts w:eastAsia="Times New Roman"/>
          <w:lang w:val="en-IE" w:eastAsia="en-GB"/>
        </w:rPr>
      </w:pPr>
      <w:r w:rsidRPr="008C2BDA">
        <w:rPr>
          <w:rFonts w:eastAsia="Times New Roman"/>
          <w:b/>
          <w:szCs w:val="20"/>
          <w:lang w:eastAsia="en-GB"/>
        </w:rPr>
        <w:t>5.</w:t>
      </w:r>
      <w:r w:rsidRPr="008C2BDA">
        <w:rPr>
          <w:rFonts w:eastAsia="Times New Roman"/>
          <w:b/>
          <w:szCs w:val="20"/>
          <w:lang w:eastAsia="en-GB"/>
        </w:rPr>
        <w:tab/>
        <w:t>Competent Parliamentary Committee:</w:t>
      </w:r>
      <w:r w:rsidRPr="008C2BDA">
        <w:rPr>
          <w:rFonts w:eastAsia="Times New Roman"/>
          <w:bCs/>
          <w:szCs w:val="20"/>
          <w:lang w:eastAsia="en-GB"/>
        </w:rPr>
        <w:t xml:space="preserve"> </w:t>
      </w:r>
      <w:r w:rsidRPr="008C2BDA">
        <w:rPr>
          <w:rFonts w:eastAsia="Times New Roman"/>
          <w:lang w:val="en-IE" w:eastAsia="en-GB"/>
        </w:rPr>
        <w:t>Committee on Environment, Public Health and Food Safety (ENVI), Committee on Internal Market and Consumer Protection (IMCO)</w:t>
      </w:r>
    </w:p>
    <w:p w:rsidR="008C2BDA" w:rsidRPr="008C2BDA" w:rsidRDefault="008C2BDA" w:rsidP="008C2BDA">
      <w:pPr>
        <w:tabs>
          <w:tab w:val="left" w:pos="567"/>
        </w:tabs>
        <w:spacing w:after="120"/>
        <w:ind w:left="567" w:hanging="567"/>
        <w:rPr>
          <w:rFonts w:eastAsia="Times New Roman"/>
          <w:color w:val="000000"/>
          <w:lang w:eastAsia="en-GB"/>
        </w:rPr>
      </w:pPr>
      <w:r w:rsidRPr="008C2BDA">
        <w:rPr>
          <w:rFonts w:eastAsia="Times New Roman"/>
          <w:b/>
          <w:szCs w:val="20"/>
          <w:lang w:eastAsia="en-GB"/>
        </w:rPr>
        <w:t>6.</w:t>
      </w:r>
      <w:r w:rsidRPr="008C2BDA">
        <w:rPr>
          <w:rFonts w:eastAsia="Times New Roman"/>
          <w:b/>
          <w:szCs w:val="20"/>
          <w:lang w:eastAsia="en-GB"/>
        </w:rPr>
        <w:tab/>
        <w:t>Commission's position:</w:t>
      </w:r>
      <w:r w:rsidRPr="008C2BDA">
        <w:rPr>
          <w:rFonts w:eastAsia="Times New Roman"/>
          <w:color w:val="000000"/>
          <w:sz w:val="22"/>
          <w:szCs w:val="22"/>
          <w:lang w:eastAsia="en-GB"/>
        </w:rPr>
        <w:t xml:space="preserve"> </w:t>
      </w:r>
      <w:r w:rsidRPr="008C2BDA">
        <w:rPr>
          <w:rFonts w:eastAsia="Times New Roman"/>
          <w:color w:val="000000"/>
          <w:lang w:eastAsia="en-GB"/>
        </w:rPr>
        <w:t>At this stage, the Commission</w:t>
      </w:r>
      <w:r w:rsidRPr="008C2BDA">
        <w:rPr>
          <w:rFonts w:eastAsia="Times New Roman"/>
          <w:szCs w:val="20"/>
          <w:lang w:val="en-IE" w:eastAsia="en-GB"/>
        </w:rPr>
        <w:t xml:space="preserve"> reserves its position, pending the adoption of the Council’s General Approach and the subsequent trilogue negotiations, while</w:t>
      </w:r>
      <w:r w:rsidRPr="008C2BDA">
        <w:rPr>
          <w:rFonts w:eastAsia="Times New Roman"/>
          <w:color w:val="000000"/>
          <w:lang w:eastAsia="en-GB"/>
        </w:rPr>
        <w:t xml:space="preserve"> drawing attention to the following points:</w:t>
      </w:r>
    </w:p>
    <w:p w:rsidR="008C2BDA" w:rsidRPr="008C2BDA" w:rsidRDefault="008C2BDA" w:rsidP="008C2BDA">
      <w:pPr>
        <w:numPr>
          <w:ilvl w:val="0"/>
          <w:numId w:val="1"/>
        </w:numPr>
        <w:pBdr>
          <w:top w:val="nil"/>
          <w:left w:val="nil"/>
          <w:bottom w:val="nil"/>
          <w:right w:val="nil"/>
          <w:between w:val="nil"/>
          <w:bar w:val="nil"/>
        </w:pBdr>
        <w:spacing w:after="120" w:line="240" w:lineRule="atLeast"/>
        <w:ind w:left="567" w:hanging="567"/>
        <w:jc w:val="left"/>
        <w:rPr>
          <w:rFonts w:eastAsia="Times New Roman"/>
          <w:szCs w:val="20"/>
          <w:lang w:val="en-IE" w:eastAsia="en-GB"/>
        </w:rPr>
      </w:pPr>
      <w:r w:rsidRPr="008C2BDA">
        <w:rPr>
          <w:rFonts w:eastAsia="Times New Roman"/>
          <w:szCs w:val="20"/>
          <w:lang w:val="en-IE" w:eastAsia="en-GB"/>
        </w:rPr>
        <w:t>The Commission welcomes the support of the Parliament for maintaining the ambition of core elements of the proposal and the useful clarifications in the text, notably as regards the substantiation of claims, the governance of labelling schemes, the ex-ante verification requirements and the rules on enforcement.</w:t>
      </w:r>
    </w:p>
    <w:p w:rsidR="008765BE" w:rsidRDefault="008C2BDA" w:rsidP="008C2BDA">
      <w:r w:rsidRPr="008C2BDA">
        <w:rPr>
          <w:rFonts w:eastAsia="Times New Roman"/>
          <w:szCs w:val="20"/>
          <w:lang w:val="en-IE" w:eastAsia="en-GB"/>
        </w:rPr>
        <w:t>The Commission expresses concerns about amendments regarding climate related claims and their likely negative repercussions on voluntary carbon markets; about amendments that would diminish the effectiveness of the rules in stopping the proliferation of labels on the EU single market; and about amendments adding numerous obligations for the Commission, which would result in a considerable higher workload. The Commission calls also for careful consideration of introducing divergent deadlines for application of the rules, which would adversely impact their efficient implementation, effective consumer protection and enforceability by competent authorities.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3607B"/>
    <w:multiLevelType w:val="hybridMultilevel"/>
    <w:tmpl w:val="481000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DA"/>
    <w:rsid w:val="005762E3"/>
    <w:rsid w:val="008765BE"/>
    <w:rsid w:val="008C2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596D6-E418-4017-8B19-E60BB519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Company>European Parliament</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2024-07-22T13:15:00Z</dcterms:created>
  <dcterms:modified xsi:type="dcterms:W3CDTF">2024-07-22T13:15:00Z</dcterms:modified>
</cp:coreProperties>
</file>