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7F" w:rsidRPr="009F687F" w:rsidRDefault="009F687F" w:rsidP="009F687F">
      <w:pPr>
        <w:spacing w:after="240"/>
        <w:jc w:val="center"/>
        <w:rPr>
          <w:rFonts w:eastAsia="Times New Roman"/>
          <w:szCs w:val="20"/>
          <w:lang w:val="fr-FR" w:eastAsia="en-GB"/>
        </w:rPr>
      </w:pPr>
      <w:bookmarkStart w:id="0" w:name="_GoBack"/>
      <w:bookmarkEnd w:id="0"/>
      <w:r w:rsidRPr="009F687F">
        <w:rPr>
          <w:rFonts w:eastAsia="Times New Roman"/>
          <w:b/>
          <w:caps/>
          <w:szCs w:val="20"/>
          <w:lang w:val="fr-FR" w:eastAsia="en-GB"/>
        </w:rPr>
        <w:t>procédure</w:t>
      </w:r>
      <w:r w:rsidRPr="009F687F">
        <w:rPr>
          <w:rFonts w:eastAsia="Times New Roman"/>
          <w:b/>
          <w:szCs w:val="20"/>
          <w:lang w:val="fr-FR" w:eastAsia="en-GB"/>
        </w:rPr>
        <w:t xml:space="preserve"> LÉGISLATIVE ORDINAIRE</w:t>
      </w:r>
    </w:p>
    <w:p w:rsidR="009F687F" w:rsidRPr="009F687F" w:rsidRDefault="009F687F" w:rsidP="009F687F">
      <w:pPr>
        <w:spacing w:after="240"/>
        <w:jc w:val="center"/>
        <w:rPr>
          <w:rFonts w:eastAsia="Times New Roman"/>
          <w:szCs w:val="20"/>
          <w:lang w:val="fr-FR" w:eastAsia="en-GB"/>
        </w:rPr>
      </w:pPr>
      <w:r w:rsidRPr="009F687F">
        <w:rPr>
          <w:rFonts w:eastAsia="Times New Roman"/>
          <w:b/>
          <w:smallCaps/>
          <w:szCs w:val="20"/>
          <w:lang w:val="fr-FR" w:eastAsia="en-GB"/>
        </w:rPr>
        <w:t>(Première lecture sans négociations interinstitutionnelles préalables)</w:t>
      </w:r>
    </w:p>
    <w:p w:rsidR="009F687F" w:rsidRPr="009F687F" w:rsidRDefault="009F687F" w:rsidP="009F687F">
      <w:pPr>
        <w:spacing w:after="600"/>
        <w:jc w:val="center"/>
        <w:rPr>
          <w:rFonts w:eastAsia="Times New Roman"/>
          <w:b/>
          <w:bCs/>
          <w:lang w:val="fr-FR" w:eastAsia="en-GB"/>
        </w:rPr>
      </w:pPr>
      <w:bookmarkStart w:id="1" w:name="EMSA"/>
      <w:r w:rsidRPr="009F687F">
        <w:rPr>
          <w:rFonts w:eastAsia="Times New Roman"/>
          <w:b/>
          <w:szCs w:val="20"/>
          <w:lang w:val="fr-FR" w:eastAsia="en-GB"/>
        </w:rPr>
        <w:t>Suite donnée à la résolution législative du Parlement européen sur la proposition de règlement du Parlement européen et du Conseil relatif à l’Agence européenne pour la sécurité maritime et abrogeant le règlement (CE) nº 1406/2002</w:t>
      </w:r>
      <w:bookmarkEnd w:id="1"/>
    </w:p>
    <w:p w:rsidR="009F687F" w:rsidRPr="009F687F" w:rsidRDefault="009F687F" w:rsidP="009F687F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9F687F">
        <w:rPr>
          <w:rFonts w:eastAsia="Times New Roman"/>
          <w:b/>
          <w:szCs w:val="20"/>
          <w:lang w:val="fr-FR" w:eastAsia="en-GB"/>
        </w:rPr>
        <w:t>1.</w:t>
      </w:r>
      <w:r w:rsidRPr="009F687F">
        <w:rPr>
          <w:rFonts w:eastAsia="Times New Roman"/>
          <w:b/>
          <w:szCs w:val="20"/>
          <w:lang w:val="fr-FR" w:eastAsia="en-GB"/>
        </w:rPr>
        <w:tab/>
        <w:t xml:space="preserve">Rapporteure: </w:t>
      </w:r>
      <w:r w:rsidRPr="009F687F">
        <w:rPr>
          <w:rFonts w:eastAsia="Times New Roman"/>
          <w:szCs w:val="20"/>
          <w:lang w:val="fr-FR" w:eastAsia="en-GB"/>
        </w:rPr>
        <w:t>Cláudia MONTEIRO DE AGUIAR (PPE / PT)</w:t>
      </w:r>
    </w:p>
    <w:p w:rsidR="009F687F" w:rsidRPr="009F687F" w:rsidRDefault="009F687F" w:rsidP="009F687F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9F687F">
        <w:rPr>
          <w:rFonts w:eastAsia="Times New Roman"/>
          <w:b/>
          <w:szCs w:val="20"/>
          <w:lang w:val="fr-FR" w:eastAsia="en-GB"/>
        </w:rPr>
        <w:t>2.</w:t>
      </w:r>
      <w:r w:rsidRPr="009F687F">
        <w:rPr>
          <w:rFonts w:eastAsia="Times New Roman"/>
          <w:b/>
          <w:szCs w:val="20"/>
          <w:lang w:val="fr-FR" w:eastAsia="en-GB"/>
        </w:rPr>
        <w:tab/>
        <w:t>Numéros de référence:</w:t>
      </w:r>
      <w:r w:rsidRPr="009F687F">
        <w:rPr>
          <w:rFonts w:eastAsia="Times New Roman"/>
          <w:szCs w:val="20"/>
          <w:lang w:val="fr-FR" w:eastAsia="en-GB"/>
        </w:rPr>
        <w:t xml:space="preserve"> 2023/0163 (COD) / A9-0423/2023 / P9_TA(2024)0134</w:t>
      </w:r>
    </w:p>
    <w:p w:rsidR="009F687F" w:rsidRPr="009F687F" w:rsidRDefault="009F687F" w:rsidP="009F687F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9F687F">
        <w:rPr>
          <w:rFonts w:eastAsia="Times New Roman"/>
          <w:b/>
          <w:szCs w:val="20"/>
          <w:lang w:val="fr-FR" w:eastAsia="en-GB"/>
        </w:rPr>
        <w:t>3.</w:t>
      </w:r>
      <w:r w:rsidRPr="009F687F">
        <w:rPr>
          <w:rFonts w:eastAsia="Times New Roman"/>
          <w:b/>
          <w:szCs w:val="20"/>
          <w:lang w:val="fr-FR" w:eastAsia="en-GB"/>
        </w:rPr>
        <w:tab/>
        <w:t>Date d’adoption de la résolution:</w:t>
      </w:r>
      <w:r w:rsidRPr="009F687F">
        <w:rPr>
          <w:rFonts w:eastAsia="Times New Roman"/>
          <w:szCs w:val="20"/>
          <w:lang w:val="fr-FR" w:eastAsia="en-GB"/>
        </w:rPr>
        <w:t xml:space="preserve"> 12 mars 2024</w:t>
      </w:r>
    </w:p>
    <w:p w:rsidR="009F687F" w:rsidRPr="009F687F" w:rsidRDefault="009F687F" w:rsidP="009F687F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9F687F">
        <w:rPr>
          <w:rFonts w:eastAsia="Times New Roman"/>
          <w:b/>
          <w:szCs w:val="20"/>
          <w:lang w:val="fr-FR" w:eastAsia="en-GB"/>
        </w:rPr>
        <w:t>4.</w:t>
      </w:r>
      <w:r w:rsidRPr="009F687F">
        <w:rPr>
          <w:rFonts w:eastAsia="Times New Roman"/>
          <w:b/>
          <w:szCs w:val="20"/>
          <w:lang w:val="fr-FR" w:eastAsia="en-GB"/>
        </w:rPr>
        <w:tab/>
        <w:t xml:space="preserve">Base juridique: </w:t>
      </w:r>
      <w:r w:rsidRPr="009F687F">
        <w:rPr>
          <w:rFonts w:eastAsia="Times New Roman"/>
          <w:szCs w:val="20"/>
          <w:lang w:val="fr-FR" w:eastAsia="en-GB"/>
        </w:rPr>
        <w:t>article 100, paragraphe 2, du traité sur le fonctionnement de l’Union européenne</w:t>
      </w:r>
    </w:p>
    <w:p w:rsidR="009F687F" w:rsidRPr="009F687F" w:rsidRDefault="009F687F" w:rsidP="009F687F">
      <w:pPr>
        <w:spacing w:after="240" w:line="240" w:lineRule="atLeast"/>
        <w:ind w:left="567" w:hanging="567"/>
        <w:rPr>
          <w:rFonts w:eastAsia="Times New Roman"/>
          <w:lang w:val="fr-FR" w:eastAsia="en-GB"/>
        </w:rPr>
      </w:pPr>
      <w:r w:rsidRPr="009F687F">
        <w:rPr>
          <w:rFonts w:eastAsia="Times New Roman"/>
          <w:b/>
          <w:szCs w:val="20"/>
          <w:lang w:val="fr-FR" w:eastAsia="en-GB"/>
        </w:rPr>
        <w:t>5.</w:t>
      </w:r>
      <w:r w:rsidRPr="009F687F">
        <w:rPr>
          <w:rFonts w:eastAsia="Times New Roman"/>
          <w:b/>
          <w:szCs w:val="20"/>
          <w:lang w:val="fr-FR" w:eastAsia="en-GB"/>
        </w:rPr>
        <w:tab/>
        <w:t>Commission parlementaire compétente:</w:t>
      </w:r>
      <w:r w:rsidRPr="009F687F">
        <w:rPr>
          <w:rFonts w:eastAsia="Times New Roman"/>
          <w:szCs w:val="20"/>
          <w:lang w:val="fr-FR" w:eastAsia="en-GB"/>
        </w:rPr>
        <w:t xml:space="preserve"> commission des transports et du tourisme (TRAN)</w:t>
      </w:r>
    </w:p>
    <w:p w:rsidR="008765BE" w:rsidRDefault="009F687F" w:rsidP="009F687F">
      <w:r w:rsidRPr="009F687F">
        <w:rPr>
          <w:rFonts w:eastAsia="Times New Roman"/>
          <w:b/>
          <w:szCs w:val="20"/>
          <w:lang w:val="fr-FR" w:eastAsia="en-GB"/>
        </w:rPr>
        <w:t>6.</w:t>
      </w:r>
      <w:r w:rsidRPr="009F687F">
        <w:rPr>
          <w:rFonts w:eastAsia="Times New Roman"/>
          <w:b/>
          <w:szCs w:val="20"/>
          <w:lang w:val="fr-FR" w:eastAsia="en-GB"/>
        </w:rPr>
        <w:tab/>
        <w:t>Position de la Commission:</w:t>
      </w:r>
      <w:r w:rsidRPr="009F687F">
        <w:rPr>
          <w:rFonts w:eastAsia="Times New Roman"/>
          <w:color w:val="000000"/>
          <w:sz w:val="22"/>
          <w:szCs w:val="20"/>
          <w:lang w:val="fr-FR" w:eastAsia="en-GB"/>
        </w:rPr>
        <w:t xml:space="preserve"> </w:t>
      </w:r>
      <w:r w:rsidRPr="009F687F">
        <w:rPr>
          <w:rFonts w:eastAsia="Times New Roman"/>
          <w:color w:val="000000"/>
          <w:szCs w:val="20"/>
          <w:lang w:val="fr-FR" w:eastAsia="en-GB"/>
        </w:rPr>
        <w:t>tout en réservant sa position jusqu’à l’ouverture des négociations interinstitutionnelles, la Commission se félicite néanmoins du soutien résolu apporté par le Parlement à la proposition. La Commission nourrit cependant certaines inquiétudes quant aux amendements qui limiteraient le contrôle exercé par la Commission sur l’Agence en ce qui concerne les ressources humaines et les questions budgétaires.</w:t>
      </w:r>
    </w:p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7F"/>
    <w:rsid w:val="005762E3"/>
    <w:rsid w:val="008765BE"/>
    <w:rsid w:val="009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5EE3F-DCB5-4868-BA5A-A1BB09B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European Parliament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2024-07-22T13:16:00Z</dcterms:created>
  <dcterms:modified xsi:type="dcterms:W3CDTF">2024-07-22T13:16:00Z</dcterms:modified>
</cp:coreProperties>
</file>