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E4" w:rsidRPr="005A4AE4" w:rsidRDefault="005A4AE4" w:rsidP="005A4AE4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5A4AE4">
        <w:rPr>
          <w:rFonts w:eastAsia="Times New Roman"/>
          <w:b/>
          <w:szCs w:val="20"/>
          <w:lang w:val="fr-FR" w:eastAsia="en-GB"/>
        </w:rPr>
        <w:t>PROCÉDURE LEGISLATIVE ORDINAIRE</w:t>
      </w:r>
    </w:p>
    <w:p w:rsidR="005A4AE4" w:rsidRPr="005A4AE4" w:rsidRDefault="005A4AE4" w:rsidP="005A4AE4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financial"/>
      <w:r w:rsidRPr="005A4AE4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règlement du Parlement européen et du Conseil relatif aux règles financières applicables au budget général de l’Union (refonte)</w:t>
      </w:r>
      <w:bookmarkEnd w:id="1"/>
    </w:p>
    <w:p w:rsidR="005A4AE4" w:rsidRPr="005A4AE4" w:rsidRDefault="005A4AE4" w:rsidP="005A4AE4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5A4AE4">
        <w:rPr>
          <w:rFonts w:eastAsia="Times New Roman"/>
          <w:b/>
          <w:szCs w:val="20"/>
          <w:lang w:val="fr-FR" w:eastAsia="en-GB"/>
        </w:rPr>
        <w:t>1.</w:t>
      </w:r>
      <w:r w:rsidRPr="005A4AE4">
        <w:rPr>
          <w:rFonts w:eastAsia="Times New Roman"/>
          <w:b/>
          <w:szCs w:val="20"/>
          <w:lang w:val="fr-FR" w:eastAsia="en-GB"/>
        </w:rPr>
        <w:tab/>
        <w:t xml:space="preserve">Rapporteurs: </w:t>
      </w:r>
      <w:r w:rsidRPr="005A4AE4">
        <w:rPr>
          <w:rFonts w:eastAsia="Times New Roman"/>
          <w:szCs w:val="20"/>
          <w:lang w:val="fr-FR" w:eastAsia="en-GB"/>
        </w:rPr>
        <w:t>Monika HOHLMEIER (PPE / DE), Nils UŠAKOVS (S&amp;D / LV)</w:t>
      </w:r>
    </w:p>
    <w:p w:rsidR="005A4AE4" w:rsidRPr="005A4AE4" w:rsidRDefault="005A4AE4" w:rsidP="005A4AE4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5A4AE4">
        <w:rPr>
          <w:rFonts w:eastAsia="Times New Roman"/>
          <w:b/>
          <w:szCs w:val="20"/>
          <w:lang w:val="fr-FR" w:eastAsia="en-GB"/>
        </w:rPr>
        <w:t>2.</w:t>
      </w:r>
      <w:r w:rsidRPr="005A4AE4">
        <w:rPr>
          <w:rFonts w:eastAsia="Times New Roman"/>
          <w:b/>
          <w:szCs w:val="20"/>
          <w:lang w:val="fr-FR" w:eastAsia="en-GB"/>
        </w:rPr>
        <w:tab/>
        <w:t>Numéros de référence:</w:t>
      </w:r>
      <w:r w:rsidRPr="005A4AE4">
        <w:rPr>
          <w:rFonts w:eastAsia="Times New Roman"/>
          <w:szCs w:val="20"/>
          <w:lang w:val="fr-FR" w:eastAsia="en-GB"/>
        </w:rPr>
        <w:t xml:space="preserve"> 2022/0162 (COD) / A9-0180/2023 / P9_TA(2024)0163</w:t>
      </w:r>
    </w:p>
    <w:p w:rsidR="005A4AE4" w:rsidRPr="005A4AE4" w:rsidRDefault="005A4AE4" w:rsidP="005A4AE4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5A4AE4">
        <w:rPr>
          <w:rFonts w:eastAsia="Times New Roman"/>
          <w:b/>
          <w:szCs w:val="20"/>
          <w:lang w:val="fr-FR" w:eastAsia="en-GB"/>
        </w:rPr>
        <w:t>3.</w:t>
      </w:r>
      <w:r w:rsidRPr="005A4AE4">
        <w:rPr>
          <w:rFonts w:eastAsia="Times New Roman"/>
          <w:b/>
          <w:szCs w:val="20"/>
          <w:lang w:val="fr-FR" w:eastAsia="en-GB"/>
        </w:rPr>
        <w:tab/>
        <w:t>Date d’adoption de la résolution:</w:t>
      </w:r>
      <w:r w:rsidRPr="005A4AE4">
        <w:rPr>
          <w:rFonts w:eastAsia="Times New Roman"/>
          <w:szCs w:val="20"/>
          <w:lang w:val="fr-FR" w:eastAsia="en-GB"/>
        </w:rPr>
        <w:t xml:space="preserve"> 14 mars 2024</w:t>
      </w:r>
    </w:p>
    <w:p w:rsidR="005A4AE4" w:rsidRPr="005A4AE4" w:rsidRDefault="005A4AE4" w:rsidP="005A4AE4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5A4AE4">
        <w:rPr>
          <w:rFonts w:eastAsia="Times New Roman"/>
          <w:b/>
          <w:szCs w:val="20"/>
          <w:lang w:val="fr-FR" w:eastAsia="en-GB"/>
        </w:rPr>
        <w:t>4.</w:t>
      </w:r>
      <w:r w:rsidRPr="005A4AE4">
        <w:rPr>
          <w:rFonts w:eastAsia="Times New Roman"/>
          <w:b/>
          <w:szCs w:val="20"/>
          <w:lang w:val="fr-FR" w:eastAsia="en-GB"/>
        </w:rPr>
        <w:tab/>
        <w:t xml:space="preserve">Base juridique: </w:t>
      </w:r>
      <w:r w:rsidRPr="005A4AE4">
        <w:rPr>
          <w:rFonts w:eastAsia="Times New Roman"/>
          <w:szCs w:val="20"/>
          <w:lang w:val="fr-FR" w:eastAsia="en-GB"/>
        </w:rPr>
        <w:t>article 322, paragraphe 1, du traité sur le fonctionnement de l’Union européenne et article 106 </w:t>
      </w:r>
      <w:r w:rsidRPr="005A4AE4">
        <w:rPr>
          <w:rFonts w:eastAsia="Times New Roman"/>
          <w:i/>
          <w:iCs/>
          <w:szCs w:val="20"/>
          <w:lang w:val="fr-FR" w:eastAsia="en-GB"/>
        </w:rPr>
        <w:t>bis</w:t>
      </w:r>
      <w:r w:rsidRPr="005A4AE4">
        <w:rPr>
          <w:rFonts w:eastAsia="Times New Roman"/>
          <w:szCs w:val="20"/>
          <w:lang w:val="fr-FR" w:eastAsia="en-GB"/>
        </w:rPr>
        <w:t xml:space="preserve"> du traité instituant la Communauté européenne de l'énergie atomique</w:t>
      </w:r>
    </w:p>
    <w:p w:rsidR="005A4AE4" w:rsidRPr="005A4AE4" w:rsidRDefault="005A4AE4" w:rsidP="005A4AE4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5A4AE4">
        <w:rPr>
          <w:rFonts w:eastAsia="Times New Roman"/>
          <w:b/>
          <w:szCs w:val="20"/>
          <w:lang w:val="fr-FR" w:eastAsia="en-GB"/>
        </w:rPr>
        <w:t>5.</w:t>
      </w:r>
      <w:r w:rsidRPr="005A4AE4">
        <w:rPr>
          <w:rFonts w:eastAsia="Times New Roman"/>
          <w:b/>
          <w:szCs w:val="20"/>
          <w:lang w:val="fr-FR" w:eastAsia="en-GB"/>
        </w:rPr>
        <w:tab/>
        <w:t>Commissions parlementaires compétentes:</w:t>
      </w:r>
      <w:r w:rsidRPr="005A4AE4">
        <w:rPr>
          <w:rFonts w:eastAsia="Times New Roman"/>
          <w:szCs w:val="20"/>
          <w:lang w:val="fr-FR" w:eastAsia="en-GB"/>
        </w:rPr>
        <w:t xml:space="preserve"> commission du contrôle budgétaire (CONT), commission des budgets (BUDG)</w:t>
      </w:r>
    </w:p>
    <w:p w:rsidR="005A4AE4" w:rsidRPr="005A4AE4" w:rsidRDefault="005A4AE4" w:rsidP="005A4AE4">
      <w:pPr>
        <w:tabs>
          <w:tab w:val="left" w:pos="567"/>
        </w:tabs>
        <w:spacing w:after="120"/>
        <w:rPr>
          <w:rFonts w:eastAsia="Times New Roman"/>
          <w:color w:val="000000"/>
          <w:lang w:val="fr-FR" w:eastAsia="en-GB"/>
        </w:rPr>
      </w:pPr>
      <w:r w:rsidRPr="005A4AE4">
        <w:rPr>
          <w:rFonts w:eastAsia="Times New Roman"/>
          <w:b/>
          <w:szCs w:val="20"/>
          <w:lang w:val="fr-FR" w:eastAsia="en-GB"/>
        </w:rPr>
        <w:t>6.</w:t>
      </w:r>
      <w:r w:rsidRPr="005A4AE4">
        <w:rPr>
          <w:rFonts w:eastAsia="Times New Roman"/>
          <w:b/>
          <w:szCs w:val="20"/>
          <w:lang w:val="fr-FR" w:eastAsia="en-GB"/>
        </w:rPr>
        <w:tab/>
        <w:t>Position de la Commission:</w:t>
      </w:r>
      <w:r w:rsidRPr="005A4AE4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5A4AE4">
        <w:rPr>
          <w:rFonts w:eastAsia="Times New Roman"/>
          <w:color w:val="000000"/>
          <w:szCs w:val="20"/>
          <w:lang w:val="fr-FR" w:eastAsia="en-GB"/>
        </w:rPr>
        <w:t>la Commission accepte tous les amendements. La Commission a présenté la déclaration suivante</w:t>
      </w:r>
      <w:r w:rsidRPr="005A4AE4">
        <w:rPr>
          <w:rFonts w:eastAsia="Times New Roman"/>
          <w:szCs w:val="20"/>
          <w:lang w:val="fr-FR" w:eastAsia="en-GB"/>
        </w:rPr>
        <w:t xml:space="preserve"> au sujet de l’outil d’exploration de données et de calcul du risque et de la publication de données sur les destinataires de fonds de l’Union:</w:t>
      </w:r>
    </w:p>
    <w:p w:rsidR="008765BE" w:rsidRDefault="005A4AE4" w:rsidP="005A4AE4">
      <w:r w:rsidRPr="005A4AE4">
        <w:rPr>
          <w:rFonts w:eastAsia="Times New Roman"/>
          <w:szCs w:val="20"/>
          <w:lang w:val="fr-FR" w:eastAsia="en-GB"/>
        </w:rPr>
        <w:t>«La Commission considère que le renvoi à l’article 38, paragraphe 1, fait à l’article 36, paragraphe 10, en ce qui concerne la notion de destinataire n’élargit pas la portée des obligations des États membres énoncées dans la réglementation sectorielle.»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E4"/>
    <w:rsid w:val="005762E3"/>
    <w:rsid w:val="005A4AE4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35D6D-B9F5-4243-9A3B-23E80B4C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>European Parliament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2024-07-22T13:16:00Z</dcterms:created>
  <dcterms:modified xsi:type="dcterms:W3CDTF">2024-07-22T13:16:00Z</dcterms:modified>
</cp:coreProperties>
</file>