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2CAD" w:rsidRPr="003F2CAD" w:rsidRDefault="003F2CAD" w:rsidP="003F2CAD">
      <w:pPr>
        <w:spacing w:after="240"/>
        <w:jc w:val="center"/>
        <w:rPr>
          <w:rFonts w:eastAsia="Times New Roman"/>
          <w:szCs w:val="20"/>
          <w:lang w:val="fr-FR" w:eastAsia="en-GB"/>
        </w:rPr>
      </w:pPr>
      <w:bookmarkStart w:id="0" w:name="_GoBack"/>
      <w:bookmarkEnd w:id="0"/>
      <w:r w:rsidRPr="003F2CAD">
        <w:rPr>
          <w:rFonts w:eastAsia="Times New Roman"/>
          <w:b/>
          <w:szCs w:val="20"/>
          <w:lang w:val="fr-FR" w:eastAsia="en-GB"/>
        </w:rPr>
        <w:t>PROCÉDURE LÉGISLATIVE ORDINAIRE</w:t>
      </w:r>
    </w:p>
    <w:p w:rsidR="003F2CAD" w:rsidRPr="003F2CAD" w:rsidRDefault="003F2CAD" w:rsidP="003F2CAD">
      <w:pPr>
        <w:spacing w:after="600"/>
        <w:jc w:val="center"/>
        <w:rPr>
          <w:rFonts w:eastAsia="Times New Roman"/>
          <w:b/>
          <w:bCs/>
          <w:lang w:val="fr-FR" w:eastAsia="en-GB"/>
        </w:rPr>
      </w:pPr>
      <w:bookmarkStart w:id="1" w:name="designs"/>
      <w:r w:rsidRPr="003F2CAD">
        <w:rPr>
          <w:rFonts w:eastAsia="Times New Roman"/>
          <w:b/>
          <w:szCs w:val="20"/>
          <w:lang w:val="fr-FR" w:eastAsia="en-GB"/>
        </w:rPr>
        <w:t>Suite donnée à la résolution législative du Parlement européen sur la proposition de règlement du Parlement européen et du Conseil modifiant le règlement (CE) nº 6/2002 du Conseil sur les dessins ou modèles communautaires et abrogeant le règlement (CE) nº 2246/2002 de la Commission</w:t>
      </w:r>
      <w:bookmarkEnd w:id="1"/>
    </w:p>
    <w:p w:rsidR="003F2CAD" w:rsidRPr="003F2CAD" w:rsidRDefault="003F2CAD" w:rsidP="003F2CAD">
      <w:pPr>
        <w:spacing w:after="240" w:line="240" w:lineRule="atLeast"/>
        <w:ind w:left="567" w:hanging="567"/>
        <w:jc w:val="left"/>
        <w:rPr>
          <w:rFonts w:eastAsia="Times New Roman"/>
          <w:szCs w:val="20"/>
          <w:lang w:val="fr-FR" w:eastAsia="en-GB"/>
        </w:rPr>
      </w:pPr>
      <w:r w:rsidRPr="003F2CAD">
        <w:rPr>
          <w:rFonts w:eastAsia="Times New Roman"/>
          <w:b/>
          <w:szCs w:val="20"/>
          <w:lang w:val="fr-FR" w:eastAsia="en-GB"/>
        </w:rPr>
        <w:t>1.</w:t>
      </w:r>
      <w:r w:rsidRPr="003F2CAD">
        <w:rPr>
          <w:rFonts w:eastAsia="Times New Roman"/>
          <w:b/>
          <w:szCs w:val="20"/>
          <w:lang w:val="fr-FR" w:eastAsia="en-GB"/>
        </w:rPr>
        <w:tab/>
        <w:t xml:space="preserve">Rapporteur: </w:t>
      </w:r>
      <w:r w:rsidRPr="003F2CAD">
        <w:rPr>
          <w:rFonts w:eastAsia="Times New Roman"/>
          <w:szCs w:val="20"/>
          <w:lang w:val="fr-FR" w:eastAsia="en-GB"/>
        </w:rPr>
        <w:t>Gilles LEBRETON (ID / FR)</w:t>
      </w:r>
    </w:p>
    <w:p w:rsidR="003F2CAD" w:rsidRPr="003F2CAD" w:rsidRDefault="003F2CAD" w:rsidP="003F2CAD">
      <w:pPr>
        <w:spacing w:after="240" w:line="240" w:lineRule="atLeast"/>
        <w:ind w:left="567" w:hanging="567"/>
        <w:rPr>
          <w:rFonts w:eastAsia="Times New Roman"/>
          <w:szCs w:val="20"/>
          <w:lang w:val="fr-FR" w:eastAsia="en-GB"/>
        </w:rPr>
      </w:pPr>
      <w:r w:rsidRPr="003F2CAD">
        <w:rPr>
          <w:rFonts w:eastAsia="Times New Roman"/>
          <w:b/>
          <w:szCs w:val="20"/>
          <w:lang w:val="fr-FR" w:eastAsia="en-GB"/>
        </w:rPr>
        <w:t>2.</w:t>
      </w:r>
      <w:r w:rsidRPr="003F2CAD">
        <w:rPr>
          <w:rFonts w:eastAsia="Times New Roman"/>
          <w:b/>
          <w:szCs w:val="20"/>
          <w:lang w:val="fr-FR" w:eastAsia="en-GB"/>
        </w:rPr>
        <w:tab/>
        <w:t>Numéros de référence:</w:t>
      </w:r>
      <w:r w:rsidRPr="003F2CAD">
        <w:rPr>
          <w:rFonts w:eastAsia="Times New Roman"/>
          <w:szCs w:val="20"/>
          <w:lang w:val="fr-FR" w:eastAsia="en-GB"/>
        </w:rPr>
        <w:t xml:space="preserve"> 2022/0391 (COD) / A9-0315/2023 / P9_TA(2024)0164</w:t>
      </w:r>
    </w:p>
    <w:p w:rsidR="003F2CAD" w:rsidRPr="003F2CAD" w:rsidRDefault="003F2CAD" w:rsidP="003F2CAD">
      <w:pPr>
        <w:spacing w:after="240" w:line="240" w:lineRule="atLeast"/>
        <w:ind w:left="567" w:hanging="567"/>
        <w:jc w:val="left"/>
        <w:rPr>
          <w:rFonts w:eastAsia="Times New Roman"/>
          <w:szCs w:val="20"/>
          <w:lang w:val="fr-FR" w:eastAsia="en-GB"/>
        </w:rPr>
      </w:pPr>
      <w:r w:rsidRPr="003F2CAD">
        <w:rPr>
          <w:rFonts w:eastAsia="Times New Roman"/>
          <w:b/>
          <w:szCs w:val="20"/>
          <w:lang w:val="fr-FR" w:eastAsia="en-GB"/>
        </w:rPr>
        <w:t>3.</w:t>
      </w:r>
      <w:r w:rsidRPr="003F2CAD">
        <w:rPr>
          <w:rFonts w:eastAsia="Times New Roman"/>
          <w:b/>
          <w:szCs w:val="20"/>
          <w:lang w:val="fr-FR" w:eastAsia="en-GB"/>
        </w:rPr>
        <w:tab/>
        <w:t>Date d’adoption de la résolution:</w:t>
      </w:r>
      <w:r w:rsidRPr="003F2CAD">
        <w:rPr>
          <w:rFonts w:eastAsia="Times New Roman"/>
          <w:szCs w:val="20"/>
          <w:lang w:val="fr-FR" w:eastAsia="en-GB"/>
        </w:rPr>
        <w:t xml:space="preserve"> 14 mars 2024</w:t>
      </w:r>
    </w:p>
    <w:p w:rsidR="003F2CAD" w:rsidRPr="003F2CAD" w:rsidRDefault="003F2CAD" w:rsidP="003F2CAD">
      <w:pPr>
        <w:spacing w:after="240" w:line="240" w:lineRule="atLeast"/>
        <w:ind w:left="567" w:hanging="567"/>
        <w:rPr>
          <w:rFonts w:eastAsia="Times New Roman"/>
          <w:szCs w:val="20"/>
          <w:lang w:val="fr-FR" w:eastAsia="en-GB"/>
        </w:rPr>
      </w:pPr>
      <w:r w:rsidRPr="003F2CAD">
        <w:rPr>
          <w:rFonts w:eastAsia="Times New Roman"/>
          <w:b/>
          <w:szCs w:val="20"/>
          <w:lang w:val="fr-FR" w:eastAsia="en-GB"/>
        </w:rPr>
        <w:t>4.</w:t>
      </w:r>
      <w:r w:rsidRPr="003F2CAD">
        <w:rPr>
          <w:rFonts w:eastAsia="Times New Roman"/>
          <w:b/>
          <w:szCs w:val="20"/>
          <w:lang w:val="fr-FR" w:eastAsia="en-GB"/>
        </w:rPr>
        <w:tab/>
        <w:t xml:space="preserve">Base juridique: </w:t>
      </w:r>
      <w:r w:rsidRPr="003F2CAD">
        <w:rPr>
          <w:rFonts w:eastAsia="Times New Roman"/>
          <w:szCs w:val="20"/>
          <w:lang w:val="fr-FR" w:eastAsia="en-GB"/>
        </w:rPr>
        <w:t>article 118, paragraphe 1, du traité sur le fonctionnement de l’Union européenne</w:t>
      </w:r>
    </w:p>
    <w:p w:rsidR="003F2CAD" w:rsidRPr="003F2CAD" w:rsidRDefault="003F2CAD" w:rsidP="003F2CAD">
      <w:pPr>
        <w:spacing w:after="240" w:line="240" w:lineRule="atLeast"/>
        <w:ind w:left="567" w:hanging="567"/>
        <w:rPr>
          <w:rFonts w:eastAsia="Times New Roman"/>
          <w:lang w:val="fr-FR" w:eastAsia="en-GB"/>
        </w:rPr>
      </w:pPr>
      <w:r w:rsidRPr="003F2CAD">
        <w:rPr>
          <w:rFonts w:eastAsia="Times New Roman"/>
          <w:b/>
          <w:szCs w:val="20"/>
          <w:lang w:val="fr-FR" w:eastAsia="en-GB"/>
        </w:rPr>
        <w:t>5.</w:t>
      </w:r>
      <w:r w:rsidRPr="003F2CAD">
        <w:rPr>
          <w:rFonts w:eastAsia="Times New Roman"/>
          <w:b/>
          <w:szCs w:val="20"/>
          <w:lang w:val="fr-FR" w:eastAsia="en-GB"/>
        </w:rPr>
        <w:tab/>
        <w:t>Commission parlementaire compétente:</w:t>
      </w:r>
      <w:r w:rsidRPr="003F2CAD">
        <w:rPr>
          <w:rFonts w:eastAsia="Times New Roman"/>
          <w:szCs w:val="20"/>
          <w:lang w:val="fr-FR" w:eastAsia="en-GB"/>
        </w:rPr>
        <w:t xml:space="preserve"> commission des affaires juridiques (JURI)</w:t>
      </w:r>
    </w:p>
    <w:p w:rsidR="008765BE" w:rsidRDefault="003F2CAD" w:rsidP="003F2CAD">
      <w:r w:rsidRPr="003F2CAD">
        <w:rPr>
          <w:rFonts w:eastAsia="Times New Roman"/>
          <w:b/>
          <w:szCs w:val="20"/>
          <w:lang w:val="fr-FR" w:eastAsia="en-GB"/>
        </w:rPr>
        <w:t>6.</w:t>
      </w:r>
      <w:r w:rsidRPr="003F2CAD">
        <w:rPr>
          <w:rFonts w:eastAsia="Times New Roman"/>
          <w:b/>
          <w:szCs w:val="20"/>
          <w:lang w:val="fr-FR" w:eastAsia="en-GB"/>
        </w:rPr>
        <w:tab/>
        <w:t>Position de la Commission:</w:t>
      </w:r>
      <w:r w:rsidRPr="003F2CAD">
        <w:rPr>
          <w:rFonts w:eastAsia="Times New Roman"/>
          <w:color w:val="000000"/>
          <w:sz w:val="22"/>
          <w:szCs w:val="20"/>
          <w:lang w:val="fr-FR" w:eastAsia="en-GB"/>
        </w:rPr>
        <w:t xml:space="preserve"> </w:t>
      </w:r>
      <w:r w:rsidRPr="003F2CAD">
        <w:rPr>
          <w:rFonts w:eastAsia="Times New Roman"/>
          <w:color w:val="000000"/>
          <w:szCs w:val="20"/>
          <w:lang w:val="fr-FR" w:eastAsia="en-GB"/>
        </w:rPr>
        <w:t>la Commission accepte tous les amendements</w:t>
      </w:r>
    </w:p>
    <w:sectPr w:rsidR="008765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CAD"/>
    <w:rsid w:val="003F2CAD"/>
    <w:rsid w:val="005762E3"/>
    <w:rsid w:val="00876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795EBE-5556-4231-AE4A-27F4C415F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62E3"/>
    <w:pPr>
      <w:jc w:val="both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62E3"/>
    <w:pPr>
      <w:keepNext/>
      <w:spacing w:before="240" w:after="60"/>
      <w:outlineLvl w:val="0"/>
    </w:pPr>
    <w:rPr>
      <w:rFonts w:ascii="Arial" w:eastAsiaTheme="majorEastAsia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762E3"/>
    <w:pPr>
      <w:keepNext/>
      <w:spacing w:before="240" w:after="60"/>
      <w:outlineLvl w:val="1"/>
    </w:pPr>
    <w:rPr>
      <w:rFonts w:ascii="Arial" w:eastAsiaTheme="majorEastAsia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62E3"/>
    <w:pPr>
      <w:keepNext/>
      <w:spacing w:before="240" w:after="60"/>
      <w:outlineLvl w:val="2"/>
    </w:pPr>
    <w:rPr>
      <w:rFonts w:ascii="Arial" w:eastAsiaTheme="majorEastAsia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62E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62E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62E3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62E3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62E3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62E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62E3"/>
    <w:rPr>
      <w:rFonts w:ascii="Arial" w:eastAsiaTheme="majorEastAsia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762E3"/>
    <w:rPr>
      <w:rFonts w:ascii="Arial" w:eastAsiaTheme="majorEastAsia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62E3"/>
    <w:rPr>
      <w:rFonts w:ascii="Arial" w:eastAsiaTheme="majorEastAsia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62E3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62E3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62E3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62E3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62E3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62E3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762E3"/>
    <w:pPr>
      <w:spacing w:before="240" w:after="60"/>
      <w:jc w:val="center"/>
      <w:outlineLvl w:val="0"/>
    </w:pPr>
    <w:rPr>
      <w:rFonts w:ascii="Arial" w:eastAsiaTheme="majorEastAsia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762E3"/>
    <w:rPr>
      <w:rFonts w:ascii="Arial" w:eastAsiaTheme="majorEastAsia" w:hAnsi="Arial" w:cs="Arial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62E3"/>
    <w:pPr>
      <w:spacing w:after="60"/>
      <w:jc w:val="center"/>
      <w:outlineLvl w:val="1"/>
    </w:pPr>
    <w:rPr>
      <w:rFonts w:ascii="Arial" w:eastAsiaTheme="majorEastAsia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rsid w:val="005762E3"/>
    <w:rPr>
      <w:rFonts w:ascii="Arial" w:eastAsiaTheme="majorEastAsia" w:hAnsi="Arial" w:cs="Arial"/>
      <w:sz w:val="24"/>
      <w:szCs w:val="24"/>
    </w:rPr>
  </w:style>
  <w:style w:type="character" w:styleId="Strong">
    <w:name w:val="Strong"/>
    <w:basedOn w:val="DefaultParagraphFont"/>
    <w:uiPriority w:val="22"/>
    <w:qFormat/>
    <w:rsid w:val="005762E3"/>
    <w:rPr>
      <w:b/>
      <w:bCs/>
    </w:rPr>
  </w:style>
  <w:style w:type="character" w:styleId="Emphasis">
    <w:name w:val="Emphasis"/>
    <w:basedOn w:val="DefaultParagraphFont"/>
    <w:uiPriority w:val="20"/>
    <w:qFormat/>
    <w:rsid w:val="005762E3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762E3"/>
    <w:rPr>
      <w:szCs w:val="32"/>
    </w:rPr>
  </w:style>
  <w:style w:type="paragraph" w:styleId="ListParagraph">
    <w:name w:val="List Paragraph"/>
    <w:basedOn w:val="Normal"/>
    <w:uiPriority w:val="34"/>
    <w:qFormat/>
    <w:rsid w:val="005762E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762E3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762E3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62E3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62E3"/>
    <w:rPr>
      <w:b/>
      <w:i/>
      <w:sz w:val="24"/>
    </w:rPr>
  </w:style>
  <w:style w:type="character" w:styleId="SubtleEmphasis">
    <w:name w:val="Subtle Emphasis"/>
    <w:uiPriority w:val="19"/>
    <w:qFormat/>
    <w:rsid w:val="005762E3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762E3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762E3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762E3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762E3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62E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626</Characters>
  <Application>Microsoft Office Word</Application>
  <DocSecurity>0</DocSecurity>
  <Lines>5</Lines>
  <Paragraphs>1</Paragraphs>
  <ScaleCrop>false</ScaleCrop>
  <Company>European Parliament</Company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BRABANDER Liesbet</dc:creator>
  <cp:keywords/>
  <dc:description/>
  <cp:lastModifiedBy>DE BRABANDER Liesbet</cp:lastModifiedBy>
  <cp:revision>1</cp:revision>
  <dcterms:created xsi:type="dcterms:W3CDTF">2024-07-22T13:15:00Z</dcterms:created>
  <dcterms:modified xsi:type="dcterms:W3CDTF">2024-07-22T13:16:00Z</dcterms:modified>
</cp:coreProperties>
</file>