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5685" w14:textId="00DB4659" w:rsidR="004C579F" w:rsidRPr="008569C5" w:rsidRDefault="591F5F5D" w:rsidP="50A617AD">
      <w:pPr>
        <w:spacing w:after="600"/>
        <w:jc w:val="center"/>
        <w:rPr>
          <w:rFonts w:ascii="Times New Roman" w:hAnsi="Times New Roman"/>
          <w:b/>
          <w:bCs/>
          <w:color w:val="000000" w:themeColor="text1"/>
        </w:rPr>
      </w:pPr>
      <w:bookmarkStart w:id="0" w:name="Banking"/>
      <w:r w:rsidRPr="008569C5">
        <w:rPr>
          <w:rFonts w:ascii="Times New Roman" w:hAnsi="Times New Roman"/>
          <w:b/>
          <w:bCs/>
          <w:color w:val="000000" w:themeColor="text1"/>
          <w:lang w:val="en-IE"/>
        </w:rPr>
        <w:t xml:space="preserve">Follow-up to the European Parliament non-legislative resolution on </w:t>
      </w:r>
      <w:r w:rsidRPr="008569C5">
        <w:rPr>
          <w:rFonts w:ascii="Times New Roman" w:hAnsi="Times New Roman"/>
          <w:b/>
          <w:bCs/>
          <w:color w:val="000000" w:themeColor="text1"/>
        </w:rPr>
        <w:t>Banking Union - annual report 202</w:t>
      </w:r>
      <w:r w:rsidR="742F8F62" w:rsidRPr="008569C5">
        <w:rPr>
          <w:rFonts w:ascii="Times New Roman" w:hAnsi="Times New Roman"/>
          <w:b/>
          <w:bCs/>
          <w:color w:val="000000" w:themeColor="text1"/>
        </w:rPr>
        <w:t>3</w:t>
      </w:r>
    </w:p>
    <w:bookmarkEnd w:id="0"/>
    <w:p w14:paraId="4B0B97A9" w14:textId="3F2CA505" w:rsidR="008458F4" w:rsidRPr="006804E6" w:rsidRDefault="004C579F" w:rsidP="008458F4">
      <w:pPr>
        <w:numPr>
          <w:ilvl w:val="0"/>
          <w:numId w:val="1"/>
        </w:numPr>
        <w:ind w:left="567" w:hanging="567"/>
        <w:jc w:val="left"/>
        <w:rPr>
          <w:rFonts w:ascii="Times New Roman" w:hAnsi="Times New Roman"/>
          <w:color w:val="000000" w:themeColor="text1"/>
          <w:szCs w:val="24"/>
          <w:lang w:val="fr-BE"/>
        </w:rPr>
      </w:pPr>
      <w:proofErr w:type="gramStart"/>
      <w:r w:rsidRPr="008569C5">
        <w:rPr>
          <w:rFonts w:ascii="Times New Roman" w:hAnsi="Times New Roman"/>
          <w:b/>
          <w:color w:val="000000" w:themeColor="text1"/>
          <w:szCs w:val="24"/>
          <w:lang w:val="fr-BE"/>
        </w:rPr>
        <w:t>Rapporteur</w:t>
      </w:r>
      <w:r w:rsidRPr="008569C5">
        <w:rPr>
          <w:rFonts w:ascii="Times New Roman" w:hAnsi="Times New Roman"/>
          <w:b/>
          <w:i/>
          <w:smallCaps/>
          <w:color w:val="000000" w:themeColor="text1"/>
          <w:szCs w:val="24"/>
          <w:lang w:val="fr-BE"/>
        </w:rPr>
        <w:t>:</w:t>
      </w:r>
      <w:proofErr w:type="gramEnd"/>
      <w:r w:rsidRPr="008569C5">
        <w:rPr>
          <w:rFonts w:ascii="Times New Roman" w:hAnsi="Times New Roman"/>
          <w:b/>
          <w:color w:val="000000" w:themeColor="text1"/>
          <w:szCs w:val="24"/>
          <w:lang w:val="fr-BE"/>
        </w:rPr>
        <w:t xml:space="preserve"> </w:t>
      </w:r>
      <w:proofErr w:type="spellStart"/>
      <w:r w:rsidR="008458F4" w:rsidRPr="006804E6">
        <w:rPr>
          <w:rFonts w:ascii="Times New Roman" w:hAnsi="Times New Roman"/>
          <w:color w:val="000000" w:themeColor="text1"/>
          <w:szCs w:val="24"/>
          <w:lang w:val="fr-BE"/>
        </w:rPr>
        <w:t>Ivars</w:t>
      </w:r>
      <w:proofErr w:type="spellEnd"/>
      <w:r w:rsidR="008458F4" w:rsidRPr="006804E6">
        <w:rPr>
          <w:rFonts w:ascii="Times New Roman" w:hAnsi="Times New Roman"/>
          <w:color w:val="000000" w:themeColor="text1"/>
          <w:szCs w:val="24"/>
          <w:lang w:val="fr-BE"/>
        </w:rPr>
        <w:t xml:space="preserve"> IJABS</w:t>
      </w:r>
      <w:r w:rsidR="006804E6" w:rsidRPr="006804E6">
        <w:rPr>
          <w:rFonts w:ascii="Times New Roman" w:hAnsi="Times New Roman"/>
          <w:color w:val="000000" w:themeColor="text1"/>
          <w:szCs w:val="24"/>
          <w:lang w:val="fr-BE"/>
        </w:rPr>
        <w:t xml:space="preserve"> (</w:t>
      </w:r>
      <w:proofErr w:type="spellStart"/>
      <w:r w:rsidR="006804E6" w:rsidRPr="006804E6">
        <w:rPr>
          <w:rFonts w:ascii="Times New Roman" w:hAnsi="Times New Roman"/>
          <w:color w:val="000000" w:themeColor="text1"/>
          <w:szCs w:val="24"/>
          <w:lang w:val="fr-BE"/>
        </w:rPr>
        <w:t>Renew</w:t>
      </w:r>
      <w:proofErr w:type="spellEnd"/>
      <w:r w:rsidR="006804E6" w:rsidRPr="006804E6">
        <w:rPr>
          <w:rFonts w:ascii="Times New Roman" w:hAnsi="Times New Roman"/>
          <w:color w:val="000000" w:themeColor="text1"/>
          <w:szCs w:val="24"/>
          <w:lang w:val="fr-BE"/>
        </w:rPr>
        <w:t xml:space="preserve"> / L</w:t>
      </w:r>
      <w:r w:rsidR="006804E6">
        <w:rPr>
          <w:rFonts w:ascii="Times New Roman" w:hAnsi="Times New Roman"/>
          <w:color w:val="000000" w:themeColor="text1"/>
          <w:szCs w:val="24"/>
          <w:lang w:val="fr-BE"/>
        </w:rPr>
        <w:t>V)</w:t>
      </w:r>
    </w:p>
    <w:p w14:paraId="01E8B495" w14:textId="2BFE19C1" w:rsidR="004C579F" w:rsidRPr="008569C5" w:rsidRDefault="004C579F" w:rsidP="008458F4">
      <w:pPr>
        <w:numPr>
          <w:ilvl w:val="0"/>
          <w:numId w:val="1"/>
        </w:numPr>
        <w:ind w:left="567" w:hanging="567"/>
        <w:jc w:val="left"/>
        <w:rPr>
          <w:rFonts w:ascii="Times New Roman" w:hAnsi="Times New Roman"/>
          <w:color w:val="000000" w:themeColor="text1"/>
          <w:szCs w:val="24"/>
        </w:rPr>
      </w:pPr>
      <w:r w:rsidRPr="008569C5">
        <w:rPr>
          <w:rFonts w:ascii="Times New Roman" w:hAnsi="Times New Roman"/>
          <w:b/>
          <w:color w:val="000000" w:themeColor="text1"/>
          <w:szCs w:val="24"/>
        </w:rPr>
        <w:t>Reference number</w:t>
      </w:r>
      <w:r w:rsidRPr="008569C5">
        <w:rPr>
          <w:rFonts w:ascii="Times New Roman" w:hAnsi="Times New Roman"/>
          <w:color w:val="000000" w:themeColor="text1"/>
          <w:szCs w:val="24"/>
        </w:rPr>
        <w:t xml:space="preserve">: </w:t>
      </w:r>
      <w:r w:rsidR="00487691" w:rsidRPr="00487691">
        <w:rPr>
          <w:rFonts w:ascii="Times New Roman" w:hAnsi="Times New Roman"/>
          <w:color w:val="000000" w:themeColor="text1"/>
        </w:rPr>
        <w:t>2</w:t>
      </w:r>
      <w:r w:rsidR="008458F4" w:rsidRPr="00487691">
        <w:rPr>
          <w:rFonts w:ascii="Times New Roman" w:hAnsi="Times New Roman"/>
          <w:color w:val="000000" w:themeColor="text1"/>
          <w:szCs w:val="24"/>
        </w:rPr>
        <w:t>023</w:t>
      </w:r>
      <w:r w:rsidR="008458F4" w:rsidRPr="008569C5">
        <w:rPr>
          <w:rFonts w:ascii="Times New Roman" w:hAnsi="Times New Roman"/>
          <w:color w:val="000000" w:themeColor="text1"/>
          <w:szCs w:val="24"/>
        </w:rPr>
        <w:t>/2078 (INI)</w:t>
      </w:r>
      <w:r w:rsidR="006804E6">
        <w:rPr>
          <w:rFonts w:ascii="Times New Roman" w:hAnsi="Times New Roman"/>
          <w:color w:val="000000" w:themeColor="text1"/>
          <w:szCs w:val="24"/>
        </w:rPr>
        <w:t xml:space="preserve"> / A9-0431/2023 /</w:t>
      </w:r>
      <w:r w:rsidR="008458F4" w:rsidRPr="008569C5">
        <w:rPr>
          <w:rFonts w:ascii="Times New Roman" w:hAnsi="Times New Roman"/>
          <w:color w:val="000000" w:themeColor="text1"/>
          <w:szCs w:val="24"/>
        </w:rPr>
        <w:t xml:space="preserve"> </w:t>
      </w:r>
      <w:r w:rsidR="0067360D" w:rsidRPr="008569C5">
        <w:rPr>
          <w:rFonts w:ascii="Times New Roman" w:hAnsi="Times New Roman"/>
          <w:color w:val="000000" w:themeColor="text1"/>
          <w:szCs w:val="24"/>
        </w:rPr>
        <w:t>P9_</w:t>
      </w:r>
      <w:proofErr w:type="gramStart"/>
      <w:r w:rsidR="0067360D" w:rsidRPr="008569C5">
        <w:rPr>
          <w:rFonts w:ascii="Times New Roman" w:hAnsi="Times New Roman"/>
          <w:color w:val="000000" w:themeColor="text1"/>
          <w:szCs w:val="24"/>
        </w:rPr>
        <w:t>TA(</w:t>
      </w:r>
      <w:proofErr w:type="gramEnd"/>
      <w:r w:rsidR="0067360D" w:rsidRPr="008569C5">
        <w:rPr>
          <w:rFonts w:ascii="Times New Roman" w:hAnsi="Times New Roman"/>
          <w:color w:val="000000" w:themeColor="text1"/>
          <w:szCs w:val="24"/>
        </w:rPr>
        <w:t>2024)0012</w:t>
      </w:r>
    </w:p>
    <w:p w14:paraId="57645B32" w14:textId="52496054" w:rsidR="004C579F" w:rsidRPr="008569C5" w:rsidRDefault="004C579F" w:rsidP="004C579F">
      <w:pPr>
        <w:numPr>
          <w:ilvl w:val="0"/>
          <w:numId w:val="1"/>
        </w:numPr>
        <w:ind w:left="567" w:hanging="567"/>
        <w:jc w:val="left"/>
        <w:rPr>
          <w:rFonts w:ascii="Times New Roman" w:hAnsi="Times New Roman"/>
          <w:color w:val="000000" w:themeColor="text1"/>
          <w:szCs w:val="24"/>
        </w:rPr>
      </w:pPr>
      <w:r w:rsidRPr="008569C5">
        <w:rPr>
          <w:rFonts w:ascii="Times New Roman" w:hAnsi="Times New Roman"/>
          <w:b/>
          <w:color w:val="000000" w:themeColor="text1"/>
          <w:szCs w:val="24"/>
        </w:rPr>
        <w:t xml:space="preserve">Date of adoption of the resolution: </w:t>
      </w:r>
      <w:r w:rsidR="008458F4" w:rsidRPr="008569C5">
        <w:rPr>
          <w:rFonts w:ascii="Times New Roman" w:hAnsi="Times New Roman"/>
          <w:noProof/>
          <w:color w:val="000000" w:themeColor="text1"/>
          <w:szCs w:val="24"/>
        </w:rPr>
        <w:t>16 January 2024</w:t>
      </w:r>
    </w:p>
    <w:p w14:paraId="400B674E" w14:textId="6CA0C65D" w:rsidR="004C579F" w:rsidRPr="008569C5" w:rsidRDefault="004C579F" w:rsidP="0067360D">
      <w:pPr>
        <w:numPr>
          <w:ilvl w:val="0"/>
          <w:numId w:val="1"/>
        </w:numPr>
        <w:ind w:left="567" w:hanging="567"/>
        <w:jc w:val="left"/>
        <w:rPr>
          <w:rFonts w:ascii="Times New Roman" w:hAnsi="Times New Roman"/>
          <w:color w:val="000000" w:themeColor="text1"/>
          <w:szCs w:val="24"/>
        </w:rPr>
      </w:pPr>
      <w:r w:rsidRPr="008569C5">
        <w:rPr>
          <w:rFonts w:ascii="Times New Roman" w:hAnsi="Times New Roman"/>
          <w:b/>
          <w:color w:val="000000" w:themeColor="text1"/>
          <w:szCs w:val="24"/>
        </w:rPr>
        <w:t>Competent Parliamentary Committee</w:t>
      </w:r>
      <w:r w:rsidRPr="008569C5">
        <w:rPr>
          <w:rFonts w:ascii="Times New Roman" w:hAnsi="Times New Roman"/>
          <w:color w:val="000000" w:themeColor="text1"/>
          <w:szCs w:val="24"/>
        </w:rPr>
        <w:t>: Committee on Economic and Monetary Affairs (ECON)</w:t>
      </w:r>
    </w:p>
    <w:p w14:paraId="1086F986" w14:textId="4A15A1EA" w:rsidR="004C579F" w:rsidRPr="008569C5" w:rsidRDefault="004C579F" w:rsidP="004C579F">
      <w:pPr>
        <w:numPr>
          <w:ilvl w:val="0"/>
          <w:numId w:val="1"/>
        </w:numPr>
        <w:ind w:left="567" w:hanging="567"/>
        <w:jc w:val="left"/>
        <w:rPr>
          <w:rFonts w:ascii="Times New Roman" w:hAnsi="Times New Roman"/>
          <w:b/>
          <w:color w:val="000000" w:themeColor="text1"/>
          <w:szCs w:val="24"/>
        </w:rPr>
      </w:pPr>
      <w:r w:rsidRPr="008569C5">
        <w:rPr>
          <w:rFonts w:ascii="Times New Roman" w:hAnsi="Times New Roman"/>
          <w:b/>
          <w:color w:val="000000" w:themeColor="text1"/>
          <w:szCs w:val="24"/>
        </w:rPr>
        <w:t>Brief analysis/assessment of the resolution and requests made in it:</w:t>
      </w:r>
    </w:p>
    <w:p w14:paraId="251F4985" w14:textId="3A18C3BD" w:rsidR="004C579F" w:rsidRPr="008569C5" w:rsidRDefault="134DFE4B" w:rsidP="74D4BE9F">
      <w:pPr>
        <w:widowControl w:val="0"/>
        <w:spacing w:after="120"/>
        <w:rPr>
          <w:rFonts w:ascii="Times New Roman" w:hAnsi="Times New Roman"/>
          <w:color w:val="000000" w:themeColor="text1"/>
        </w:rPr>
      </w:pPr>
      <w:r w:rsidRPr="008569C5">
        <w:rPr>
          <w:rFonts w:ascii="Times New Roman" w:hAnsi="Times New Roman"/>
          <w:color w:val="000000" w:themeColor="text1"/>
        </w:rPr>
        <w:t xml:space="preserve">With this resolution, the European Parliament adopts its </w:t>
      </w:r>
      <w:r w:rsidR="563A4344" w:rsidRPr="008569C5">
        <w:rPr>
          <w:rFonts w:ascii="Times New Roman" w:hAnsi="Times New Roman"/>
          <w:color w:val="000000" w:themeColor="text1"/>
        </w:rPr>
        <w:t>ninth</w:t>
      </w:r>
      <w:r w:rsidRPr="008569C5">
        <w:rPr>
          <w:rFonts w:ascii="Times New Roman" w:hAnsi="Times New Roman"/>
          <w:color w:val="000000" w:themeColor="text1"/>
        </w:rPr>
        <w:t xml:space="preserve"> Annual Report on the Banking Union. The resolution is divided into four main sections. The first two sections (General considerations and Supervision) cover a wide series of recent events and other issues related to the financial sector. The last two sections (Resolution and Deposit Insurance) are focused on the core issues relevant to the completion of the Banking Union.</w:t>
      </w:r>
    </w:p>
    <w:p w14:paraId="3C5443DD" w14:textId="2A0F0EEA" w:rsidR="004C579F" w:rsidRPr="008569C5" w:rsidRDefault="004C579F" w:rsidP="004C579F">
      <w:pPr>
        <w:widowControl w:val="0"/>
        <w:spacing w:after="120"/>
        <w:rPr>
          <w:rFonts w:ascii="Times New Roman" w:hAnsi="Times New Roman"/>
          <w:color w:val="000000" w:themeColor="text1"/>
        </w:rPr>
      </w:pPr>
      <w:r w:rsidRPr="5050F0D1">
        <w:rPr>
          <w:rFonts w:ascii="Times New Roman" w:hAnsi="Times New Roman"/>
          <w:color w:val="000000" w:themeColor="text1"/>
        </w:rPr>
        <w:t xml:space="preserve">In Section 1 “General considerations” and 2 “Supervision”, the European </w:t>
      </w:r>
      <w:r w:rsidR="00387CD2" w:rsidRPr="5050F0D1">
        <w:rPr>
          <w:rFonts w:ascii="Times New Roman" w:hAnsi="Times New Roman"/>
          <w:color w:val="000000" w:themeColor="text1"/>
        </w:rPr>
        <w:t>Parliament condemns</w:t>
      </w:r>
      <w:r w:rsidR="00191A26" w:rsidRPr="5050F0D1">
        <w:rPr>
          <w:rFonts w:ascii="Times New Roman" w:hAnsi="Times New Roman"/>
          <w:color w:val="000000" w:themeColor="text1"/>
        </w:rPr>
        <w:t xml:space="preserve"> the Russian aggression against Ukraine and stresses the </w:t>
      </w:r>
      <w:r w:rsidR="0071622E" w:rsidRPr="5050F0D1">
        <w:rPr>
          <w:rFonts w:ascii="Times New Roman" w:hAnsi="Times New Roman"/>
          <w:color w:val="000000" w:themeColor="text1"/>
        </w:rPr>
        <w:t xml:space="preserve">importance of complying with financial sanctions. It </w:t>
      </w:r>
      <w:r w:rsidRPr="5050F0D1">
        <w:rPr>
          <w:rFonts w:ascii="Times New Roman" w:hAnsi="Times New Roman"/>
          <w:color w:val="000000" w:themeColor="text1"/>
        </w:rPr>
        <w:t xml:space="preserve">largely welcomes </w:t>
      </w:r>
      <w:proofErr w:type="gramStart"/>
      <w:r w:rsidRPr="5050F0D1">
        <w:rPr>
          <w:rFonts w:ascii="Times New Roman" w:hAnsi="Times New Roman"/>
          <w:color w:val="000000" w:themeColor="text1"/>
        </w:rPr>
        <w:t>a number of</w:t>
      </w:r>
      <w:proofErr w:type="gramEnd"/>
      <w:r w:rsidRPr="5050F0D1">
        <w:rPr>
          <w:rFonts w:ascii="Times New Roman" w:hAnsi="Times New Roman"/>
          <w:color w:val="000000" w:themeColor="text1"/>
        </w:rPr>
        <w:t xml:space="preserve"> actions already undertaken by the Commission, the European Supervisory Authorities, the Single Supervisory Mechanism, the Single Resolution Board </w:t>
      </w:r>
      <w:r w:rsidR="73A306D8" w:rsidRPr="5050F0D1">
        <w:rPr>
          <w:rFonts w:ascii="Times New Roman" w:hAnsi="Times New Roman"/>
          <w:color w:val="000000" w:themeColor="text1"/>
        </w:rPr>
        <w:t xml:space="preserve">(SRB) </w:t>
      </w:r>
      <w:r w:rsidRPr="5050F0D1">
        <w:rPr>
          <w:rFonts w:ascii="Times New Roman" w:hAnsi="Times New Roman"/>
          <w:color w:val="000000" w:themeColor="text1"/>
        </w:rPr>
        <w:t>and the banking sector and expresses broad support for a number of important Commission initiatives such as the completion of the Banking Union</w:t>
      </w:r>
      <w:r w:rsidR="00B14B1A" w:rsidRPr="5050F0D1">
        <w:rPr>
          <w:rFonts w:ascii="Times New Roman" w:hAnsi="Times New Roman"/>
          <w:color w:val="000000" w:themeColor="text1"/>
        </w:rPr>
        <w:t>.</w:t>
      </w:r>
    </w:p>
    <w:p w14:paraId="07BC593E" w14:textId="776AF7EE" w:rsidR="004C579F" w:rsidRPr="008569C5" w:rsidRDefault="004C579F" w:rsidP="004C579F">
      <w:pPr>
        <w:widowControl w:val="0"/>
        <w:spacing w:after="120"/>
        <w:rPr>
          <w:rFonts w:ascii="Times New Roman" w:hAnsi="Times New Roman"/>
          <w:color w:val="000000" w:themeColor="text1"/>
          <w:szCs w:val="24"/>
        </w:rPr>
      </w:pPr>
      <w:r w:rsidRPr="008569C5">
        <w:rPr>
          <w:rFonts w:ascii="Times New Roman" w:hAnsi="Times New Roman"/>
          <w:color w:val="000000" w:themeColor="text1"/>
          <w:szCs w:val="24"/>
        </w:rPr>
        <w:t>In Section 3 “Resolution” and 4 “</w:t>
      </w:r>
      <w:r w:rsidRPr="008569C5">
        <w:rPr>
          <w:rFonts w:ascii="Times New Roman" w:hAnsi="Times New Roman"/>
          <w:bCs/>
          <w:color w:val="000000" w:themeColor="text1"/>
          <w:szCs w:val="24"/>
        </w:rPr>
        <w:t>Deposit Insurance”</w:t>
      </w:r>
      <w:r w:rsidRPr="008569C5">
        <w:rPr>
          <w:rFonts w:ascii="Times New Roman" w:hAnsi="Times New Roman"/>
          <w:color w:val="000000" w:themeColor="text1"/>
          <w:szCs w:val="24"/>
        </w:rPr>
        <w:t xml:space="preserve">, the European Parliament </w:t>
      </w:r>
      <w:r w:rsidR="0071622E" w:rsidRPr="008569C5">
        <w:rPr>
          <w:rFonts w:ascii="Times New Roman" w:hAnsi="Times New Roman"/>
          <w:color w:val="000000" w:themeColor="text1"/>
          <w:szCs w:val="24"/>
        </w:rPr>
        <w:t xml:space="preserve">welcomes the good crises preparedness and loss-absorbing capacity of banks and </w:t>
      </w:r>
      <w:r w:rsidR="00387CD2" w:rsidRPr="008569C5">
        <w:rPr>
          <w:rFonts w:ascii="Times New Roman" w:hAnsi="Times New Roman"/>
          <w:color w:val="000000" w:themeColor="text1"/>
          <w:szCs w:val="24"/>
        </w:rPr>
        <w:t>highlights the role of the SRB and industry-funded safety nets in protecting taxpayers.</w:t>
      </w:r>
      <w:r w:rsidR="0071622E" w:rsidRPr="008569C5">
        <w:rPr>
          <w:rFonts w:ascii="Times New Roman" w:hAnsi="Times New Roman"/>
          <w:color w:val="000000" w:themeColor="text1"/>
          <w:szCs w:val="24"/>
        </w:rPr>
        <w:t xml:space="preserve"> </w:t>
      </w:r>
      <w:r w:rsidR="00387CD2" w:rsidRPr="008569C5">
        <w:rPr>
          <w:rFonts w:ascii="Times New Roman" w:hAnsi="Times New Roman"/>
          <w:color w:val="000000" w:themeColor="text1"/>
          <w:szCs w:val="24"/>
        </w:rPr>
        <w:t xml:space="preserve">It also welcomes </w:t>
      </w:r>
      <w:r w:rsidRPr="008569C5">
        <w:rPr>
          <w:rFonts w:ascii="Times New Roman" w:hAnsi="Times New Roman"/>
          <w:color w:val="000000" w:themeColor="text1"/>
          <w:szCs w:val="24"/>
        </w:rPr>
        <w:t xml:space="preserve">the Crisis Management and Deposit Insurance review </w:t>
      </w:r>
      <w:r w:rsidR="00387CD2" w:rsidRPr="008569C5">
        <w:rPr>
          <w:rFonts w:ascii="Times New Roman" w:hAnsi="Times New Roman"/>
          <w:color w:val="000000" w:themeColor="text1"/>
          <w:szCs w:val="24"/>
        </w:rPr>
        <w:t xml:space="preserve">and the significant progress in risk reduction which together are </w:t>
      </w:r>
      <w:r w:rsidR="0098632A">
        <w:rPr>
          <w:rFonts w:ascii="Times New Roman" w:hAnsi="Times New Roman"/>
          <w:color w:val="000000" w:themeColor="text1"/>
          <w:szCs w:val="24"/>
        </w:rPr>
        <w:t xml:space="preserve">a </w:t>
      </w:r>
      <w:r w:rsidR="00387CD2" w:rsidRPr="008569C5">
        <w:rPr>
          <w:rFonts w:ascii="Times New Roman" w:hAnsi="Times New Roman"/>
          <w:color w:val="000000" w:themeColor="text1"/>
          <w:szCs w:val="24"/>
        </w:rPr>
        <w:t>good basis for the success of the Banking Union</w:t>
      </w:r>
      <w:r w:rsidRPr="008569C5">
        <w:rPr>
          <w:rFonts w:ascii="Times New Roman" w:hAnsi="Times New Roman"/>
          <w:color w:val="000000" w:themeColor="text1"/>
          <w:szCs w:val="24"/>
        </w:rPr>
        <w:t>.</w:t>
      </w:r>
    </w:p>
    <w:p w14:paraId="5FB85ED6" w14:textId="5265E968" w:rsidR="004C579F" w:rsidRPr="008569C5" w:rsidRDefault="004C579F" w:rsidP="004C579F">
      <w:pPr>
        <w:widowControl w:val="0"/>
        <w:spacing w:after="120"/>
        <w:rPr>
          <w:rFonts w:ascii="Times New Roman" w:hAnsi="Times New Roman"/>
          <w:color w:val="000000" w:themeColor="text1"/>
          <w:szCs w:val="24"/>
        </w:rPr>
      </w:pPr>
      <w:r w:rsidRPr="008569C5">
        <w:rPr>
          <w:rFonts w:ascii="Times New Roman" w:hAnsi="Times New Roman"/>
          <w:color w:val="000000" w:themeColor="text1"/>
          <w:szCs w:val="24"/>
        </w:rPr>
        <w:t>The European Parliament also stresses that the European Deposit Insurance Scheme (EDIS) would improve protection for depositors in the EU</w:t>
      </w:r>
      <w:r w:rsidR="0098632A">
        <w:rPr>
          <w:rFonts w:ascii="Times New Roman" w:hAnsi="Times New Roman"/>
          <w:color w:val="000000" w:themeColor="text1"/>
          <w:szCs w:val="24"/>
        </w:rPr>
        <w:t>,</w:t>
      </w:r>
      <w:r w:rsidRPr="008569C5">
        <w:rPr>
          <w:rFonts w:ascii="Times New Roman" w:hAnsi="Times New Roman"/>
          <w:color w:val="000000" w:themeColor="text1"/>
          <w:szCs w:val="24"/>
        </w:rPr>
        <w:t xml:space="preserve"> </w:t>
      </w:r>
      <w:r w:rsidR="0098632A">
        <w:rPr>
          <w:rFonts w:ascii="Times New Roman" w:hAnsi="Times New Roman"/>
          <w:color w:val="000000" w:themeColor="text1"/>
          <w:szCs w:val="24"/>
        </w:rPr>
        <w:t xml:space="preserve">increase </w:t>
      </w:r>
      <w:r w:rsidRPr="008569C5">
        <w:rPr>
          <w:rFonts w:ascii="Times New Roman" w:hAnsi="Times New Roman"/>
          <w:color w:val="000000" w:themeColor="text1"/>
          <w:szCs w:val="24"/>
        </w:rPr>
        <w:t>their trust in the banking sector and help to strengthen the Banking Union by reducing the link between sovereigns and banks. It also reiterates Parliament's commitment to resum</w:t>
      </w:r>
      <w:r w:rsidR="0098632A">
        <w:rPr>
          <w:rFonts w:ascii="Times New Roman" w:hAnsi="Times New Roman"/>
          <w:color w:val="000000" w:themeColor="text1"/>
          <w:szCs w:val="24"/>
        </w:rPr>
        <w:t>ing</w:t>
      </w:r>
      <w:r w:rsidRPr="008569C5">
        <w:rPr>
          <w:rFonts w:ascii="Times New Roman" w:hAnsi="Times New Roman"/>
          <w:color w:val="000000" w:themeColor="text1"/>
          <w:szCs w:val="24"/>
        </w:rPr>
        <w:t xml:space="preserve"> its work and points out that any further harmonisation of deposit insurance schemes would strengthen the financial stability of the EU banking system.</w:t>
      </w:r>
    </w:p>
    <w:p w14:paraId="3F1B243D" w14:textId="3AF15FAE" w:rsidR="004C579F" w:rsidRPr="008569C5" w:rsidRDefault="004C579F" w:rsidP="004C579F">
      <w:pPr>
        <w:numPr>
          <w:ilvl w:val="0"/>
          <w:numId w:val="1"/>
        </w:numPr>
        <w:ind w:left="567" w:hanging="567"/>
        <w:jc w:val="left"/>
        <w:rPr>
          <w:rFonts w:ascii="Times New Roman" w:hAnsi="Times New Roman"/>
          <w:color w:val="000000" w:themeColor="text1"/>
          <w:szCs w:val="24"/>
        </w:rPr>
      </w:pPr>
      <w:r w:rsidRPr="008569C5">
        <w:rPr>
          <w:rFonts w:ascii="Times New Roman" w:hAnsi="Times New Roman"/>
          <w:b/>
          <w:color w:val="000000" w:themeColor="text1"/>
          <w:szCs w:val="24"/>
        </w:rPr>
        <w:t>Response to requests and overview of action taken, or intended to be taken, by the Commission:</w:t>
      </w:r>
    </w:p>
    <w:p w14:paraId="0F4A129A" w14:textId="2A3F0F53" w:rsidR="004C579F" w:rsidRPr="008569C5" w:rsidRDefault="004C579F" w:rsidP="004C579F">
      <w:pPr>
        <w:spacing w:after="120"/>
        <w:rPr>
          <w:rFonts w:ascii="Times New Roman" w:hAnsi="Times New Roman"/>
          <w:b/>
          <w:i/>
          <w:color w:val="000000" w:themeColor="text1"/>
          <w:szCs w:val="24"/>
          <w:lang w:eastAsia="en-US"/>
        </w:rPr>
      </w:pPr>
      <w:r w:rsidRPr="008569C5">
        <w:rPr>
          <w:rFonts w:ascii="Times New Roman" w:hAnsi="Times New Roman"/>
          <w:b/>
          <w:i/>
          <w:color w:val="000000" w:themeColor="text1"/>
          <w:szCs w:val="24"/>
          <w:lang w:eastAsia="en-US"/>
        </w:rPr>
        <w:t>On General Considerations</w:t>
      </w:r>
    </w:p>
    <w:p w14:paraId="057DF378" w14:textId="4D88283A" w:rsidR="00FA728E" w:rsidRPr="008569C5" w:rsidRDefault="00EE34C9" w:rsidP="004C579F">
      <w:pPr>
        <w:spacing w:after="120"/>
        <w:rPr>
          <w:rFonts w:ascii="Times New Roman" w:hAnsi="Times New Roman"/>
          <w:color w:val="000000" w:themeColor="text1"/>
          <w:lang w:eastAsia="en-US"/>
        </w:rPr>
      </w:pPr>
      <w:r w:rsidRPr="008569C5">
        <w:rPr>
          <w:rFonts w:ascii="Times New Roman" w:hAnsi="Times New Roman"/>
          <w:color w:val="000000" w:themeColor="text1"/>
          <w:lang w:eastAsia="en-US"/>
        </w:rPr>
        <w:t>The European Parliament stresses the importance of the implementation of sanctions and calls on the Commission to take actions in this respect (</w:t>
      </w:r>
      <w:r w:rsidRPr="008569C5">
        <w:rPr>
          <w:rFonts w:ascii="Times New Roman" w:hAnsi="Times New Roman"/>
          <w:i/>
          <w:iCs/>
          <w:color w:val="000000" w:themeColor="text1"/>
          <w:lang w:eastAsia="en-US"/>
        </w:rPr>
        <w:t>paragraph 2</w:t>
      </w:r>
      <w:r w:rsidRPr="008569C5">
        <w:rPr>
          <w:rFonts w:ascii="Times New Roman" w:hAnsi="Times New Roman"/>
          <w:color w:val="000000" w:themeColor="text1"/>
          <w:lang w:eastAsia="en-US"/>
        </w:rPr>
        <w:t xml:space="preserve">). It also calls on supervisory institutions and the </w:t>
      </w:r>
      <w:r w:rsidR="006804E6" w:rsidRPr="006804E6">
        <w:rPr>
          <w:rFonts w:ascii="Times New Roman" w:hAnsi="Times New Roman"/>
          <w:color w:val="000000" w:themeColor="text1"/>
          <w:lang w:eastAsia="en-US"/>
        </w:rPr>
        <w:t xml:space="preserve">European Central Bank </w:t>
      </w:r>
      <w:r w:rsidR="006804E6">
        <w:rPr>
          <w:rFonts w:ascii="Times New Roman" w:hAnsi="Times New Roman"/>
          <w:color w:val="000000" w:themeColor="text1"/>
          <w:lang w:eastAsia="en-US"/>
        </w:rPr>
        <w:t>(</w:t>
      </w:r>
      <w:r w:rsidRPr="008569C5">
        <w:rPr>
          <w:rFonts w:ascii="Times New Roman" w:hAnsi="Times New Roman"/>
          <w:color w:val="000000" w:themeColor="text1"/>
          <w:lang w:eastAsia="en-US"/>
        </w:rPr>
        <w:t>ECB</w:t>
      </w:r>
      <w:r w:rsidR="006804E6">
        <w:rPr>
          <w:rFonts w:ascii="Times New Roman" w:hAnsi="Times New Roman"/>
          <w:color w:val="000000" w:themeColor="text1"/>
          <w:lang w:eastAsia="en-US"/>
        </w:rPr>
        <w:t>)</w:t>
      </w:r>
      <w:r w:rsidRPr="008569C5">
        <w:rPr>
          <w:rFonts w:ascii="Times New Roman" w:hAnsi="Times New Roman"/>
          <w:color w:val="000000" w:themeColor="text1"/>
          <w:lang w:eastAsia="en-US"/>
        </w:rPr>
        <w:t xml:space="preserve"> to help the remaining EU banks operating in Russia to exit this market (</w:t>
      </w:r>
      <w:r w:rsidRPr="008569C5">
        <w:rPr>
          <w:rFonts w:ascii="Times New Roman" w:hAnsi="Times New Roman"/>
          <w:i/>
          <w:iCs/>
          <w:color w:val="000000" w:themeColor="text1"/>
          <w:lang w:eastAsia="en-US"/>
        </w:rPr>
        <w:t>paragraph 3</w:t>
      </w:r>
      <w:r w:rsidRPr="008569C5">
        <w:rPr>
          <w:rFonts w:ascii="Times New Roman" w:hAnsi="Times New Roman"/>
          <w:color w:val="000000" w:themeColor="text1"/>
          <w:lang w:eastAsia="en-US"/>
        </w:rPr>
        <w:t xml:space="preserve">). </w:t>
      </w:r>
    </w:p>
    <w:p w14:paraId="77EFA785" w14:textId="7B7C26C3" w:rsidR="00D152D7" w:rsidRPr="008569C5" w:rsidRDefault="21A944E6" w:rsidP="004C579F">
      <w:pPr>
        <w:spacing w:after="120"/>
        <w:rPr>
          <w:rFonts w:ascii="Times New Roman" w:hAnsi="Times New Roman"/>
          <w:color w:val="000000" w:themeColor="text1"/>
          <w:lang w:eastAsia="en-US"/>
        </w:rPr>
      </w:pPr>
      <w:r w:rsidRPr="008569C5">
        <w:rPr>
          <w:rFonts w:ascii="Times New Roman" w:hAnsi="Times New Roman"/>
          <w:color w:val="000000" w:themeColor="text1"/>
          <w:lang w:eastAsia="en-US"/>
        </w:rPr>
        <w:t xml:space="preserve">The Commission shares the observations on the importance of </w:t>
      </w:r>
      <w:r w:rsidR="53643CD3" w:rsidRPr="008569C5">
        <w:rPr>
          <w:rFonts w:ascii="Times New Roman" w:hAnsi="Times New Roman"/>
          <w:color w:val="000000" w:themeColor="text1"/>
          <w:lang w:eastAsia="en-US"/>
        </w:rPr>
        <w:t xml:space="preserve">ensuring </w:t>
      </w:r>
      <w:r w:rsidR="761576BB" w:rsidRPr="3DD1DE41">
        <w:rPr>
          <w:rFonts w:ascii="Times New Roman" w:hAnsi="Times New Roman"/>
          <w:color w:val="000000" w:themeColor="text1"/>
          <w:lang w:eastAsia="en-US"/>
        </w:rPr>
        <w:t>the</w:t>
      </w:r>
      <w:r w:rsidR="00120A62">
        <w:rPr>
          <w:rFonts w:ascii="Times New Roman" w:hAnsi="Times New Roman"/>
          <w:color w:val="000000" w:themeColor="text1"/>
          <w:lang w:eastAsia="en-US"/>
        </w:rPr>
        <w:t xml:space="preserve"> </w:t>
      </w:r>
      <w:r w:rsidR="53643CD3" w:rsidRPr="008569C5">
        <w:rPr>
          <w:rFonts w:ascii="Times New Roman" w:hAnsi="Times New Roman"/>
          <w:color w:val="000000" w:themeColor="text1"/>
          <w:lang w:eastAsia="en-US"/>
        </w:rPr>
        <w:t>effective implementation o</w:t>
      </w:r>
      <w:r w:rsidR="5CA75DDE" w:rsidRPr="008569C5">
        <w:rPr>
          <w:rFonts w:ascii="Times New Roman" w:hAnsi="Times New Roman"/>
          <w:color w:val="000000" w:themeColor="text1"/>
          <w:lang w:eastAsia="en-US"/>
        </w:rPr>
        <w:t>f</w:t>
      </w:r>
      <w:r w:rsidR="53643CD3" w:rsidRPr="008569C5">
        <w:rPr>
          <w:rFonts w:ascii="Times New Roman" w:hAnsi="Times New Roman"/>
          <w:color w:val="000000" w:themeColor="text1"/>
          <w:lang w:eastAsia="en-US"/>
        </w:rPr>
        <w:t xml:space="preserve"> sanctions and works </w:t>
      </w:r>
      <w:r w:rsidR="2EB26A73" w:rsidRPr="008569C5">
        <w:rPr>
          <w:rFonts w:ascii="Times New Roman" w:hAnsi="Times New Roman"/>
          <w:color w:val="000000" w:themeColor="text1"/>
          <w:lang w:eastAsia="en-US"/>
        </w:rPr>
        <w:t>towards this objective</w:t>
      </w:r>
      <w:r w:rsidR="7A96AE66" w:rsidRPr="008569C5">
        <w:rPr>
          <w:rFonts w:ascii="Times New Roman" w:hAnsi="Times New Roman"/>
          <w:color w:val="000000" w:themeColor="text1"/>
          <w:lang w:eastAsia="en-US"/>
        </w:rPr>
        <w:t xml:space="preserve"> and to address circumvention</w:t>
      </w:r>
      <w:r w:rsidR="2EB26A73" w:rsidRPr="008569C5">
        <w:rPr>
          <w:rFonts w:ascii="Times New Roman" w:hAnsi="Times New Roman"/>
          <w:color w:val="000000" w:themeColor="text1"/>
          <w:lang w:eastAsia="en-US"/>
        </w:rPr>
        <w:t>.</w:t>
      </w:r>
    </w:p>
    <w:p w14:paraId="27B85AA4" w14:textId="33F007EB" w:rsidR="004C579F" w:rsidRPr="008569C5" w:rsidRDefault="5ED6777A" w:rsidP="004C579F">
      <w:pPr>
        <w:spacing w:after="120"/>
        <w:rPr>
          <w:rFonts w:ascii="Times New Roman" w:hAnsi="Times New Roman"/>
          <w:color w:val="000000" w:themeColor="text1"/>
          <w:lang w:eastAsia="en-US"/>
        </w:rPr>
      </w:pPr>
      <w:r w:rsidRPr="008569C5">
        <w:rPr>
          <w:rFonts w:ascii="Times New Roman" w:hAnsi="Times New Roman"/>
          <w:color w:val="000000" w:themeColor="text1"/>
          <w:lang w:eastAsia="en-US"/>
        </w:rPr>
        <w:lastRenderedPageBreak/>
        <w:t xml:space="preserve">The Commission </w:t>
      </w:r>
      <w:r w:rsidR="00857CF0" w:rsidRPr="008569C5">
        <w:rPr>
          <w:rFonts w:ascii="Times New Roman" w:hAnsi="Times New Roman"/>
          <w:color w:val="000000" w:themeColor="text1"/>
          <w:lang w:eastAsia="en-US"/>
        </w:rPr>
        <w:t xml:space="preserve">follows </w:t>
      </w:r>
      <w:r w:rsidR="009A5CE5" w:rsidRPr="008569C5">
        <w:rPr>
          <w:rFonts w:ascii="Times New Roman" w:hAnsi="Times New Roman"/>
          <w:color w:val="000000" w:themeColor="text1"/>
          <w:lang w:eastAsia="en-US"/>
        </w:rPr>
        <w:t xml:space="preserve">closely </w:t>
      </w:r>
      <w:r w:rsidR="00D843E2" w:rsidRPr="008569C5">
        <w:rPr>
          <w:rFonts w:ascii="Times New Roman" w:hAnsi="Times New Roman"/>
          <w:color w:val="000000" w:themeColor="text1"/>
          <w:lang w:eastAsia="en-US"/>
        </w:rPr>
        <w:t>developments in the financial sector in Russia, and in particular, the operations of EU banks</w:t>
      </w:r>
      <w:r w:rsidR="00CB33CA" w:rsidRPr="008569C5">
        <w:rPr>
          <w:rFonts w:ascii="Times New Roman" w:hAnsi="Times New Roman"/>
          <w:color w:val="000000" w:themeColor="text1"/>
          <w:lang w:eastAsia="en-US"/>
        </w:rPr>
        <w:t xml:space="preserve">, </w:t>
      </w:r>
      <w:r w:rsidR="0009263E" w:rsidRPr="008569C5">
        <w:rPr>
          <w:rFonts w:ascii="Times New Roman" w:hAnsi="Times New Roman"/>
          <w:color w:val="000000" w:themeColor="text1"/>
          <w:lang w:eastAsia="en-US"/>
        </w:rPr>
        <w:t xml:space="preserve">whose activity </w:t>
      </w:r>
      <w:r w:rsidR="00C31F7C">
        <w:rPr>
          <w:rFonts w:ascii="Times New Roman" w:hAnsi="Times New Roman"/>
          <w:color w:val="000000" w:themeColor="text1"/>
          <w:lang w:eastAsia="en-US"/>
        </w:rPr>
        <w:t xml:space="preserve">in Russia </w:t>
      </w:r>
      <w:r w:rsidR="0009263E" w:rsidRPr="008569C5">
        <w:rPr>
          <w:rFonts w:ascii="Times New Roman" w:hAnsi="Times New Roman"/>
          <w:color w:val="000000" w:themeColor="text1"/>
          <w:lang w:eastAsia="en-US"/>
        </w:rPr>
        <w:t>is closely monitored by</w:t>
      </w:r>
      <w:r w:rsidR="00CB33CA" w:rsidRPr="008569C5">
        <w:rPr>
          <w:rFonts w:ascii="Times New Roman" w:hAnsi="Times New Roman"/>
          <w:color w:val="000000" w:themeColor="text1"/>
          <w:lang w:eastAsia="en-US"/>
        </w:rPr>
        <w:t xml:space="preserve"> supervisory institution</w:t>
      </w:r>
      <w:r w:rsidR="0009263E" w:rsidRPr="008569C5">
        <w:rPr>
          <w:rFonts w:ascii="Times New Roman" w:hAnsi="Times New Roman"/>
          <w:color w:val="000000" w:themeColor="text1"/>
          <w:lang w:eastAsia="en-US"/>
        </w:rPr>
        <w:t>s</w:t>
      </w:r>
      <w:r w:rsidR="00775F28" w:rsidRPr="008569C5">
        <w:rPr>
          <w:rFonts w:ascii="Times New Roman" w:hAnsi="Times New Roman"/>
          <w:color w:val="000000" w:themeColor="text1"/>
          <w:lang w:eastAsia="en-US"/>
        </w:rPr>
        <w:t xml:space="preserve"> and the ECB</w:t>
      </w:r>
      <w:r w:rsidR="348D2635" w:rsidRPr="008569C5">
        <w:rPr>
          <w:rFonts w:ascii="Times New Roman" w:hAnsi="Times New Roman"/>
          <w:color w:val="000000" w:themeColor="text1"/>
          <w:lang w:eastAsia="en-US"/>
        </w:rPr>
        <w:t xml:space="preserve"> </w:t>
      </w:r>
      <w:proofErr w:type="gramStart"/>
      <w:r w:rsidR="348D2635" w:rsidRPr="008569C5">
        <w:rPr>
          <w:rFonts w:ascii="Times New Roman" w:hAnsi="Times New Roman"/>
          <w:color w:val="000000" w:themeColor="text1"/>
          <w:lang w:eastAsia="en-US"/>
        </w:rPr>
        <w:t>in order to</w:t>
      </w:r>
      <w:proofErr w:type="gramEnd"/>
      <w:r w:rsidR="348D2635" w:rsidRPr="008569C5">
        <w:rPr>
          <w:rFonts w:ascii="Times New Roman" w:hAnsi="Times New Roman"/>
          <w:color w:val="000000" w:themeColor="text1"/>
          <w:lang w:eastAsia="en-US"/>
        </w:rPr>
        <w:t xml:space="preserve"> take action or provide guidance, if necessary</w:t>
      </w:r>
      <w:r w:rsidR="007A04E8" w:rsidRPr="008569C5">
        <w:rPr>
          <w:rFonts w:ascii="Times New Roman" w:hAnsi="Times New Roman"/>
          <w:color w:val="000000" w:themeColor="text1"/>
          <w:lang w:eastAsia="en-US"/>
        </w:rPr>
        <w:t xml:space="preserve"> </w:t>
      </w:r>
      <w:r w:rsidR="4F39F02F" w:rsidRPr="008569C5">
        <w:rPr>
          <w:rFonts w:ascii="Times New Roman" w:hAnsi="Times New Roman"/>
          <w:color w:val="000000" w:themeColor="text1"/>
          <w:lang w:eastAsia="en-US"/>
        </w:rPr>
        <w:t>(</w:t>
      </w:r>
      <w:r w:rsidR="4F39F02F" w:rsidRPr="008569C5">
        <w:rPr>
          <w:rFonts w:ascii="Times New Roman" w:hAnsi="Times New Roman"/>
          <w:i/>
          <w:iCs/>
          <w:color w:val="000000" w:themeColor="text1"/>
          <w:lang w:eastAsia="en-US"/>
        </w:rPr>
        <w:t>paragraphs 2 and 3</w:t>
      </w:r>
      <w:r w:rsidR="320A45F1" w:rsidRPr="008569C5">
        <w:rPr>
          <w:rFonts w:ascii="Times New Roman" w:hAnsi="Times New Roman"/>
          <w:color w:val="000000" w:themeColor="text1"/>
          <w:lang w:eastAsia="en-US"/>
        </w:rPr>
        <w:t>)</w:t>
      </w:r>
      <w:r w:rsidR="35FE9FAA" w:rsidRPr="008569C5">
        <w:rPr>
          <w:rFonts w:ascii="Times New Roman" w:hAnsi="Times New Roman"/>
          <w:color w:val="000000" w:themeColor="text1"/>
          <w:lang w:eastAsia="en-US"/>
        </w:rPr>
        <w:t>.</w:t>
      </w:r>
    </w:p>
    <w:p w14:paraId="6679FDFF" w14:textId="27BED041" w:rsidR="004C579F" w:rsidRPr="008569C5" w:rsidRDefault="00EE34C9" w:rsidP="004C579F">
      <w:pPr>
        <w:spacing w:after="120"/>
        <w:rPr>
          <w:rFonts w:ascii="Times New Roman" w:hAnsi="Times New Roman"/>
          <w:color w:val="000000" w:themeColor="text1"/>
          <w:lang w:eastAsia="en-US"/>
        </w:rPr>
      </w:pPr>
      <w:r w:rsidRPr="008569C5">
        <w:rPr>
          <w:rFonts w:ascii="Times New Roman" w:hAnsi="Times New Roman"/>
          <w:color w:val="000000" w:themeColor="text1"/>
          <w:lang w:eastAsia="en-US"/>
        </w:rPr>
        <w:t>The Commission</w:t>
      </w:r>
      <w:r w:rsidR="004C579F" w:rsidRPr="008569C5">
        <w:rPr>
          <w:rFonts w:ascii="Times New Roman" w:hAnsi="Times New Roman"/>
          <w:color w:val="000000" w:themeColor="text1"/>
          <w:lang w:eastAsia="en-US"/>
        </w:rPr>
        <w:t xml:space="preserve"> shares the observations on the importance of the Banking Union to complement the Economic and Monetary Union and the</w:t>
      </w:r>
      <w:r w:rsidRPr="008569C5">
        <w:rPr>
          <w:rFonts w:ascii="Times New Roman" w:hAnsi="Times New Roman"/>
          <w:color w:val="000000" w:themeColor="text1"/>
          <w:lang w:eastAsia="en-US"/>
        </w:rPr>
        <w:t xml:space="preserve"> internal</w:t>
      </w:r>
      <w:r w:rsidR="004C579F" w:rsidRPr="008569C5">
        <w:rPr>
          <w:rFonts w:ascii="Times New Roman" w:hAnsi="Times New Roman"/>
          <w:color w:val="000000" w:themeColor="text1"/>
          <w:lang w:eastAsia="en-US"/>
        </w:rPr>
        <w:t xml:space="preserve"> market (</w:t>
      </w:r>
      <w:r w:rsidR="004C579F" w:rsidRPr="008569C5">
        <w:rPr>
          <w:rFonts w:ascii="Times New Roman" w:hAnsi="Times New Roman"/>
          <w:i/>
          <w:iCs/>
          <w:color w:val="000000" w:themeColor="text1"/>
          <w:lang w:eastAsia="en-US"/>
        </w:rPr>
        <w:t>paragraph</w:t>
      </w:r>
      <w:r w:rsidR="00D87312" w:rsidRPr="008569C5">
        <w:rPr>
          <w:rFonts w:ascii="Times New Roman" w:hAnsi="Times New Roman"/>
          <w:i/>
          <w:iCs/>
          <w:color w:val="000000" w:themeColor="text1"/>
          <w:lang w:eastAsia="en-US"/>
        </w:rPr>
        <w:t>s</w:t>
      </w:r>
      <w:r w:rsidR="004C579F" w:rsidRPr="008569C5">
        <w:rPr>
          <w:rFonts w:ascii="Times New Roman" w:hAnsi="Times New Roman"/>
          <w:i/>
          <w:iCs/>
          <w:color w:val="000000" w:themeColor="text1"/>
          <w:lang w:eastAsia="en-US"/>
        </w:rPr>
        <w:t xml:space="preserve"> 4</w:t>
      </w:r>
      <w:r w:rsidR="00D87312" w:rsidRPr="008569C5">
        <w:rPr>
          <w:rFonts w:ascii="Times New Roman" w:hAnsi="Times New Roman"/>
          <w:i/>
          <w:iCs/>
          <w:color w:val="000000" w:themeColor="text1"/>
          <w:lang w:eastAsia="en-US"/>
        </w:rPr>
        <w:t xml:space="preserve"> and 5</w:t>
      </w:r>
      <w:r w:rsidR="004C579F" w:rsidRPr="008569C5">
        <w:rPr>
          <w:rFonts w:ascii="Times New Roman" w:hAnsi="Times New Roman"/>
          <w:color w:val="000000" w:themeColor="text1"/>
          <w:lang w:eastAsia="en-US"/>
        </w:rPr>
        <w:t>) and welcomes the Parliament’s stance on the need to complete the Banking Union.</w:t>
      </w:r>
    </w:p>
    <w:p w14:paraId="66A5D5BF" w14:textId="61BE678F" w:rsidR="00FA00DA" w:rsidRPr="008569C5" w:rsidRDefault="00FA00DA" w:rsidP="00FA00DA">
      <w:pPr>
        <w:spacing w:after="120"/>
        <w:rPr>
          <w:rFonts w:ascii="Times New Roman" w:hAnsi="Times New Roman"/>
          <w:color w:val="000000" w:themeColor="text1"/>
          <w:lang w:val="en-IE" w:eastAsia="en-US"/>
        </w:rPr>
      </w:pPr>
      <w:r w:rsidRPr="008569C5">
        <w:rPr>
          <w:rFonts w:ascii="Times New Roman" w:hAnsi="Times New Roman"/>
          <w:color w:val="000000" w:themeColor="text1"/>
          <w:lang w:val="en-IE" w:eastAsia="en-US"/>
        </w:rPr>
        <w:t xml:space="preserve">The Commission continues to work on the completion of the Capital Markets Union (CMU) with significant progress having been made since the project began in 2015. It has delivered on all measures in the 2020 CMU action plan and almost </w:t>
      </w:r>
      <w:proofErr w:type="gramStart"/>
      <w:r w:rsidRPr="008569C5">
        <w:rPr>
          <w:rFonts w:ascii="Times New Roman" w:hAnsi="Times New Roman"/>
          <w:color w:val="000000" w:themeColor="text1"/>
          <w:lang w:val="en-IE" w:eastAsia="en-US"/>
        </w:rPr>
        <w:t>all of</w:t>
      </w:r>
      <w:proofErr w:type="gramEnd"/>
      <w:r w:rsidRPr="008569C5">
        <w:rPr>
          <w:rFonts w:ascii="Times New Roman" w:hAnsi="Times New Roman"/>
          <w:color w:val="000000" w:themeColor="text1"/>
          <w:lang w:val="en-IE" w:eastAsia="en-US"/>
        </w:rPr>
        <w:t xml:space="preserve"> the legislative measures have been agreed upon or are being negotiated by co-legislators. These measures are expected to have a positive impact on the growth of EU capital markets, improve access to market</w:t>
      </w:r>
      <w:r w:rsidR="00BB6205">
        <w:rPr>
          <w:rFonts w:ascii="Times New Roman" w:hAnsi="Times New Roman"/>
          <w:color w:val="000000" w:themeColor="text1"/>
          <w:lang w:val="en-IE" w:eastAsia="en-US"/>
        </w:rPr>
        <w:t>-</w:t>
      </w:r>
      <w:r w:rsidRPr="008569C5">
        <w:rPr>
          <w:rFonts w:ascii="Times New Roman" w:hAnsi="Times New Roman"/>
          <w:color w:val="000000" w:themeColor="text1"/>
          <w:lang w:val="en-IE" w:eastAsia="en-US"/>
        </w:rPr>
        <w:t>based sources of funding for EU companies, mak</w:t>
      </w:r>
      <w:r w:rsidR="00BB6205">
        <w:rPr>
          <w:rFonts w:ascii="Times New Roman" w:hAnsi="Times New Roman"/>
          <w:color w:val="000000" w:themeColor="text1"/>
          <w:lang w:val="en-IE" w:eastAsia="en-US"/>
        </w:rPr>
        <w:t>ing</w:t>
      </w:r>
      <w:r w:rsidRPr="008569C5">
        <w:rPr>
          <w:rFonts w:ascii="Times New Roman" w:hAnsi="Times New Roman"/>
          <w:color w:val="000000" w:themeColor="text1"/>
          <w:lang w:val="en-IE" w:eastAsia="en-US"/>
        </w:rPr>
        <w:t xml:space="preserve"> it easier and more attractive for investors to invest in EU companies and to increase financial stability and resilience.</w:t>
      </w:r>
    </w:p>
    <w:p w14:paraId="6AC02935" w14:textId="357936A4" w:rsidR="009F600F" w:rsidRPr="008569C5" w:rsidRDefault="15AE56EF" w:rsidP="00FA00DA">
      <w:pPr>
        <w:spacing w:after="120"/>
        <w:rPr>
          <w:rFonts w:ascii="Times New Roman" w:hAnsi="Times New Roman"/>
          <w:color w:val="000000" w:themeColor="text1"/>
          <w:lang w:eastAsia="en-US"/>
        </w:rPr>
      </w:pPr>
      <w:r w:rsidRPr="008569C5">
        <w:rPr>
          <w:rFonts w:ascii="Times New Roman" w:hAnsi="Times New Roman"/>
          <w:color w:val="000000" w:themeColor="text1"/>
          <w:lang w:val="en-IE" w:eastAsia="en-US"/>
        </w:rPr>
        <w:t>The Commission considers that the CMU is as fundamental as ever to deliver on the EU’s key economic policy objectives: a</w:t>
      </w:r>
      <w:r w:rsidR="69659D73" w:rsidRPr="008569C5">
        <w:rPr>
          <w:rFonts w:ascii="Times New Roman" w:hAnsi="Times New Roman"/>
          <w:color w:val="000000" w:themeColor="text1"/>
          <w:lang w:val="en-IE" w:eastAsia="en-US"/>
        </w:rPr>
        <w:t xml:space="preserve"> competitive</w:t>
      </w:r>
      <w:r w:rsidRPr="008569C5">
        <w:rPr>
          <w:rFonts w:ascii="Times New Roman" w:hAnsi="Times New Roman"/>
          <w:color w:val="000000" w:themeColor="text1"/>
          <w:lang w:val="en-IE" w:eastAsia="en-US"/>
        </w:rPr>
        <w:t xml:space="preserve"> and resilient economy that works for all, the transition towards a digital and sustainable economy and open strategic</w:t>
      </w:r>
      <w:r w:rsidR="568E1B7B" w:rsidRPr="008569C5">
        <w:rPr>
          <w:rFonts w:ascii="Times New Roman" w:hAnsi="Times New Roman"/>
          <w:color w:val="000000" w:themeColor="text1"/>
          <w:lang w:val="en-IE" w:eastAsia="en-US"/>
        </w:rPr>
        <w:t xml:space="preserve"> </w:t>
      </w:r>
      <w:r w:rsidRPr="008569C5">
        <w:rPr>
          <w:rFonts w:ascii="Times New Roman" w:hAnsi="Times New Roman"/>
          <w:color w:val="000000" w:themeColor="text1"/>
          <w:lang w:val="en-IE" w:eastAsia="en-US"/>
        </w:rPr>
        <w:t xml:space="preserve">autonomy in an increasingly complex global economic </w:t>
      </w:r>
      <w:r w:rsidR="1BC9B1B5" w:rsidRPr="008569C5">
        <w:rPr>
          <w:rFonts w:ascii="Times New Roman" w:hAnsi="Times New Roman"/>
          <w:color w:val="000000" w:themeColor="text1"/>
          <w:lang w:val="en-IE" w:eastAsia="en-US"/>
        </w:rPr>
        <w:t xml:space="preserve">and geopolitical </w:t>
      </w:r>
      <w:r w:rsidRPr="008569C5">
        <w:rPr>
          <w:rFonts w:ascii="Times New Roman" w:hAnsi="Times New Roman"/>
          <w:color w:val="000000" w:themeColor="text1"/>
          <w:lang w:val="en-IE" w:eastAsia="en-US"/>
        </w:rPr>
        <w:t>context</w:t>
      </w:r>
      <w:r w:rsidR="0051124E">
        <w:rPr>
          <w:rFonts w:ascii="Times New Roman" w:hAnsi="Times New Roman"/>
          <w:color w:val="000000" w:themeColor="text1"/>
          <w:lang w:val="en-IE" w:eastAsia="en-US"/>
        </w:rPr>
        <w:t xml:space="preserve"> </w:t>
      </w:r>
      <w:r w:rsidR="0051124E" w:rsidRPr="0075384C">
        <w:rPr>
          <w:rFonts w:ascii="Times New Roman" w:hAnsi="Times New Roman"/>
          <w:i/>
          <w:iCs/>
          <w:color w:val="000000" w:themeColor="text1"/>
          <w:lang w:val="en-IE" w:eastAsia="en-US"/>
        </w:rPr>
        <w:t>(paragraphs 5)</w:t>
      </w:r>
      <w:r w:rsidR="0051124E">
        <w:rPr>
          <w:rFonts w:ascii="Times New Roman" w:hAnsi="Times New Roman"/>
          <w:i/>
          <w:iCs/>
          <w:color w:val="000000" w:themeColor="text1"/>
          <w:lang w:val="en-IE" w:eastAsia="en-US"/>
        </w:rPr>
        <w:t>.</w:t>
      </w:r>
    </w:p>
    <w:p w14:paraId="2CC73DDE" w14:textId="1A6C87C2" w:rsidR="00C0255A" w:rsidRPr="008569C5" w:rsidRDefault="01D69F93" w:rsidP="00C0255A">
      <w:pPr>
        <w:spacing w:after="120"/>
        <w:rPr>
          <w:rFonts w:ascii="Times New Roman" w:hAnsi="Times New Roman"/>
          <w:color w:val="000000" w:themeColor="text1"/>
          <w:lang w:eastAsia="en-US"/>
        </w:rPr>
      </w:pPr>
      <w:r w:rsidRPr="008569C5">
        <w:rPr>
          <w:rFonts w:ascii="Times New Roman" w:hAnsi="Times New Roman"/>
          <w:color w:val="000000" w:themeColor="text1"/>
          <w:lang w:eastAsia="en-US"/>
        </w:rPr>
        <w:t xml:space="preserve">The Commission shares the European Parliament’s </w:t>
      </w:r>
      <w:r w:rsidR="006A4791" w:rsidRPr="008569C5">
        <w:rPr>
          <w:rFonts w:ascii="Times New Roman" w:hAnsi="Times New Roman"/>
          <w:color w:val="000000" w:themeColor="text1"/>
          <w:lang w:eastAsia="en-US"/>
        </w:rPr>
        <w:t>observation</w:t>
      </w:r>
      <w:r w:rsidR="00483877" w:rsidRPr="008569C5">
        <w:rPr>
          <w:rFonts w:ascii="Times New Roman" w:hAnsi="Times New Roman"/>
          <w:color w:val="000000" w:themeColor="text1"/>
          <w:lang w:eastAsia="en-US"/>
        </w:rPr>
        <w:t xml:space="preserve"> that the</w:t>
      </w:r>
      <w:r w:rsidRPr="008569C5">
        <w:rPr>
          <w:rFonts w:ascii="Times New Roman" w:hAnsi="Times New Roman"/>
          <w:color w:val="000000" w:themeColor="text1"/>
          <w:lang w:eastAsia="en-US"/>
        </w:rPr>
        <w:t xml:space="preserve"> EU banking sector </w:t>
      </w:r>
      <w:r w:rsidR="00483877" w:rsidRPr="008569C5">
        <w:rPr>
          <w:rFonts w:ascii="Times New Roman" w:hAnsi="Times New Roman"/>
          <w:color w:val="000000" w:themeColor="text1"/>
          <w:lang w:eastAsia="en-US"/>
        </w:rPr>
        <w:t>needs to be</w:t>
      </w:r>
      <w:r w:rsidRPr="008569C5">
        <w:rPr>
          <w:rFonts w:ascii="Times New Roman" w:hAnsi="Times New Roman"/>
          <w:color w:val="000000" w:themeColor="text1"/>
          <w:lang w:eastAsia="en-US"/>
        </w:rPr>
        <w:t xml:space="preserve"> profitable in the long term</w:t>
      </w:r>
      <w:r w:rsidR="001A62F1" w:rsidRPr="008569C5">
        <w:rPr>
          <w:rFonts w:ascii="Times New Roman" w:hAnsi="Times New Roman"/>
          <w:color w:val="000000" w:themeColor="text1"/>
          <w:lang w:eastAsia="en-US"/>
        </w:rPr>
        <w:t>, also to ensure its competitiveness,</w:t>
      </w:r>
      <w:r w:rsidRPr="008569C5">
        <w:rPr>
          <w:rFonts w:ascii="Times New Roman" w:hAnsi="Times New Roman"/>
          <w:color w:val="000000" w:themeColor="text1"/>
          <w:lang w:eastAsia="en-US"/>
        </w:rPr>
        <w:t xml:space="preserve"> and agrees that banks should continue to strengthen their resilience to macroeconomic and financial shocks, including by using profits to build buffers. </w:t>
      </w:r>
      <w:r w:rsidR="3AF38B14" w:rsidRPr="008569C5">
        <w:rPr>
          <w:rFonts w:ascii="Times New Roman" w:hAnsi="Times New Roman"/>
          <w:color w:val="000000" w:themeColor="text1"/>
          <w:lang w:eastAsia="en-US"/>
        </w:rPr>
        <w:t xml:space="preserve">Banks should also use profits for future-oriented investments. </w:t>
      </w:r>
      <w:r w:rsidRPr="008569C5">
        <w:rPr>
          <w:rFonts w:ascii="Times New Roman" w:hAnsi="Times New Roman"/>
          <w:color w:val="000000" w:themeColor="text1"/>
          <w:lang w:eastAsia="en-US"/>
        </w:rPr>
        <w:t xml:space="preserve">The Parliament </w:t>
      </w:r>
      <w:r w:rsidR="56CEDDC5" w:rsidRPr="008569C5">
        <w:rPr>
          <w:rFonts w:ascii="Times New Roman" w:hAnsi="Times New Roman"/>
          <w:color w:val="000000" w:themeColor="text1"/>
          <w:lang w:eastAsia="en-US"/>
        </w:rPr>
        <w:t>notes</w:t>
      </w:r>
      <w:r w:rsidRPr="008569C5">
        <w:rPr>
          <w:rFonts w:ascii="Times New Roman" w:hAnsi="Times New Roman"/>
          <w:color w:val="000000" w:themeColor="text1"/>
          <w:lang w:eastAsia="en-US"/>
        </w:rPr>
        <w:t xml:space="preserve"> </w:t>
      </w:r>
      <w:r w:rsidR="56CEDDC5" w:rsidRPr="008569C5">
        <w:rPr>
          <w:rFonts w:ascii="Times New Roman" w:hAnsi="Times New Roman"/>
          <w:color w:val="000000" w:themeColor="text1"/>
          <w:lang w:eastAsia="en-US"/>
        </w:rPr>
        <w:t>that</w:t>
      </w:r>
      <w:r w:rsidRPr="008569C5">
        <w:rPr>
          <w:rFonts w:ascii="Times New Roman" w:hAnsi="Times New Roman"/>
          <w:color w:val="000000" w:themeColor="text1"/>
          <w:lang w:eastAsia="en-US"/>
        </w:rPr>
        <w:t xml:space="preserve"> limitation</w:t>
      </w:r>
      <w:r w:rsidR="00BB6205">
        <w:rPr>
          <w:rFonts w:ascii="Times New Roman" w:hAnsi="Times New Roman"/>
          <w:color w:val="000000" w:themeColor="text1"/>
          <w:lang w:eastAsia="en-US"/>
        </w:rPr>
        <w:t>s</w:t>
      </w:r>
      <w:r w:rsidRPr="008569C5">
        <w:rPr>
          <w:rFonts w:ascii="Times New Roman" w:hAnsi="Times New Roman"/>
          <w:color w:val="000000" w:themeColor="text1"/>
          <w:lang w:eastAsia="en-US"/>
        </w:rPr>
        <w:t xml:space="preserve"> on dividends and buy-backs </w:t>
      </w:r>
      <w:r w:rsidR="4D510F74" w:rsidRPr="008569C5">
        <w:rPr>
          <w:rFonts w:ascii="Times New Roman" w:hAnsi="Times New Roman"/>
          <w:color w:val="000000" w:themeColor="text1"/>
          <w:lang w:eastAsia="en-US"/>
        </w:rPr>
        <w:t xml:space="preserve">proved effective </w:t>
      </w:r>
      <w:r w:rsidR="45D3B348" w:rsidRPr="008569C5">
        <w:rPr>
          <w:rFonts w:ascii="Times New Roman" w:hAnsi="Times New Roman"/>
          <w:color w:val="000000" w:themeColor="text1"/>
          <w:lang w:eastAsia="en-US"/>
        </w:rPr>
        <w:t xml:space="preserve">during the COVID-19 </w:t>
      </w:r>
      <w:r w:rsidRPr="008569C5">
        <w:rPr>
          <w:rFonts w:ascii="Times New Roman" w:hAnsi="Times New Roman"/>
          <w:color w:val="000000" w:themeColor="text1"/>
          <w:lang w:eastAsia="en-US"/>
        </w:rPr>
        <w:t xml:space="preserve">crisis. The Commission </w:t>
      </w:r>
      <w:r w:rsidR="45D3B348" w:rsidRPr="008569C5">
        <w:rPr>
          <w:rFonts w:ascii="Times New Roman" w:hAnsi="Times New Roman"/>
          <w:color w:val="000000" w:themeColor="text1"/>
          <w:lang w:eastAsia="en-US"/>
        </w:rPr>
        <w:t xml:space="preserve">agrees with the Parliament and </w:t>
      </w:r>
      <w:r w:rsidRPr="008569C5">
        <w:rPr>
          <w:rFonts w:ascii="Times New Roman" w:hAnsi="Times New Roman"/>
          <w:color w:val="000000" w:themeColor="text1"/>
          <w:lang w:eastAsia="en-US"/>
        </w:rPr>
        <w:t>notes that such limitations should only be considered to address exceptional circumstances. In normal circumstances, the existing prudential and resolution rules limiting dividend distributions seem adequate (</w:t>
      </w:r>
      <w:r w:rsidRPr="008569C5">
        <w:rPr>
          <w:rFonts w:ascii="Times New Roman" w:hAnsi="Times New Roman"/>
          <w:i/>
          <w:iCs/>
          <w:color w:val="000000" w:themeColor="text1"/>
          <w:lang w:eastAsia="en-US"/>
        </w:rPr>
        <w:t>paragraph</w:t>
      </w:r>
      <w:r w:rsidR="302DA6C7" w:rsidRPr="008569C5">
        <w:rPr>
          <w:rFonts w:ascii="Times New Roman" w:hAnsi="Times New Roman"/>
          <w:i/>
          <w:iCs/>
          <w:color w:val="000000" w:themeColor="text1"/>
          <w:lang w:eastAsia="en-US"/>
        </w:rPr>
        <w:t>s</w:t>
      </w:r>
      <w:r w:rsidRPr="008569C5">
        <w:rPr>
          <w:rFonts w:ascii="Times New Roman" w:hAnsi="Times New Roman"/>
          <w:i/>
          <w:iCs/>
          <w:color w:val="000000" w:themeColor="text1"/>
          <w:lang w:eastAsia="en-US"/>
        </w:rPr>
        <w:t xml:space="preserve"> 6 and 7)</w:t>
      </w:r>
      <w:r w:rsidRPr="008569C5">
        <w:rPr>
          <w:rFonts w:ascii="Times New Roman" w:hAnsi="Times New Roman"/>
          <w:color w:val="000000" w:themeColor="text1"/>
          <w:lang w:eastAsia="en-US"/>
        </w:rPr>
        <w:t>.</w:t>
      </w:r>
    </w:p>
    <w:p w14:paraId="355A5745" w14:textId="4C86AD8C" w:rsidR="009B7167" w:rsidRDefault="01D69F93" w:rsidP="00C0255A">
      <w:pPr>
        <w:spacing w:after="120"/>
        <w:rPr>
          <w:rFonts w:ascii="Times New Roman" w:hAnsi="Times New Roman"/>
          <w:color w:val="000000" w:themeColor="text1"/>
          <w:lang w:eastAsia="en-US"/>
        </w:rPr>
      </w:pPr>
      <w:r w:rsidRPr="008569C5">
        <w:rPr>
          <w:rFonts w:ascii="Times New Roman" w:hAnsi="Times New Roman"/>
          <w:color w:val="000000" w:themeColor="text1"/>
          <w:lang w:eastAsia="en-US"/>
        </w:rPr>
        <w:t>The Commission takes note of the Parliament’s concerns relating to the tightening of credit standards for loans to firms and households, including for house purchases</w:t>
      </w:r>
      <w:r w:rsidR="00C3056A" w:rsidRPr="008569C5">
        <w:rPr>
          <w:rFonts w:ascii="Times New Roman" w:hAnsi="Times New Roman"/>
          <w:color w:val="000000" w:themeColor="text1"/>
          <w:lang w:eastAsia="en-US"/>
        </w:rPr>
        <w:t xml:space="preserve"> while noting that </w:t>
      </w:r>
      <w:r w:rsidR="00272C2D" w:rsidRPr="008569C5">
        <w:rPr>
          <w:rFonts w:ascii="Times New Roman" w:hAnsi="Times New Roman"/>
          <w:color w:val="000000" w:themeColor="text1"/>
          <w:lang w:eastAsia="en-US"/>
        </w:rPr>
        <w:t>this is also linked</w:t>
      </w:r>
      <w:r w:rsidR="00C3056A" w:rsidRPr="008569C5">
        <w:rPr>
          <w:rFonts w:ascii="Times New Roman" w:hAnsi="Times New Roman"/>
          <w:color w:val="000000" w:themeColor="text1"/>
          <w:lang w:eastAsia="en-US"/>
        </w:rPr>
        <w:t xml:space="preserve"> to</w:t>
      </w:r>
      <w:r w:rsidR="00EA02B4" w:rsidRPr="008569C5">
        <w:rPr>
          <w:rFonts w:ascii="Times New Roman" w:hAnsi="Times New Roman"/>
          <w:color w:val="000000" w:themeColor="text1"/>
          <w:lang w:eastAsia="en-US"/>
        </w:rPr>
        <w:t xml:space="preserve"> a tightened </w:t>
      </w:r>
      <w:r w:rsidR="00C3056A" w:rsidRPr="008569C5">
        <w:rPr>
          <w:rFonts w:ascii="Times New Roman" w:hAnsi="Times New Roman"/>
          <w:color w:val="000000" w:themeColor="text1"/>
          <w:lang w:eastAsia="en-US"/>
        </w:rPr>
        <w:t>monetary policy</w:t>
      </w:r>
      <w:r w:rsidR="00EA02B4" w:rsidRPr="008569C5">
        <w:rPr>
          <w:rFonts w:ascii="Times New Roman" w:hAnsi="Times New Roman"/>
          <w:color w:val="000000" w:themeColor="text1"/>
          <w:lang w:eastAsia="en-US"/>
        </w:rPr>
        <w:t xml:space="preserve"> that seeks to curb inflation</w:t>
      </w:r>
      <w:r w:rsidRPr="008569C5">
        <w:rPr>
          <w:rFonts w:ascii="Times New Roman" w:hAnsi="Times New Roman"/>
          <w:color w:val="000000" w:themeColor="text1"/>
          <w:lang w:eastAsia="en-US"/>
        </w:rPr>
        <w:t xml:space="preserve">. </w:t>
      </w:r>
      <w:r w:rsidR="006804E6">
        <w:rPr>
          <w:rFonts w:ascii="Times New Roman" w:hAnsi="Times New Roman"/>
          <w:color w:val="000000" w:themeColor="text1"/>
          <w:lang w:eastAsia="en-US"/>
        </w:rPr>
        <w:t>T</w:t>
      </w:r>
      <w:r w:rsidR="5A70B45C" w:rsidRPr="008569C5">
        <w:rPr>
          <w:rFonts w:ascii="Times New Roman" w:hAnsi="Times New Roman"/>
          <w:color w:val="000000" w:themeColor="text1"/>
          <w:lang w:eastAsia="en-US"/>
        </w:rPr>
        <w:t xml:space="preserve">here is </w:t>
      </w:r>
      <w:r w:rsidR="006804E6">
        <w:rPr>
          <w:rFonts w:ascii="Times New Roman" w:hAnsi="Times New Roman"/>
          <w:color w:val="000000" w:themeColor="text1"/>
          <w:lang w:eastAsia="en-US"/>
        </w:rPr>
        <w:t xml:space="preserve">also </w:t>
      </w:r>
      <w:r w:rsidR="5A70B45C" w:rsidRPr="008569C5">
        <w:rPr>
          <w:rFonts w:ascii="Times New Roman" w:hAnsi="Times New Roman"/>
          <w:color w:val="000000" w:themeColor="text1"/>
          <w:lang w:eastAsia="en-US"/>
        </w:rPr>
        <w:t xml:space="preserve">an inherent </w:t>
      </w:r>
      <w:r w:rsidR="247CE8F2" w:rsidRPr="008569C5">
        <w:rPr>
          <w:rFonts w:ascii="Times New Roman" w:hAnsi="Times New Roman"/>
          <w:color w:val="000000" w:themeColor="text1"/>
          <w:lang w:eastAsia="en-US"/>
        </w:rPr>
        <w:t>trade-off</w:t>
      </w:r>
      <w:r w:rsidR="5A70B45C" w:rsidRPr="008569C5">
        <w:rPr>
          <w:rFonts w:ascii="Times New Roman" w:hAnsi="Times New Roman"/>
          <w:color w:val="000000" w:themeColor="text1"/>
          <w:lang w:eastAsia="en-US"/>
        </w:rPr>
        <w:t xml:space="preserve"> between</w:t>
      </w:r>
      <w:r w:rsidR="1D1A1DF7" w:rsidRPr="008569C5">
        <w:rPr>
          <w:rFonts w:ascii="Times New Roman" w:hAnsi="Times New Roman"/>
          <w:color w:val="000000" w:themeColor="text1"/>
          <w:lang w:eastAsia="en-US"/>
        </w:rPr>
        <w:t xml:space="preserve"> lend</w:t>
      </w:r>
      <w:r w:rsidR="60DF37D7" w:rsidRPr="008569C5">
        <w:rPr>
          <w:rFonts w:ascii="Times New Roman" w:hAnsi="Times New Roman"/>
          <w:color w:val="000000" w:themeColor="text1"/>
          <w:lang w:eastAsia="en-US"/>
        </w:rPr>
        <w:t>ing</w:t>
      </w:r>
      <w:r w:rsidR="1D1A1DF7" w:rsidRPr="008569C5">
        <w:rPr>
          <w:rFonts w:ascii="Times New Roman" w:hAnsi="Times New Roman"/>
          <w:color w:val="000000" w:themeColor="text1"/>
          <w:lang w:eastAsia="en-US"/>
        </w:rPr>
        <w:t xml:space="preserve"> to </w:t>
      </w:r>
      <w:r w:rsidR="5FDEAD9F" w:rsidRPr="008569C5">
        <w:rPr>
          <w:rFonts w:ascii="Times New Roman" w:hAnsi="Times New Roman"/>
          <w:color w:val="000000" w:themeColor="text1"/>
          <w:lang w:eastAsia="en-US"/>
        </w:rPr>
        <w:t>finance</w:t>
      </w:r>
      <w:r w:rsidR="1D1A1DF7" w:rsidRPr="008569C5">
        <w:rPr>
          <w:rFonts w:ascii="Times New Roman" w:hAnsi="Times New Roman"/>
          <w:color w:val="000000" w:themeColor="text1"/>
          <w:lang w:eastAsia="en-US"/>
        </w:rPr>
        <w:t xml:space="preserve"> </w:t>
      </w:r>
      <w:r w:rsidR="5FDEAD9F" w:rsidRPr="008569C5">
        <w:rPr>
          <w:rFonts w:ascii="Times New Roman" w:hAnsi="Times New Roman"/>
          <w:color w:val="000000" w:themeColor="text1"/>
          <w:lang w:eastAsia="en-US"/>
        </w:rPr>
        <w:t xml:space="preserve">the real </w:t>
      </w:r>
      <w:r w:rsidR="1D1A1DF7" w:rsidRPr="008569C5">
        <w:rPr>
          <w:rFonts w:ascii="Times New Roman" w:hAnsi="Times New Roman"/>
          <w:color w:val="000000" w:themeColor="text1"/>
          <w:lang w:eastAsia="en-US"/>
        </w:rPr>
        <w:t xml:space="preserve">economy and </w:t>
      </w:r>
      <w:r w:rsidR="26798AD6" w:rsidRPr="008569C5">
        <w:rPr>
          <w:rFonts w:ascii="Times New Roman" w:hAnsi="Times New Roman"/>
          <w:color w:val="000000" w:themeColor="text1"/>
          <w:lang w:eastAsia="en-US"/>
        </w:rPr>
        <w:t>build</w:t>
      </w:r>
      <w:r w:rsidR="73B82230" w:rsidRPr="008569C5">
        <w:rPr>
          <w:rFonts w:ascii="Times New Roman" w:hAnsi="Times New Roman"/>
          <w:color w:val="000000" w:themeColor="text1"/>
          <w:lang w:eastAsia="en-US"/>
        </w:rPr>
        <w:t>ing</w:t>
      </w:r>
      <w:r w:rsidR="26798AD6" w:rsidRPr="008569C5">
        <w:rPr>
          <w:rFonts w:ascii="Times New Roman" w:hAnsi="Times New Roman"/>
          <w:color w:val="000000" w:themeColor="text1"/>
          <w:lang w:eastAsia="en-US"/>
        </w:rPr>
        <w:t xml:space="preserve"> up buffers</w:t>
      </w:r>
      <w:r w:rsidR="499CF992" w:rsidRPr="008569C5">
        <w:rPr>
          <w:rFonts w:ascii="Times New Roman" w:hAnsi="Times New Roman"/>
          <w:color w:val="000000" w:themeColor="text1"/>
          <w:lang w:eastAsia="en-US"/>
        </w:rPr>
        <w:t xml:space="preserve"> to resist </w:t>
      </w:r>
      <w:r w:rsidR="08E6281B" w:rsidRPr="008569C5">
        <w:rPr>
          <w:rFonts w:ascii="Times New Roman" w:hAnsi="Times New Roman"/>
          <w:color w:val="000000" w:themeColor="text1"/>
          <w:lang w:eastAsia="en-US"/>
        </w:rPr>
        <w:t>shocks</w:t>
      </w:r>
      <w:r w:rsidR="499CF992" w:rsidRPr="008569C5">
        <w:rPr>
          <w:rFonts w:ascii="Times New Roman" w:hAnsi="Times New Roman"/>
          <w:color w:val="000000" w:themeColor="text1"/>
          <w:lang w:eastAsia="en-US"/>
        </w:rPr>
        <w:t>.</w:t>
      </w:r>
      <w:r w:rsidR="60DDC796" w:rsidRPr="008569C5">
        <w:rPr>
          <w:rFonts w:ascii="Times New Roman" w:hAnsi="Times New Roman"/>
          <w:color w:val="000000" w:themeColor="text1"/>
          <w:lang w:eastAsia="en-US"/>
        </w:rPr>
        <w:t xml:space="preserve"> In this regard, the Commission notes that </w:t>
      </w:r>
      <w:r w:rsidR="009B386B">
        <w:rPr>
          <w:rFonts w:ascii="Times New Roman" w:hAnsi="Times New Roman"/>
          <w:color w:val="000000" w:themeColor="text1"/>
          <w:lang w:eastAsia="en-US"/>
        </w:rPr>
        <w:t>last year’s</w:t>
      </w:r>
      <w:r w:rsidR="009B386B" w:rsidRPr="008569C5">
        <w:rPr>
          <w:rFonts w:ascii="Times New Roman" w:hAnsi="Times New Roman"/>
          <w:color w:val="000000" w:themeColor="text1"/>
          <w:lang w:eastAsia="en-US"/>
        </w:rPr>
        <w:t xml:space="preserve"> </w:t>
      </w:r>
      <w:r w:rsidR="60DDC796" w:rsidRPr="008569C5">
        <w:rPr>
          <w:rFonts w:ascii="Times New Roman" w:hAnsi="Times New Roman"/>
          <w:color w:val="000000" w:themeColor="text1"/>
          <w:lang w:eastAsia="en-US"/>
        </w:rPr>
        <w:t xml:space="preserve">political agreement on the Banking Package, which </w:t>
      </w:r>
      <w:r w:rsidR="3E9E4C82" w:rsidRPr="008569C5">
        <w:rPr>
          <w:rFonts w:ascii="Times New Roman" w:hAnsi="Times New Roman"/>
          <w:color w:val="000000" w:themeColor="text1"/>
          <w:lang w:eastAsia="en-US"/>
        </w:rPr>
        <w:t>inc</w:t>
      </w:r>
      <w:r w:rsidR="00BB6205">
        <w:rPr>
          <w:rFonts w:ascii="Times New Roman" w:hAnsi="Times New Roman"/>
          <w:color w:val="000000" w:themeColor="text1"/>
          <w:lang w:eastAsia="en-US"/>
        </w:rPr>
        <w:t>orporates</w:t>
      </w:r>
      <w:r w:rsidR="3E9E4C82" w:rsidRPr="008569C5">
        <w:rPr>
          <w:rFonts w:ascii="Times New Roman" w:hAnsi="Times New Roman"/>
          <w:color w:val="000000" w:themeColor="text1"/>
          <w:lang w:eastAsia="en-US"/>
        </w:rPr>
        <w:t xml:space="preserve"> the final </w:t>
      </w:r>
      <w:r w:rsidR="60DDC796" w:rsidRPr="008569C5">
        <w:rPr>
          <w:rFonts w:ascii="Times New Roman" w:hAnsi="Times New Roman"/>
          <w:color w:val="000000" w:themeColor="text1"/>
          <w:lang w:eastAsia="en-US"/>
        </w:rPr>
        <w:t>Basel III reforms</w:t>
      </w:r>
      <w:r w:rsidR="00BB6205" w:rsidRPr="00BB6205">
        <w:rPr>
          <w:rFonts w:ascii="Times New Roman" w:hAnsi="Times New Roman"/>
          <w:color w:val="000000" w:themeColor="text1"/>
          <w:lang w:eastAsia="en-US"/>
        </w:rPr>
        <w:t xml:space="preserve"> </w:t>
      </w:r>
      <w:r w:rsidR="00BB6205" w:rsidRPr="008569C5">
        <w:rPr>
          <w:rFonts w:ascii="Times New Roman" w:hAnsi="Times New Roman"/>
          <w:color w:val="000000" w:themeColor="text1"/>
          <w:lang w:eastAsia="en-US"/>
        </w:rPr>
        <w:t>in EU law</w:t>
      </w:r>
      <w:r w:rsidR="60DDC796" w:rsidRPr="008569C5">
        <w:rPr>
          <w:rFonts w:ascii="Times New Roman" w:hAnsi="Times New Roman"/>
          <w:color w:val="000000" w:themeColor="text1"/>
          <w:lang w:eastAsia="en-US"/>
        </w:rPr>
        <w:t xml:space="preserve">, </w:t>
      </w:r>
      <w:r w:rsidR="0D727A5B" w:rsidRPr="008569C5">
        <w:rPr>
          <w:rFonts w:ascii="Times New Roman" w:hAnsi="Times New Roman"/>
          <w:color w:val="000000" w:themeColor="text1"/>
          <w:lang w:eastAsia="en-US"/>
        </w:rPr>
        <w:t xml:space="preserve">seeks to achieve that balance. </w:t>
      </w:r>
      <w:r w:rsidR="598650FF" w:rsidRPr="008569C5">
        <w:rPr>
          <w:rFonts w:ascii="Times New Roman" w:hAnsi="Times New Roman"/>
          <w:color w:val="000000" w:themeColor="text1"/>
          <w:lang w:eastAsia="en-US"/>
        </w:rPr>
        <w:t>In addition, t</w:t>
      </w:r>
      <w:r w:rsidR="00180294" w:rsidRPr="008569C5">
        <w:rPr>
          <w:rFonts w:ascii="Times New Roman" w:hAnsi="Times New Roman"/>
          <w:color w:val="000000" w:themeColor="text1"/>
          <w:lang w:eastAsia="en-US"/>
        </w:rPr>
        <w:t xml:space="preserve">he Banking Package, which is expected to </w:t>
      </w:r>
      <w:r w:rsidR="5E5B4217" w:rsidRPr="008569C5">
        <w:rPr>
          <w:rFonts w:ascii="Times New Roman" w:hAnsi="Times New Roman"/>
          <w:color w:val="000000" w:themeColor="text1"/>
          <w:lang w:eastAsia="en-US"/>
        </w:rPr>
        <w:t xml:space="preserve">be voted by the Parliament in April 2024, includes </w:t>
      </w:r>
      <w:r w:rsidR="4AD2EA7F" w:rsidRPr="008569C5">
        <w:rPr>
          <w:rFonts w:ascii="Times New Roman" w:hAnsi="Times New Roman"/>
          <w:color w:val="000000" w:themeColor="text1"/>
          <w:lang w:eastAsia="en-US"/>
        </w:rPr>
        <w:t xml:space="preserve">a mandate for the European Commission to </w:t>
      </w:r>
      <w:r w:rsidR="6DA1E616" w:rsidRPr="008569C5">
        <w:rPr>
          <w:rFonts w:ascii="Times New Roman" w:hAnsi="Times New Roman"/>
          <w:color w:val="000000" w:themeColor="text1"/>
          <w:lang w:eastAsia="en-US"/>
        </w:rPr>
        <w:t xml:space="preserve">review the regulatory framework and assess the status of the Single Market for banking. The drawing up of that report will be an occasion for the Commission to further reflect on the call of the European Parliament to assess impediments to cross-border mergers as well as potential incentives for ring fencing in view of seeking solutions to make the banking sector </w:t>
      </w:r>
      <w:r w:rsidR="23848EA2" w:rsidRPr="008569C5">
        <w:rPr>
          <w:rFonts w:ascii="Times New Roman" w:hAnsi="Times New Roman"/>
          <w:color w:val="000000" w:themeColor="text1"/>
          <w:lang w:eastAsia="en-US"/>
        </w:rPr>
        <w:t>m</w:t>
      </w:r>
      <w:r w:rsidR="6DA1E616" w:rsidRPr="008569C5">
        <w:rPr>
          <w:rFonts w:ascii="Times New Roman" w:hAnsi="Times New Roman"/>
          <w:color w:val="000000" w:themeColor="text1"/>
          <w:lang w:eastAsia="en-US"/>
        </w:rPr>
        <w:t>ore integrated and foster the development of capital markets</w:t>
      </w:r>
      <w:r w:rsidR="302DA6C7" w:rsidRPr="008569C5">
        <w:rPr>
          <w:rFonts w:ascii="Times New Roman" w:hAnsi="Times New Roman"/>
          <w:color w:val="000000" w:themeColor="text1"/>
          <w:lang w:eastAsia="en-US"/>
        </w:rPr>
        <w:t xml:space="preserve"> (</w:t>
      </w:r>
      <w:r w:rsidR="302DA6C7" w:rsidRPr="008569C5">
        <w:rPr>
          <w:rFonts w:ascii="Times New Roman" w:hAnsi="Times New Roman"/>
          <w:i/>
          <w:iCs/>
          <w:color w:val="000000" w:themeColor="text1"/>
          <w:lang w:eastAsia="en-US"/>
        </w:rPr>
        <w:t>paragraphs 8 and 9</w:t>
      </w:r>
      <w:r w:rsidR="302DA6C7" w:rsidRPr="008569C5">
        <w:rPr>
          <w:rFonts w:ascii="Times New Roman" w:hAnsi="Times New Roman"/>
          <w:color w:val="000000" w:themeColor="text1"/>
          <w:lang w:eastAsia="en-US"/>
        </w:rPr>
        <w:t>).</w:t>
      </w:r>
    </w:p>
    <w:p w14:paraId="5AB6ADF6" w14:textId="44085ED0" w:rsidR="00443BAB" w:rsidRDefault="00443BAB" w:rsidP="1498066D">
      <w:pPr>
        <w:spacing w:after="120"/>
        <w:rPr>
          <w:rFonts w:ascii="Times New Roman" w:hAnsi="Times New Roman"/>
          <w:i/>
          <w:iCs/>
          <w:color w:val="000000" w:themeColor="text1"/>
          <w:lang w:eastAsia="en-US"/>
        </w:rPr>
      </w:pPr>
      <w:r w:rsidRPr="1498066D">
        <w:rPr>
          <w:rFonts w:ascii="Times New Roman" w:hAnsi="Times New Roman"/>
          <w:color w:val="000000" w:themeColor="text1"/>
          <w:lang w:eastAsia="en-US"/>
        </w:rPr>
        <w:t xml:space="preserve">The Commission fully shares the European Parliament’s view that a well-functioning and competitive single market is essential for retail financial services. In its Retail Investment Strategy published on 24 May 2023, the Commission has </w:t>
      </w:r>
      <w:r w:rsidR="002D55BC">
        <w:rPr>
          <w:rFonts w:ascii="Times New Roman" w:hAnsi="Times New Roman"/>
          <w:color w:val="000000" w:themeColor="text1"/>
          <w:lang w:eastAsia="en-US"/>
        </w:rPr>
        <w:t>proposed</w:t>
      </w:r>
      <w:r w:rsidR="002D55BC" w:rsidRPr="1498066D">
        <w:rPr>
          <w:rFonts w:ascii="Times New Roman" w:hAnsi="Times New Roman"/>
          <w:color w:val="000000" w:themeColor="text1"/>
          <w:lang w:eastAsia="en-US"/>
        </w:rPr>
        <w:t xml:space="preserve"> </w:t>
      </w:r>
      <w:r w:rsidRPr="1498066D">
        <w:rPr>
          <w:rFonts w:ascii="Times New Roman" w:hAnsi="Times New Roman"/>
          <w:color w:val="000000" w:themeColor="text1"/>
          <w:lang w:eastAsia="en-US"/>
        </w:rPr>
        <w:t xml:space="preserve">measures to improve the framework for retail investment. The aim is to ensure that retail investors are empowered to take financial decisions which are right for them and are sufficiently protected </w:t>
      </w:r>
      <w:proofErr w:type="gramStart"/>
      <w:r w:rsidRPr="1498066D">
        <w:rPr>
          <w:rFonts w:ascii="Times New Roman" w:hAnsi="Times New Roman"/>
          <w:color w:val="000000" w:themeColor="text1"/>
          <w:lang w:eastAsia="en-US"/>
        </w:rPr>
        <w:t>so as to</w:t>
      </w:r>
      <w:proofErr w:type="gramEnd"/>
      <w:r w:rsidRPr="1498066D">
        <w:rPr>
          <w:rFonts w:ascii="Times New Roman" w:hAnsi="Times New Roman"/>
          <w:color w:val="000000" w:themeColor="text1"/>
          <w:lang w:eastAsia="en-US"/>
        </w:rPr>
        <w:t xml:space="preserve"> enhance trust and confidence in capital markets </w:t>
      </w:r>
      <w:r w:rsidRPr="1498066D">
        <w:rPr>
          <w:rFonts w:ascii="Times New Roman" w:hAnsi="Times New Roman"/>
          <w:i/>
          <w:iCs/>
          <w:color w:val="000000" w:themeColor="text1"/>
          <w:lang w:eastAsia="en-US"/>
        </w:rPr>
        <w:t>(paragraph 10).</w:t>
      </w:r>
    </w:p>
    <w:p w14:paraId="07229AE2" w14:textId="22726333" w:rsidR="00BC701C" w:rsidRPr="004E5F53" w:rsidRDefault="00BC701C" w:rsidP="1498066D">
      <w:pPr>
        <w:spacing w:after="120"/>
        <w:rPr>
          <w:rFonts w:ascii="Times New Roman" w:hAnsi="Times New Roman"/>
          <w:i/>
          <w:iCs/>
          <w:color w:val="000000" w:themeColor="text1"/>
          <w:lang w:eastAsia="en-US"/>
        </w:rPr>
      </w:pPr>
      <w:r w:rsidRPr="1498066D">
        <w:rPr>
          <w:rFonts w:ascii="Times New Roman" w:hAnsi="Times New Roman"/>
          <w:color w:val="000000" w:themeColor="text1"/>
          <w:lang w:eastAsia="en-US"/>
        </w:rPr>
        <w:lastRenderedPageBreak/>
        <w:t>One of the Commissio</w:t>
      </w:r>
      <w:r w:rsidR="2D50297C" w:rsidRPr="1498066D">
        <w:rPr>
          <w:rFonts w:ascii="Times New Roman" w:hAnsi="Times New Roman"/>
          <w:color w:val="000000" w:themeColor="text1"/>
          <w:lang w:eastAsia="en-US"/>
        </w:rPr>
        <w:t>n’s</w:t>
      </w:r>
      <w:r w:rsidRPr="1498066D">
        <w:rPr>
          <w:rFonts w:ascii="Times New Roman" w:hAnsi="Times New Roman"/>
          <w:color w:val="000000" w:themeColor="text1"/>
          <w:lang w:eastAsia="en-US"/>
        </w:rPr>
        <w:t xml:space="preserve"> main </w:t>
      </w:r>
      <w:r w:rsidR="40BFACA5" w:rsidRPr="1498066D">
        <w:rPr>
          <w:rFonts w:ascii="Times New Roman" w:hAnsi="Times New Roman"/>
          <w:color w:val="000000" w:themeColor="text1"/>
          <w:lang w:eastAsia="en-US"/>
        </w:rPr>
        <w:t xml:space="preserve">objectives </w:t>
      </w:r>
      <w:r w:rsidRPr="1498066D">
        <w:rPr>
          <w:rFonts w:ascii="Times New Roman" w:hAnsi="Times New Roman"/>
          <w:color w:val="000000" w:themeColor="text1"/>
          <w:lang w:eastAsia="en-US"/>
        </w:rPr>
        <w:t>of the CMU action plan was to improve access to market</w:t>
      </w:r>
      <w:r w:rsidR="00BB6205">
        <w:rPr>
          <w:rFonts w:ascii="Times New Roman" w:hAnsi="Times New Roman"/>
          <w:color w:val="000000" w:themeColor="text1"/>
          <w:lang w:eastAsia="en-US"/>
        </w:rPr>
        <w:t>-</w:t>
      </w:r>
      <w:r w:rsidRPr="1498066D">
        <w:rPr>
          <w:rFonts w:ascii="Times New Roman" w:hAnsi="Times New Roman"/>
          <w:color w:val="000000" w:themeColor="text1"/>
          <w:lang w:eastAsia="en-US"/>
        </w:rPr>
        <w:t xml:space="preserve">based sources of finance for EU companies, especially </w:t>
      </w:r>
      <w:r w:rsidR="006804E6">
        <w:rPr>
          <w:rFonts w:ascii="Times New Roman" w:hAnsi="Times New Roman"/>
          <w:color w:val="000000" w:themeColor="text1"/>
          <w:lang w:eastAsia="en-US"/>
        </w:rPr>
        <w:t>small and medium sized enterprises (</w:t>
      </w:r>
      <w:r w:rsidRPr="1498066D">
        <w:rPr>
          <w:rFonts w:ascii="Times New Roman" w:hAnsi="Times New Roman"/>
          <w:color w:val="000000" w:themeColor="text1"/>
          <w:lang w:eastAsia="en-US"/>
        </w:rPr>
        <w:t>SMEs</w:t>
      </w:r>
      <w:r w:rsidR="006804E6">
        <w:rPr>
          <w:rFonts w:ascii="Times New Roman" w:hAnsi="Times New Roman"/>
          <w:color w:val="000000" w:themeColor="text1"/>
          <w:lang w:eastAsia="en-US"/>
        </w:rPr>
        <w:t>)</w:t>
      </w:r>
      <w:r w:rsidRPr="1498066D">
        <w:rPr>
          <w:rFonts w:ascii="Times New Roman" w:hAnsi="Times New Roman"/>
          <w:color w:val="000000" w:themeColor="text1"/>
          <w:lang w:eastAsia="en-US"/>
        </w:rPr>
        <w:t xml:space="preserve">. For example, the Listing Act seeks to reduce </w:t>
      </w:r>
      <w:r w:rsidR="00BB6205">
        <w:rPr>
          <w:rFonts w:ascii="Times New Roman" w:hAnsi="Times New Roman"/>
          <w:color w:val="000000" w:themeColor="text1"/>
          <w:lang w:eastAsia="en-US"/>
        </w:rPr>
        <w:t xml:space="preserve">the </w:t>
      </w:r>
      <w:r w:rsidRPr="1498066D">
        <w:rPr>
          <w:rFonts w:ascii="Times New Roman" w:hAnsi="Times New Roman"/>
          <w:color w:val="000000" w:themeColor="text1"/>
          <w:lang w:eastAsia="en-US"/>
        </w:rPr>
        <w:t xml:space="preserve">burden and red tape associated </w:t>
      </w:r>
      <w:r w:rsidR="00BB6205">
        <w:rPr>
          <w:rFonts w:ascii="Times New Roman" w:hAnsi="Times New Roman"/>
          <w:color w:val="000000" w:themeColor="text1"/>
          <w:lang w:eastAsia="en-US"/>
        </w:rPr>
        <w:t>with</w:t>
      </w:r>
      <w:r w:rsidRPr="1498066D">
        <w:rPr>
          <w:rFonts w:ascii="Times New Roman" w:hAnsi="Times New Roman"/>
          <w:color w:val="000000" w:themeColor="text1"/>
          <w:lang w:eastAsia="en-US"/>
        </w:rPr>
        <w:t xml:space="preserve"> the listing process for companies seeking to raise funding on public capital markets</w:t>
      </w:r>
      <w:r w:rsidR="00396C70">
        <w:rPr>
          <w:rFonts w:ascii="Times New Roman" w:hAnsi="Times New Roman"/>
          <w:color w:val="000000" w:themeColor="text1"/>
          <w:lang w:eastAsia="en-US"/>
        </w:rPr>
        <w:t>.</w:t>
      </w:r>
      <w:r w:rsidRPr="1498066D">
        <w:rPr>
          <w:rFonts w:ascii="Times New Roman" w:hAnsi="Times New Roman"/>
          <w:color w:val="000000" w:themeColor="text1"/>
          <w:lang w:eastAsia="en-US"/>
        </w:rPr>
        <w:t xml:space="preserve"> </w:t>
      </w:r>
      <w:r w:rsidR="00396C70">
        <w:rPr>
          <w:rFonts w:ascii="Times New Roman" w:hAnsi="Times New Roman"/>
          <w:color w:val="000000" w:themeColor="text1"/>
          <w:lang w:eastAsia="en-US"/>
        </w:rPr>
        <w:t>T</w:t>
      </w:r>
      <w:r w:rsidRPr="1498066D">
        <w:rPr>
          <w:rFonts w:ascii="Times New Roman" w:hAnsi="Times New Roman"/>
          <w:color w:val="000000" w:themeColor="text1"/>
          <w:lang w:eastAsia="en-US"/>
        </w:rPr>
        <w:t xml:space="preserve">his is particularly helpful for SMEs for which these costs represent a disproportionate burden. The Commission also included SMEs’ access to finance </w:t>
      </w:r>
      <w:r w:rsidR="00BB6205">
        <w:rPr>
          <w:rFonts w:ascii="Times New Roman" w:hAnsi="Times New Roman"/>
          <w:color w:val="000000" w:themeColor="text1"/>
          <w:lang w:eastAsia="en-US"/>
        </w:rPr>
        <w:t>with</w:t>
      </w:r>
      <w:r w:rsidRPr="1498066D">
        <w:rPr>
          <w:rFonts w:ascii="Times New Roman" w:hAnsi="Times New Roman"/>
          <w:color w:val="000000" w:themeColor="text1"/>
          <w:lang w:eastAsia="en-US"/>
        </w:rPr>
        <w:t xml:space="preserve">in the scope of the Financial Data Access proposal (FIDA). The </w:t>
      </w:r>
      <w:r w:rsidR="00BB6205">
        <w:rPr>
          <w:rFonts w:ascii="Times New Roman" w:hAnsi="Times New Roman"/>
          <w:color w:val="000000" w:themeColor="text1"/>
          <w:lang w:eastAsia="en-US"/>
        </w:rPr>
        <w:t xml:space="preserve">FIDA </w:t>
      </w:r>
      <w:r w:rsidRPr="1498066D">
        <w:rPr>
          <w:rFonts w:ascii="Times New Roman" w:hAnsi="Times New Roman"/>
          <w:color w:val="000000" w:themeColor="text1"/>
          <w:lang w:eastAsia="en-US"/>
        </w:rPr>
        <w:t xml:space="preserve">proposal seeks to create a new framework for secure and open access to customer data across a wider range of financial services. This framework would also support SMEs that are looking for funding from a bank or an alternative funding provider by creating secure and open access to customer data across a wider range of financial services. Effective competition in financial markets, including </w:t>
      </w:r>
      <w:r w:rsidR="409408FF" w:rsidRPr="1498066D">
        <w:rPr>
          <w:rFonts w:ascii="Times New Roman" w:hAnsi="Times New Roman"/>
          <w:color w:val="000000" w:themeColor="text1"/>
          <w:lang w:eastAsia="en-US"/>
        </w:rPr>
        <w:t xml:space="preserve">on </w:t>
      </w:r>
      <w:r w:rsidRPr="1498066D">
        <w:rPr>
          <w:rFonts w:ascii="Times New Roman" w:hAnsi="Times New Roman"/>
          <w:color w:val="000000" w:themeColor="text1"/>
          <w:lang w:eastAsia="en-US"/>
        </w:rPr>
        <w:t xml:space="preserve">mortgage interest rates, within the EU, encourages financial institutions to offer financial products and services </w:t>
      </w:r>
      <w:r w:rsidR="00BB6205" w:rsidRPr="1498066D">
        <w:rPr>
          <w:rFonts w:ascii="Times New Roman" w:hAnsi="Times New Roman"/>
          <w:color w:val="000000" w:themeColor="text1"/>
          <w:lang w:eastAsia="en-US"/>
        </w:rPr>
        <w:t xml:space="preserve">to their customers </w:t>
      </w:r>
      <w:r w:rsidRPr="1498066D">
        <w:rPr>
          <w:rFonts w:ascii="Times New Roman" w:hAnsi="Times New Roman"/>
          <w:color w:val="000000" w:themeColor="text1"/>
          <w:lang w:eastAsia="en-US"/>
        </w:rPr>
        <w:t xml:space="preserve">on the most favourable terms. It contributes to efficiency, </w:t>
      </w:r>
      <w:proofErr w:type="gramStart"/>
      <w:r w:rsidRPr="1498066D">
        <w:rPr>
          <w:rFonts w:ascii="Times New Roman" w:hAnsi="Times New Roman"/>
          <w:color w:val="000000" w:themeColor="text1"/>
          <w:lang w:eastAsia="en-US"/>
        </w:rPr>
        <w:t>innovation</w:t>
      </w:r>
      <w:proofErr w:type="gramEnd"/>
      <w:r w:rsidRPr="1498066D">
        <w:rPr>
          <w:rFonts w:ascii="Times New Roman" w:hAnsi="Times New Roman"/>
          <w:color w:val="000000" w:themeColor="text1"/>
          <w:lang w:eastAsia="en-US"/>
        </w:rPr>
        <w:t xml:space="preserve"> and price reduction, </w:t>
      </w:r>
      <w:r w:rsidR="00BB6205">
        <w:rPr>
          <w:rFonts w:ascii="Times New Roman" w:hAnsi="Times New Roman"/>
          <w:color w:val="000000" w:themeColor="text1"/>
          <w:lang w:eastAsia="en-US"/>
        </w:rPr>
        <w:t>for</w:t>
      </w:r>
      <w:r w:rsidRPr="1498066D">
        <w:rPr>
          <w:rFonts w:ascii="Times New Roman" w:hAnsi="Times New Roman"/>
          <w:color w:val="000000" w:themeColor="text1"/>
          <w:lang w:eastAsia="en-US"/>
        </w:rPr>
        <w:t xml:space="preserve"> the benefit of consumers. The Commission monitors </w:t>
      </w:r>
      <w:r w:rsidR="00BB6205">
        <w:rPr>
          <w:rFonts w:ascii="Times New Roman" w:hAnsi="Times New Roman"/>
          <w:color w:val="000000" w:themeColor="text1"/>
          <w:lang w:eastAsia="en-US"/>
        </w:rPr>
        <w:t xml:space="preserve">market </w:t>
      </w:r>
      <w:r w:rsidRPr="1498066D">
        <w:rPr>
          <w:rFonts w:ascii="Times New Roman" w:hAnsi="Times New Roman"/>
          <w:color w:val="000000" w:themeColor="text1"/>
          <w:lang w:eastAsia="en-US"/>
        </w:rPr>
        <w:t xml:space="preserve">developments to ensure that competition is functioning properly. In the event of any credible competition concerns </w:t>
      </w:r>
      <w:proofErr w:type="gramStart"/>
      <w:r w:rsidRPr="1498066D">
        <w:rPr>
          <w:rFonts w:ascii="Times New Roman" w:hAnsi="Times New Roman"/>
          <w:color w:val="000000" w:themeColor="text1"/>
          <w:lang w:eastAsia="en-US"/>
        </w:rPr>
        <w:t>with regard to</w:t>
      </w:r>
      <w:proofErr w:type="gramEnd"/>
      <w:r w:rsidRPr="1498066D">
        <w:rPr>
          <w:rFonts w:ascii="Times New Roman" w:hAnsi="Times New Roman"/>
          <w:color w:val="000000" w:themeColor="text1"/>
          <w:lang w:eastAsia="en-US"/>
        </w:rPr>
        <w:t xml:space="preserve"> the EU banking sector, the Commission will be ready to act </w:t>
      </w:r>
      <w:r w:rsidRPr="1498066D">
        <w:rPr>
          <w:rFonts w:ascii="Times New Roman" w:hAnsi="Times New Roman"/>
          <w:i/>
          <w:iCs/>
          <w:color w:val="000000" w:themeColor="text1"/>
          <w:lang w:eastAsia="en-US"/>
        </w:rPr>
        <w:t>(paragraph 11).</w:t>
      </w:r>
    </w:p>
    <w:p w14:paraId="7A72F8D2" w14:textId="1837CF4F" w:rsidR="00FA7475" w:rsidRPr="008569C5" w:rsidRDefault="3490A5F9" w:rsidP="002E3E67">
      <w:pPr>
        <w:spacing w:after="120"/>
        <w:rPr>
          <w:rFonts w:ascii="Times New Roman" w:hAnsi="Times New Roman"/>
          <w:color w:val="000000" w:themeColor="text1"/>
          <w:lang w:eastAsia="en-US"/>
        </w:rPr>
      </w:pPr>
      <w:r w:rsidRPr="634D014F">
        <w:rPr>
          <w:rFonts w:ascii="Times New Roman" w:hAnsi="Times New Roman"/>
          <w:color w:val="000000" w:themeColor="text1"/>
          <w:lang w:eastAsia="en-US"/>
        </w:rPr>
        <w:t xml:space="preserve">The Commission </w:t>
      </w:r>
      <w:r w:rsidR="60771004" w:rsidRPr="634D014F">
        <w:rPr>
          <w:rFonts w:ascii="Times New Roman" w:hAnsi="Times New Roman"/>
          <w:color w:val="000000" w:themeColor="text1"/>
          <w:lang w:eastAsia="en-US"/>
        </w:rPr>
        <w:t xml:space="preserve">shares the Parliament’s view </w:t>
      </w:r>
      <w:r w:rsidR="13A037C2" w:rsidRPr="634D014F">
        <w:rPr>
          <w:rFonts w:ascii="Times New Roman" w:hAnsi="Times New Roman"/>
          <w:color w:val="000000" w:themeColor="text1"/>
          <w:lang w:eastAsia="en-US"/>
        </w:rPr>
        <w:t xml:space="preserve">that banks should play a role </w:t>
      </w:r>
      <w:r w:rsidR="1CBAFD02" w:rsidRPr="634D014F">
        <w:rPr>
          <w:rFonts w:ascii="Times New Roman" w:hAnsi="Times New Roman"/>
          <w:color w:val="000000" w:themeColor="text1"/>
          <w:lang w:eastAsia="en-US"/>
        </w:rPr>
        <w:t>in supporting the transition to a digitalised and carbon neutral economy,</w:t>
      </w:r>
      <w:r w:rsidR="52648A3A" w:rsidRPr="634D014F">
        <w:rPr>
          <w:rFonts w:ascii="Times New Roman" w:hAnsi="Times New Roman"/>
          <w:color w:val="000000" w:themeColor="text1"/>
          <w:lang w:eastAsia="en-US"/>
        </w:rPr>
        <w:t xml:space="preserve"> also to</w:t>
      </w:r>
      <w:r w:rsidR="1CBAFD02" w:rsidRPr="634D014F">
        <w:rPr>
          <w:rFonts w:ascii="Times New Roman" w:hAnsi="Times New Roman"/>
          <w:color w:val="000000" w:themeColor="text1"/>
          <w:lang w:eastAsia="en-US"/>
        </w:rPr>
        <w:t xml:space="preserve"> achieve the objectives of the EU Green Deal and the EU Climate Law</w:t>
      </w:r>
      <w:r w:rsidR="13A037C2" w:rsidRPr="634D014F">
        <w:rPr>
          <w:rFonts w:ascii="Times New Roman" w:hAnsi="Times New Roman"/>
          <w:color w:val="000000" w:themeColor="text1"/>
          <w:lang w:eastAsia="en-US"/>
        </w:rPr>
        <w:t>.</w:t>
      </w:r>
      <w:r w:rsidR="4619C6B4" w:rsidRPr="634D014F">
        <w:rPr>
          <w:rFonts w:ascii="Times New Roman" w:hAnsi="Times New Roman"/>
          <w:color w:val="000000" w:themeColor="text1"/>
          <w:lang w:eastAsia="en-US"/>
        </w:rPr>
        <w:t xml:space="preserve"> </w:t>
      </w:r>
      <w:r w:rsidR="18A57F34" w:rsidRPr="634D014F">
        <w:rPr>
          <w:rFonts w:ascii="Times New Roman" w:hAnsi="Times New Roman"/>
          <w:color w:val="000000" w:themeColor="text1"/>
          <w:lang w:eastAsia="en-US"/>
        </w:rPr>
        <w:t xml:space="preserve">It must be noted, as the Parliament acknowledges, that </w:t>
      </w:r>
      <w:r w:rsidR="57ABC404" w:rsidRPr="634D014F">
        <w:rPr>
          <w:rFonts w:ascii="Times New Roman" w:hAnsi="Times New Roman"/>
          <w:color w:val="000000" w:themeColor="text1"/>
          <w:lang w:eastAsia="en-US"/>
        </w:rPr>
        <w:t xml:space="preserve">support </w:t>
      </w:r>
      <w:r w:rsidR="00BB6205">
        <w:rPr>
          <w:rFonts w:ascii="Times New Roman" w:hAnsi="Times New Roman"/>
          <w:color w:val="000000" w:themeColor="text1"/>
          <w:lang w:eastAsia="en-US"/>
        </w:rPr>
        <w:t>for</w:t>
      </w:r>
      <w:r w:rsidR="57ABC404" w:rsidRPr="634D014F">
        <w:rPr>
          <w:rFonts w:ascii="Times New Roman" w:hAnsi="Times New Roman"/>
          <w:color w:val="000000" w:themeColor="text1"/>
          <w:lang w:eastAsia="en-US"/>
        </w:rPr>
        <w:t xml:space="preserve"> the green </w:t>
      </w:r>
      <w:r w:rsidR="1D0D239C" w:rsidRPr="634D014F">
        <w:rPr>
          <w:rFonts w:ascii="Times New Roman" w:hAnsi="Times New Roman"/>
          <w:color w:val="000000" w:themeColor="text1"/>
          <w:lang w:eastAsia="en-US"/>
        </w:rPr>
        <w:t xml:space="preserve">transition </w:t>
      </w:r>
      <w:r w:rsidR="57ABC404" w:rsidRPr="634D014F">
        <w:rPr>
          <w:rFonts w:ascii="Times New Roman" w:hAnsi="Times New Roman"/>
          <w:color w:val="000000" w:themeColor="text1"/>
          <w:lang w:eastAsia="en-US"/>
        </w:rPr>
        <w:t xml:space="preserve">and the digital transition should not come at </w:t>
      </w:r>
      <w:r w:rsidR="1D0D239C" w:rsidRPr="634D014F">
        <w:rPr>
          <w:rFonts w:ascii="Times New Roman" w:hAnsi="Times New Roman"/>
          <w:color w:val="000000" w:themeColor="text1"/>
          <w:lang w:eastAsia="en-US"/>
        </w:rPr>
        <w:t xml:space="preserve">the </w:t>
      </w:r>
      <w:r w:rsidR="57ABC404" w:rsidRPr="634D014F">
        <w:rPr>
          <w:rFonts w:ascii="Times New Roman" w:hAnsi="Times New Roman"/>
          <w:color w:val="000000" w:themeColor="text1"/>
          <w:lang w:eastAsia="en-US"/>
        </w:rPr>
        <w:t xml:space="preserve">cost </w:t>
      </w:r>
      <w:r w:rsidR="00B51664" w:rsidRPr="634D014F">
        <w:rPr>
          <w:rFonts w:ascii="Times New Roman" w:hAnsi="Times New Roman"/>
          <w:color w:val="000000" w:themeColor="text1"/>
          <w:lang w:eastAsia="en-US"/>
        </w:rPr>
        <w:t>of</w:t>
      </w:r>
      <w:r w:rsidR="57ABC404" w:rsidRPr="634D014F">
        <w:rPr>
          <w:rFonts w:ascii="Times New Roman" w:hAnsi="Times New Roman"/>
          <w:color w:val="000000" w:themeColor="text1"/>
          <w:lang w:eastAsia="en-US"/>
        </w:rPr>
        <w:t xml:space="preserve"> financial stability. </w:t>
      </w:r>
      <w:r w:rsidR="4619C6B4" w:rsidRPr="634D014F">
        <w:rPr>
          <w:rFonts w:ascii="Times New Roman" w:hAnsi="Times New Roman"/>
          <w:color w:val="000000" w:themeColor="text1"/>
          <w:lang w:eastAsia="en-US"/>
        </w:rPr>
        <w:t xml:space="preserve">The Commission is of the view that, also in these areas, the Banking Package </w:t>
      </w:r>
      <w:r w:rsidR="1D0D239C" w:rsidRPr="634D014F">
        <w:rPr>
          <w:rFonts w:ascii="Times New Roman" w:hAnsi="Times New Roman"/>
          <w:color w:val="000000" w:themeColor="text1"/>
          <w:lang w:eastAsia="en-US"/>
        </w:rPr>
        <w:t>sets ou</w:t>
      </w:r>
      <w:r w:rsidR="00997F5F" w:rsidRPr="634D014F">
        <w:rPr>
          <w:rFonts w:ascii="Times New Roman" w:hAnsi="Times New Roman"/>
          <w:color w:val="000000" w:themeColor="text1"/>
          <w:lang w:eastAsia="en-US"/>
        </w:rPr>
        <w:t>t</w:t>
      </w:r>
      <w:r w:rsidR="4619C6B4" w:rsidRPr="634D014F">
        <w:rPr>
          <w:rFonts w:ascii="Times New Roman" w:hAnsi="Times New Roman"/>
          <w:color w:val="000000" w:themeColor="text1"/>
          <w:lang w:eastAsia="en-US"/>
        </w:rPr>
        <w:t xml:space="preserve"> </w:t>
      </w:r>
      <w:r w:rsidR="36072876" w:rsidRPr="634D014F">
        <w:rPr>
          <w:rFonts w:ascii="Times New Roman" w:hAnsi="Times New Roman"/>
          <w:color w:val="000000" w:themeColor="text1"/>
          <w:lang w:eastAsia="en-US"/>
        </w:rPr>
        <w:t xml:space="preserve">appropriate measures. </w:t>
      </w:r>
      <w:r w:rsidR="5887E47F" w:rsidRPr="634D014F">
        <w:rPr>
          <w:rFonts w:ascii="Times New Roman" w:hAnsi="Times New Roman"/>
          <w:color w:val="000000" w:themeColor="text1"/>
          <w:lang w:eastAsia="en-US"/>
        </w:rPr>
        <w:t>Concerning</w:t>
      </w:r>
      <w:r w:rsidR="42665F1B" w:rsidRPr="634D014F">
        <w:rPr>
          <w:rFonts w:ascii="Times New Roman" w:hAnsi="Times New Roman"/>
          <w:color w:val="000000" w:themeColor="text1"/>
          <w:lang w:eastAsia="en-US"/>
        </w:rPr>
        <w:t xml:space="preserve"> the green transition, the new prudential rules will require banks to draw up and maintain transition plans, wh</w:t>
      </w:r>
      <w:r w:rsidR="0D8ECD6F" w:rsidRPr="634D014F">
        <w:rPr>
          <w:rFonts w:ascii="Times New Roman" w:hAnsi="Times New Roman"/>
          <w:color w:val="000000" w:themeColor="text1"/>
          <w:lang w:eastAsia="en-US"/>
        </w:rPr>
        <w:t xml:space="preserve">ose actual content </w:t>
      </w:r>
      <w:r w:rsidR="42665F1B" w:rsidRPr="634D014F">
        <w:rPr>
          <w:rFonts w:ascii="Times New Roman" w:hAnsi="Times New Roman"/>
          <w:color w:val="000000" w:themeColor="text1"/>
          <w:lang w:eastAsia="en-US"/>
        </w:rPr>
        <w:t xml:space="preserve">will be </w:t>
      </w:r>
      <w:r w:rsidR="61F2D879" w:rsidRPr="634D014F">
        <w:rPr>
          <w:rFonts w:ascii="Times New Roman" w:hAnsi="Times New Roman"/>
          <w:color w:val="000000" w:themeColor="text1"/>
          <w:lang w:eastAsia="en-US"/>
        </w:rPr>
        <w:t xml:space="preserve">further detailed by the European Banking Authority and </w:t>
      </w:r>
      <w:r w:rsidR="7E44CB23" w:rsidRPr="634D014F">
        <w:rPr>
          <w:rFonts w:ascii="Times New Roman" w:hAnsi="Times New Roman"/>
          <w:color w:val="000000" w:themeColor="text1"/>
          <w:lang w:eastAsia="en-US"/>
        </w:rPr>
        <w:t xml:space="preserve">will be </w:t>
      </w:r>
      <w:r w:rsidR="42665F1B" w:rsidRPr="634D014F">
        <w:rPr>
          <w:rFonts w:ascii="Times New Roman" w:hAnsi="Times New Roman"/>
          <w:color w:val="000000" w:themeColor="text1"/>
          <w:lang w:eastAsia="en-US"/>
        </w:rPr>
        <w:t>scrutinised by bank supervisors</w:t>
      </w:r>
      <w:r w:rsidR="694C3E5D" w:rsidRPr="634D014F">
        <w:rPr>
          <w:rFonts w:ascii="Times New Roman" w:hAnsi="Times New Roman"/>
          <w:color w:val="000000" w:themeColor="text1"/>
          <w:lang w:eastAsia="en-US"/>
        </w:rPr>
        <w:t>. Supervisors</w:t>
      </w:r>
      <w:r w:rsidR="42665F1B" w:rsidRPr="634D014F">
        <w:rPr>
          <w:rFonts w:ascii="Times New Roman" w:hAnsi="Times New Roman"/>
          <w:color w:val="000000" w:themeColor="text1"/>
          <w:lang w:eastAsia="en-US"/>
        </w:rPr>
        <w:t xml:space="preserve"> will </w:t>
      </w:r>
      <w:r w:rsidR="57FC54BB" w:rsidRPr="634D014F">
        <w:rPr>
          <w:rFonts w:ascii="Times New Roman" w:hAnsi="Times New Roman"/>
          <w:color w:val="000000" w:themeColor="text1"/>
          <w:lang w:eastAsia="en-US"/>
        </w:rPr>
        <w:t xml:space="preserve">then </w:t>
      </w:r>
      <w:r w:rsidR="42665F1B" w:rsidRPr="634D014F">
        <w:rPr>
          <w:rFonts w:ascii="Times New Roman" w:hAnsi="Times New Roman"/>
          <w:color w:val="000000" w:themeColor="text1"/>
          <w:lang w:eastAsia="en-US"/>
        </w:rPr>
        <w:t xml:space="preserve">be able to take them into account, along with stress tests, to </w:t>
      </w:r>
      <w:r w:rsidR="3C44B18E" w:rsidRPr="634D014F">
        <w:rPr>
          <w:rFonts w:ascii="Times New Roman" w:hAnsi="Times New Roman"/>
          <w:color w:val="000000" w:themeColor="text1"/>
          <w:lang w:eastAsia="en-US"/>
        </w:rPr>
        <w:t xml:space="preserve">possibly </w:t>
      </w:r>
      <w:r w:rsidR="0801C8C8" w:rsidRPr="634D014F">
        <w:rPr>
          <w:rFonts w:ascii="Times New Roman" w:hAnsi="Times New Roman"/>
          <w:color w:val="000000" w:themeColor="text1"/>
          <w:lang w:eastAsia="en-US"/>
        </w:rPr>
        <w:t>require banks exposed to</w:t>
      </w:r>
      <w:r w:rsidR="00A5240C" w:rsidRPr="634D014F">
        <w:rPr>
          <w:rFonts w:ascii="Times New Roman" w:hAnsi="Times New Roman"/>
          <w:color w:val="000000" w:themeColor="text1"/>
          <w:lang w:eastAsia="en-US"/>
        </w:rPr>
        <w:t xml:space="preserve"> climate-related and other</w:t>
      </w:r>
      <w:r w:rsidR="0801C8C8" w:rsidRPr="634D014F">
        <w:rPr>
          <w:rFonts w:ascii="Times New Roman" w:hAnsi="Times New Roman"/>
          <w:color w:val="000000" w:themeColor="text1"/>
          <w:lang w:eastAsia="en-US"/>
        </w:rPr>
        <w:t xml:space="preserve"> </w:t>
      </w:r>
      <w:r w:rsidR="5887E47F" w:rsidRPr="634D014F">
        <w:rPr>
          <w:rFonts w:ascii="Times New Roman" w:hAnsi="Times New Roman"/>
          <w:color w:val="000000" w:themeColor="text1"/>
          <w:lang w:eastAsia="en-US"/>
        </w:rPr>
        <w:t>environmental</w:t>
      </w:r>
      <w:r w:rsidR="74893272" w:rsidRPr="634D014F">
        <w:rPr>
          <w:rFonts w:ascii="Times New Roman" w:hAnsi="Times New Roman"/>
          <w:color w:val="000000" w:themeColor="text1"/>
          <w:lang w:eastAsia="en-US"/>
        </w:rPr>
        <w:t xml:space="preserve"> </w:t>
      </w:r>
      <w:r w:rsidR="5887E47F" w:rsidRPr="634D014F">
        <w:rPr>
          <w:rFonts w:ascii="Times New Roman" w:hAnsi="Times New Roman"/>
          <w:color w:val="000000" w:themeColor="text1"/>
          <w:lang w:eastAsia="en-US"/>
        </w:rPr>
        <w:t xml:space="preserve">risks to hold more capital. Concerning digitalisation, </w:t>
      </w:r>
      <w:r w:rsidR="6676BE56" w:rsidRPr="634D014F">
        <w:rPr>
          <w:rFonts w:ascii="Times New Roman" w:hAnsi="Times New Roman"/>
          <w:color w:val="000000" w:themeColor="text1"/>
          <w:lang w:eastAsia="en-US"/>
        </w:rPr>
        <w:t xml:space="preserve">prudential rules include a </w:t>
      </w:r>
      <w:r w:rsidR="3F3BA71D" w:rsidRPr="634D014F">
        <w:rPr>
          <w:rFonts w:ascii="Times New Roman" w:hAnsi="Times New Roman"/>
          <w:color w:val="000000" w:themeColor="text1"/>
          <w:lang w:eastAsia="en-US"/>
        </w:rPr>
        <w:t>favourable treatment</w:t>
      </w:r>
      <w:r w:rsidR="6676BE56" w:rsidRPr="634D014F">
        <w:rPr>
          <w:rFonts w:ascii="Times New Roman" w:hAnsi="Times New Roman"/>
          <w:color w:val="000000" w:themeColor="text1"/>
          <w:lang w:eastAsia="en-US"/>
        </w:rPr>
        <w:t xml:space="preserve"> (the infrastructure supporting factor) </w:t>
      </w:r>
      <w:r w:rsidR="3F3BA71D" w:rsidRPr="634D014F">
        <w:rPr>
          <w:rFonts w:ascii="Times New Roman" w:hAnsi="Times New Roman"/>
          <w:color w:val="000000" w:themeColor="text1"/>
          <w:lang w:eastAsia="en-US"/>
        </w:rPr>
        <w:t xml:space="preserve">for banks that </w:t>
      </w:r>
      <w:r w:rsidR="6F7E7004" w:rsidRPr="634D014F">
        <w:rPr>
          <w:rFonts w:ascii="Times New Roman" w:hAnsi="Times New Roman"/>
          <w:color w:val="000000" w:themeColor="text1"/>
          <w:lang w:eastAsia="en-US"/>
        </w:rPr>
        <w:t>finance</w:t>
      </w:r>
      <w:r w:rsidR="5EBD8A86" w:rsidRPr="634D014F">
        <w:rPr>
          <w:rFonts w:ascii="Times New Roman" w:hAnsi="Times New Roman"/>
          <w:color w:val="000000" w:themeColor="text1"/>
          <w:lang w:eastAsia="en-US"/>
        </w:rPr>
        <w:t xml:space="preserve"> strategic </w:t>
      </w:r>
      <w:r w:rsidR="0BAD7EB5" w:rsidRPr="634D014F">
        <w:rPr>
          <w:rFonts w:ascii="Times New Roman" w:hAnsi="Times New Roman"/>
          <w:color w:val="000000" w:themeColor="text1"/>
          <w:lang w:eastAsia="en-US"/>
        </w:rPr>
        <w:t xml:space="preserve">infrastructure, including </w:t>
      </w:r>
      <w:r w:rsidR="29CF6E58" w:rsidRPr="634D014F">
        <w:rPr>
          <w:rFonts w:ascii="Times New Roman" w:hAnsi="Times New Roman"/>
          <w:color w:val="000000" w:themeColor="text1"/>
          <w:lang w:eastAsia="en-US"/>
        </w:rPr>
        <w:t>digital</w:t>
      </w:r>
      <w:r w:rsidR="0BAD7EB5" w:rsidRPr="634D014F">
        <w:rPr>
          <w:rFonts w:ascii="Times New Roman" w:hAnsi="Times New Roman"/>
          <w:color w:val="000000" w:themeColor="text1"/>
          <w:lang w:eastAsia="en-US"/>
        </w:rPr>
        <w:t xml:space="preserve"> ones, </w:t>
      </w:r>
      <w:r w:rsidR="7DA8DC44" w:rsidRPr="634D014F">
        <w:rPr>
          <w:rFonts w:ascii="Times New Roman" w:hAnsi="Times New Roman"/>
          <w:color w:val="000000" w:themeColor="text1"/>
          <w:lang w:eastAsia="en-US"/>
        </w:rPr>
        <w:t xml:space="preserve">provided that the project </w:t>
      </w:r>
      <w:r w:rsidR="08EAC9A6" w:rsidRPr="634D014F">
        <w:rPr>
          <w:rFonts w:ascii="Times New Roman" w:hAnsi="Times New Roman"/>
          <w:color w:val="000000" w:themeColor="text1"/>
          <w:lang w:eastAsia="en-US"/>
        </w:rPr>
        <w:t xml:space="preserve">is </w:t>
      </w:r>
      <w:r w:rsidR="5A287839" w:rsidRPr="634D014F">
        <w:rPr>
          <w:rFonts w:ascii="Times New Roman" w:hAnsi="Times New Roman"/>
          <w:color w:val="000000" w:themeColor="text1"/>
          <w:lang w:eastAsia="en-US"/>
        </w:rPr>
        <w:t xml:space="preserve">environmentally </w:t>
      </w:r>
      <w:r w:rsidR="095180B3" w:rsidRPr="634D014F">
        <w:rPr>
          <w:rFonts w:ascii="Times New Roman" w:hAnsi="Times New Roman"/>
          <w:color w:val="000000" w:themeColor="text1"/>
          <w:lang w:eastAsia="en-US"/>
        </w:rPr>
        <w:t>sustainable</w:t>
      </w:r>
      <w:r w:rsidR="5A287839" w:rsidRPr="634D014F">
        <w:rPr>
          <w:rFonts w:ascii="Times New Roman" w:hAnsi="Times New Roman"/>
          <w:color w:val="000000" w:themeColor="text1"/>
          <w:lang w:eastAsia="en-US"/>
        </w:rPr>
        <w:t xml:space="preserve"> </w:t>
      </w:r>
      <w:r w:rsidR="095180B3" w:rsidRPr="634D014F">
        <w:rPr>
          <w:rFonts w:ascii="Times New Roman" w:hAnsi="Times New Roman"/>
          <w:color w:val="000000" w:themeColor="text1"/>
          <w:lang w:eastAsia="en-US"/>
        </w:rPr>
        <w:t>(</w:t>
      </w:r>
      <w:r w:rsidR="095180B3" w:rsidRPr="634D014F">
        <w:rPr>
          <w:rFonts w:ascii="Times New Roman" w:hAnsi="Times New Roman"/>
          <w:i/>
          <w:iCs/>
          <w:color w:val="000000" w:themeColor="text1"/>
          <w:lang w:eastAsia="en-US"/>
        </w:rPr>
        <w:t>paragraph 12)</w:t>
      </w:r>
      <w:r w:rsidR="095180B3" w:rsidRPr="634D014F">
        <w:rPr>
          <w:rFonts w:ascii="Times New Roman" w:hAnsi="Times New Roman"/>
          <w:color w:val="000000" w:themeColor="text1"/>
          <w:lang w:eastAsia="en-US"/>
        </w:rPr>
        <w:t>.</w:t>
      </w:r>
    </w:p>
    <w:p w14:paraId="729D446A" w14:textId="3C103B1E" w:rsidR="00C0255A" w:rsidRPr="008569C5" w:rsidRDefault="1DAB1087" w:rsidP="00C0255A">
      <w:pPr>
        <w:spacing w:after="120"/>
        <w:rPr>
          <w:rFonts w:ascii="Times New Roman" w:hAnsi="Times New Roman"/>
          <w:color w:val="000000" w:themeColor="text1"/>
          <w:lang w:eastAsia="en-US"/>
        </w:rPr>
      </w:pPr>
      <w:r w:rsidRPr="46D2A472">
        <w:rPr>
          <w:rFonts w:ascii="Times New Roman" w:hAnsi="Times New Roman"/>
          <w:color w:val="000000" w:themeColor="text1"/>
          <w:lang w:eastAsia="en-US"/>
        </w:rPr>
        <w:t xml:space="preserve">The Commission also </w:t>
      </w:r>
      <w:r w:rsidR="3993FF9B" w:rsidRPr="46D2A472">
        <w:rPr>
          <w:rFonts w:ascii="Times New Roman" w:hAnsi="Times New Roman"/>
          <w:color w:val="000000" w:themeColor="text1"/>
          <w:lang w:eastAsia="en-US"/>
        </w:rPr>
        <w:t xml:space="preserve">stands ready to </w:t>
      </w:r>
      <w:r w:rsidRPr="46D2A472">
        <w:rPr>
          <w:rFonts w:ascii="Times New Roman" w:hAnsi="Times New Roman"/>
          <w:color w:val="000000" w:themeColor="text1"/>
          <w:lang w:eastAsia="en-US"/>
        </w:rPr>
        <w:t>respond to the Parliament’s call to</w:t>
      </w:r>
      <w:r w:rsidR="4812E4B2" w:rsidRPr="46D2A472">
        <w:rPr>
          <w:rFonts w:ascii="Times New Roman" w:hAnsi="Times New Roman"/>
          <w:color w:val="000000" w:themeColor="text1"/>
          <w:lang w:eastAsia="en-US"/>
        </w:rPr>
        <w:t xml:space="preserve"> </w:t>
      </w:r>
      <w:r w:rsidR="54FCDD37" w:rsidRPr="46D2A472">
        <w:rPr>
          <w:rFonts w:ascii="Times New Roman" w:hAnsi="Times New Roman"/>
          <w:color w:val="000000" w:themeColor="text1"/>
          <w:lang w:eastAsia="en-US"/>
        </w:rPr>
        <w:t xml:space="preserve">assess </w:t>
      </w:r>
      <w:r w:rsidR="664DA596" w:rsidRPr="46D2A472">
        <w:rPr>
          <w:rFonts w:ascii="Times New Roman" w:hAnsi="Times New Roman"/>
          <w:color w:val="000000" w:themeColor="text1"/>
          <w:lang w:eastAsia="en-US"/>
        </w:rPr>
        <w:t xml:space="preserve">whether new legislative initiatives are needed to </w:t>
      </w:r>
      <w:r w:rsidR="347C6508" w:rsidRPr="46D2A472">
        <w:rPr>
          <w:rFonts w:ascii="Times New Roman" w:hAnsi="Times New Roman"/>
          <w:color w:val="000000" w:themeColor="text1"/>
          <w:lang w:eastAsia="en-US"/>
        </w:rPr>
        <w:t xml:space="preserve">further limit the bank-sovereign nexus, </w:t>
      </w:r>
      <w:r w:rsidR="744C2048" w:rsidRPr="46D2A472">
        <w:rPr>
          <w:rFonts w:ascii="Times New Roman" w:hAnsi="Times New Roman"/>
          <w:color w:val="000000" w:themeColor="text1"/>
          <w:lang w:eastAsia="en-US"/>
        </w:rPr>
        <w:t>as part of the work on completi</w:t>
      </w:r>
      <w:r w:rsidR="0084756F">
        <w:rPr>
          <w:rFonts w:ascii="Times New Roman" w:hAnsi="Times New Roman"/>
          <w:color w:val="000000" w:themeColor="text1"/>
          <w:lang w:eastAsia="en-US"/>
        </w:rPr>
        <w:t xml:space="preserve">ng </w:t>
      </w:r>
      <w:r w:rsidR="347C6508" w:rsidRPr="46D2A472">
        <w:rPr>
          <w:rFonts w:ascii="Times New Roman" w:hAnsi="Times New Roman"/>
          <w:color w:val="000000" w:themeColor="text1"/>
          <w:lang w:eastAsia="en-US"/>
        </w:rPr>
        <w:t>the Baking Union (</w:t>
      </w:r>
      <w:r w:rsidR="347C6508" w:rsidRPr="46D2A472">
        <w:rPr>
          <w:rFonts w:ascii="Times New Roman" w:hAnsi="Times New Roman"/>
          <w:i/>
          <w:iCs/>
          <w:color w:val="000000" w:themeColor="text1"/>
          <w:lang w:eastAsia="en-US"/>
        </w:rPr>
        <w:t xml:space="preserve">paragraphs 16 and </w:t>
      </w:r>
      <w:r w:rsidR="3AA1431E" w:rsidRPr="46D2A472">
        <w:rPr>
          <w:rFonts w:ascii="Times New Roman" w:hAnsi="Times New Roman"/>
          <w:i/>
          <w:iCs/>
          <w:color w:val="000000" w:themeColor="text1"/>
          <w:lang w:eastAsia="en-US"/>
        </w:rPr>
        <w:t>46</w:t>
      </w:r>
      <w:r w:rsidR="3AA1431E" w:rsidRPr="46D2A472">
        <w:rPr>
          <w:rFonts w:ascii="Times New Roman" w:hAnsi="Times New Roman"/>
          <w:color w:val="000000" w:themeColor="text1"/>
          <w:lang w:eastAsia="en-US"/>
        </w:rPr>
        <w:t>)</w:t>
      </w:r>
      <w:r w:rsidR="347C6508" w:rsidRPr="46D2A472">
        <w:rPr>
          <w:rFonts w:ascii="Times New Roman" w:hAnsi="Times New Roman"/>
          <w:color w:val="000000" w:themeColor="text1"/>
          <w:lang w:eastAsia="en-US"/>
        </w:rPr>
        <w:t>.</w:t>
      </w:r>
    </w:p>
    <w:p w14:paraId="659F40EF" w14:textId="27489FB8" w:rsidR="00603E76" w:rsidRPr="008569C5" w:rsidRDefault="7262D56F" w:rsidP="00B8388C">
      <w:pPr>
        <w:spacing w:after="120"/>
        <w:rPr>
          <w:rFonts w:ascii="Times New Roman" w:hAnsi="Times New Roman"/>
          <w:color w:val="000000" w:themeColor="text1"/>
          <w:lang w:eastAsia="en-US"/>
        </w:rPr>
      </w:pPr>
      <w:r w:rsidRPr="3AF3CBA2">
        <w:rPr>
          <w:rFonts w:ascii="Times New Roman" w:hAnsi="Times New Roman"/>
          <w:color w:val="000000" w:themeColor="text1"/>
          <w:lang w:eastAsia="en-US"/>
        </w:rPr>
        <w:t xml:space="preserve">Concerning </w:t>
      </w:r>
      <w:r w:rsidR="62E72691" w:rsidRPr="3AF3CBA2">
        <w:rPr>
          <w:rFonts w:ascii="Times New Roman" w:hAnsi="Times New Roman"/>
          <w:color w:val="000000" w:themeColor="text1"/>
          <w:lang w:eastAsia="en-US"/>
        </w:rPr>
        <w:t>gender</w:t>
      </w:r>
      <w:r w:rsidR="15234B5A" w:rsidRPr="3AF3CBA2">
        <w:rPr>
          <w:rFonts w:ascii="Times New Roman" w:hAnsi="Times New Roman"/>
          <w:color w:val="000000" w:themeColor="text1"/>
          <w:lang w:eastAsia="en-US"/>
        </w:rPr>
        <w:t>-balance in</w:t>
      </w:r>
      <w:r w:rsidR="256A292B" w:rsidRPr="3AF3CBA2">
        <w:rPr>
          <w:rFonts w:ascii="Times New Roman" w:hAnsi="Times New Roman"/>
          <w:color w:val="000000" w:themeColor="text1"/>
          <w:lang w:eastAsia="en-US"/>
        </w:rPr>
        <w:t xml:space="preserve"> financial institutions, </w:t>
      </w:r>
      <w:r w:rsidR="6579D45E" w:rsidRPr="3AF3CBA2">
        <w:rPr>
          <w:rFonts w:ascii="Times New Roman" w:hAnsi="Times New Roman"/>
          <w:color w:val="000000" w:themeColor="text1"/>
          <w:lang w:eastAsia="en-US"/>
        </w:rPr>
        <w:t>D</w:t>
      </w:r>
      <w:r w:rsidR="004FB956" w:rsidRPr="3AF3CBA2">
        <w:rPr>
          <w:rFonts w:ascii="Times New Roman" w:hAnsi="Times New Roman"/>
          <w:color w:val="000000" w:themeColor="text1"/>
          <w:lang w:eastAsia="en-US"/>
        </w:rPr>
        <w:t>irective</w:t>
      </w:r>
      <w:r w:rsidR="6579D45E" w:rsidRPr="3AF3CBA2">
        <w:rPr>
          <w:rFonts w:ascii="Times New Roman" w:hAnsi="Times New Roman"/>
          <w:color w:val="000000" w:themeColor="text1"/>
          <w:lang w:eastAsia="en-US"/>
        </w:rPr>
        <w:t xml:space="preserve"> (EU) 2022/2381 on improving the gender balance among directors of listed companies and related measures </w:t>
      </w:r>
      <w:r w:rsidR="32C56A0C" w:rsidRPr="3AF3CBA2">
        <w:rPr>
          <w:rFonts w:ascii="Times New Roman" w:hAnsi="Times New Roman"/>
          <w:color w:val="000000" w:themeColor="text1"/>
          <w:lang w:eastAsia="en-US"/>
        </w:rPr>
        <w:t xml:space="preserve">adopted </w:t>
      </w:r>
      <w:r w:rsidR="0084756F">
        <w:rPr>
          <w:rFonts w:ascii="Times New Roman" w:hAnsi="Times New Roman"/>
          <w:color w:val="000000" w:themeColor="text1"/>
          <w:lang w:eastAsia="en-US"/>
        </w:rPr>
        <w:t>in</w:t>
      </w:r>
      <w:r w:rsidR="32C56A0C" w:rsidRPr="3AF3CBA2">
        <w:rPr>
          <w:rFonts w:ascii="Times New Roman" w:hAnsi="Times New Roman"/>
          <w:color w:val="000000" w:themeColor="text1"/>
          <w:lang w:eastAsia="en-US"/>
        </w:rPr>
        <w:t xml:space="preserve">2022 </w:t>
      </w:r>
      <w:r w:rsidR="6188DE97" w:rsidRPr="3AF3CBA2">
        <w:rPr>
          <w:rFonts w:ascii="Times New Roman" w:hAnsi="Times New Roman"/>
          <w:color w:val="000000" w:themeColor="text1"/>
          <w:lang w:eastAsia="en-US"/>
        </w:rPr>
        <w:t xml:space="preserve">will ensure that gender balance in corporate boards of </w:t>
      </w:r>
      <w:r w:rsidR="0084756F">
        <w:rPr>
          <w:rFonts w:ascii="Times New Roman" w:hAnsi="Times New Roman"/>
          <w:color w:val="000000" w:themeColor="text1"/>
          <w:lang w:eastAsia="en-US"/>
        </w:rPr>
        <w:t xml:space="preserve">the </w:t>
      </w:r>
      <w:r w:rsidR="6188DE97" w:rsidRPr="3AF3CBA2">
        <w:rPr>
          <w:rFonts w:ascii="Times New Roman" w:hAnsi="Times New Roman"/>
          <w:color w:val="000000" w:themeColor="text1"/>
          <w:lang w:eastAsia="en-US"/>
        </w:rPr>
        <w:t xml:space="preserve">largest listed companies is sought across the EU </w:t>
      </w:r>
      <w:r w:rsidR="6188DE97" w:rsidRPr="3AF3CBA2">
        <w:rPr>
          <w:rFonts w:ascii="Times New Roman" w:hAnsi="Times New Roman"/>
          <w:i/>
          <w:iCs/>
          <w:color w:val="000000" w:themeColor="text1"/>
          <w:lang w:eastAsia="en-US"/>
        </w:rPr>
        <w:t>(paragraph</w:t>
      </w:r>
      <w:r w:rsidR="397E8D35" w:rsidRPr="3AF3CBA2">
        <w:rPr>
          <w:rFonts w:ascii="Times New Roman" w:hAnsi="Times New Roman"/>
          <w:i/>
          <w:iCs/>
          <w:color w:val="000000" w:themeColor="text1"/>
          <w:lang w:eastAsia="en-US"/>
        </w:rPr>
        <w:t>s</w:t>
      </w:r>
      <w:r w:rsidR="6188DE97" w:rsidRPr="3AF3CBA2">
        <w:rPr>
          <w:rFonts w:ascii="Times New Roman" w:hAnsi="Times New Roman"/>
          <w:i/>
          <w:iCs/>
          <w:color w:val="000000" w:themeColor="text1"/>
          <w:lang w:eastAsia="en-US"/>
        </w:rPr>
        <w:t xml:space="preserve"> </w:t>
      </w:r>
      <w:r w:rsidR="616910CC" w:rsidRPr="3AF3CBA2">
        <w:rPr>
          <w:rFonts w:ascii="Times New Roman" w:hAnsi="Times New Roman"/>
          <w:i/>
          <w:iCs/>
          <w:color w:val="000000" w:themeColor="text1"/>
          <w:lang w:eastAsia="en-US"/>
        </w:rPr>
        <w:t>13</w:t>
      </w:r>
      <w:r w:rsidR="006804E6">
        <w:rPr>
          <w:rFonts w:ascii="Times New Roman" w:hAnsi="Times New Roman"/>
          <w:i/>
          <w:iCs/>
          <w:color w:val="000000" w:themeColor="text1"/>
          <w:lang w:eastAsia="en-US"/>
        </w:rPr>
        <w:t xml:space="preserve"> and </w:t>
      </w:r>
      <w:r w:rsidR="397E8D35" w:rsidRPr="3AF3CBA2">
        <w:rPr>
          <w:rFonts w:ascii="Times New Roman" w:hAnsi="Times New Roman"/>
          <w:i/>
          <w:iCs/>
          <w:color w:val="000000" w:themeColor="text1"/>
          <w:lang w:eastAsia="en-US"/>
        </w:rPr>
        <w:t>14</w:t>
      </w:r>
      <w:r w:rsidR="6188DE97" w:rsidRPr="3AF3CBA2">
        <w:rPr>
          <w:rFonts w:ascii="Times New Roman" w:hAnsi="Times New Roman"/>
          <w:color w:val="000000" w:themeColor="text1"/>
          <w:lang w:eastAsia="en-US"/>
        </w:rPr>
        <w:t xml:space="preserve">). The directive sets a target for EU companies listed on EU stock exchanges to accelerate the </w:t>
      </w:r>
      <w:r w:rsidR="0084756F">
        <w:rPr>
          <w:rFonts w:ascii="Times New Roman" w:hAnsi="Times New Roman"/>
          <w:color w:val="000000" w:themeColor="text1"/>
          <w:lang w:eastAsia="en-US"/>
        </w:rPr>
        <w:t>a</w:t>
      </w:r>
      <w:r w:rsidR="00347412">
        <w:rPr>
          <w:rFonts w:ascii="Times New Roman" w:hAnsi="Times New Roman"/>
          <w:color w:val="000000" w:themeColor="text1"/>
          <w:lang w:eastAsia="en-US"/>
        </w:rPr>
        <w:t>chievement</w:t>
      </w:r>
      <w:r w:rsidR="0084756F">
        <w:rPr>
          <w:rFonts w:ascii="Times New Roman" w:hAnsi="Times New Roman"/>
          <w:color w:val="000000" w:themeColor="text1"/>
          <w:lang w:eastAsia="en-US"/>
        </w:rPr>
        <w:t xml:space="preserve"> </w:t>
      </w:r>
      <w:r w:rsidR="6188DE97" w:rsidRPr="3AF3CBA2">
        <w:rPr>
          <w:rFonts w:ascii="Times New Roman" w:hAnsi="Times New Roman"/>
          <w:color w:val="000000" w:themeColor="text1"/>
          <w:lang w:eastAsia="en-US"/>
        </w:rPr>
        <w:t xml:space="preserve">of better gender balance. It sets a </w:t>
      </w:r>
      <w:r w:rsidR="00347412">
        <w:rPr>
          <w:rFonts w:ascii="Times New Roman" w:hAnsi="Times New Roman"/>
          <w:color w:val="000000" w:themeColor="text1"/>
          <w:lang w:eastAsia="en-US"/>
        </w:rPr>
        <w:t xml:space="preserve">target </w:t>
      </w:r>
      <w:r w:rsidR="6188DE97" w:rsidRPr="3AF3CBA2">
        <w:rPr>
          <w:rFonts w:ascii="Times New Roman" w:hAnsi="Times New Roman"/>
          <w:color w:val="000000" w:themeColor="text1"/>
          <w:lang w:eastAsia="en-US"/>
        </w:rPr>
        <w:t xml:space="preserve">of </w:t>
      </w:r>
      <w:r w:rsidR="00347412">
        <w:rPr>
          <w:rFonts w:ascii="Times New Roman" w:hAnsi="Times New Roman"/>
          <w:color w:val="000000" w:themeColor="text1"/>
          <w:lang w:eastAsia="en-US"/>
        </w:rPr>
        <w:t xml:space="preserve">at least </w:t>
      </w:r>
      <w:r w:rsidR="6188DE97" w:rsidRPr="3AF3CBA2">
        <w:rPr>
          <w:rFonts w:ascii="Times New Roman" w:hAnsi="Times New Roman"/>
          <w:color w:val="000000" w:themeColor="text1"/>
          <w:lang w:eastAsia="en-US"/>
        </w:rPr>
        <w:t xml:space="preserve">40% of the underrepresented sex among non-executive directors and </w:t>
      </w:r>
      <w:r w:rsidR="00347412">
        <w:rPr>
          <w:rFonts w:ascii="Times New Roman" w:hAnsi="Times New Roman"/>
          <w:color w:val="000000" w:themeColor="text1"/>
          <w:lang w:eastAsia="en-US"/>
        </w:rPr>
        <w:t xml:space="preserve">at least </w:t>
      </w:r>
      <w:r w:rsidR="6188DE97" w:rsidRPr="3AF3CBA2">
        <w:rPr>
          <w:rFonts w:ascii="Times New Roman" w:hAnsi="Times New Roman"/>
          <w:color w:val="000000" w:themeColor="text1"/>
          <w:lang w:eastAsia="en-US"/>
        </w:rPr>
        <w:t xml:space="preserve">33% among all directors. These companies must ensure that board appointment procedures are clear and transparent, and that applicants are assessed objectively based on their individual merits, irrespective of gender. </w:t>
      </w:r>
      <w:r w:rsidR="410DC32A" w:rsidRPr="3AF3CBA2">
        <w:rPr>
          <w:rFonts w:ascii="Times New Roman" w:hAnsi="Times New Roman"/>
          <w:color w:val="000000" w:themeColor="text1"/>
          <w:lang w:eastAsia="en-US"/>
        </w:rPr>
        <w:t>The</w:t>
      </w:r>
      <w:r w:rsidR="72306535" w:rsidRPr="3AF3CBA2">
        <w:rPr>
          <w:rFonts w:ascii="Times New Roman" w:hAnsi="Times New Roman"/>
          <w:color w:val="000000" w:themeColor="text1"/>
          <w:lang w:eastAsia="en-US"/>
        </w:rPr>
        <w:t xml:space="preserve"> t</w:t>
      </w:r>
      <w:r w:rsidR="410DC32A" w:rsidRPr="3AF3CBA2">
        <w:rPr>
          <w:rFonts w:ascii="Times New Roman" w:hAnsi="Times New Roman"/>
          <w:color w:val="000000" w:themeColor="text1"/>
          <w:lang w:eastAsia="en-US"/>
        </w:rPr>
        <w:t xml:space="preserve">ransposition by </w:t>
      </w:r>
      <w:r w:rsidR="6188DE97" w:rsidRPr="3AF3CBA2">
        <w:rPr>
          <w:rFonts w:ascii="Times New Roman" w:hAnsi="Times New Roman"/>
          <w:color w:val="000000" w:themeColor="text1"/>
          <w:lang w:eastAsia="en-US"/>
        </w:rPr>
        <w:t xml:space="preserve">Member States </w:t>
      </w:r>
      <w:r w:rsidR="130BACED" w:rsidRPr="3AF3CBA2">
        <w:rPr>
          <w:rFonts w:ascii="Times New Roman" w:hAnsi="Times New Roman"/>
          <w:color w:val="000000" w:themeColor="text1"/>
          <w:lang w:eastAsia="en-US"/>
        </w:rPr>
        <w:t>should be completed by 28 December 2024.</w:t>
      </w:r>
    </w:p>
    <w:p w14:paraId="66F1EA9A" w14:textId="3F37C810" w:rsidR="00EF216C" w:rsidRPr="008569C5" w:rsidRDefault="00EF216C" w:rsidP="00B8388C">
      <w:pPr>
        <w:spacing w:after="120"/>
        <w:rPr>
          <w:rFonts w:ascii="Times New Roman" w:hAnsi="Times New Roman"/>
          <w:color w:val="000000" w:themeColor="text1"/>
          <w:lang w:eastAsia="en-US"/>
        </w:rPr>
      </w:pPr>
      <w:r w:rsidRPr="008569C5">
        <w:rPr>
          <w:rFonts w:ascii="Times New Roman" w:hAnsi="Times New Roman"/>
          <w:color w:val="000000" w:themeColor="text1"/>
          <w:lang w:eastAsia="en-US"/>
        </w:rPr>
        <w:t>The Commission</w:t>
      </w:r>
      <w:r w:rsidR="00F24C95" w:rsidRPr="008569C5">
        <w:rPr>
          <w:rFonts w:ascii="Times New Roman" w:hAnsi="Times New Roman"/>
          <w:color w:val="000000" w:themeColor="text1"/>
          <w:lang w:eastAsia="en-US"/>
        </w:rPr>
        <w:t xml:space="preserve"> agrees that </w:t>
      </w:r>
      <w:r w:rsidR="006804E6">
        <w:rPr>
          <w:rFonts w:ascii="Times New Roman" w:hAnsi="Times New Roman"/>
          <w:color w:val="000000" w:themeColor="text1"/>
          <w:lang w:eastAsia="en-US"/>
        </w:rPr>
        <w:t xml:space="preserve">the </w:t>
      </w:r>
      <w:r w:rsidR="00F24C95" w:rsidRPr="008569C5">
        <w:rPr>
          <w:rFonts w:ascii="Times New Roman" w:hAnsi="Times New Roman"/>
          <w:color w:val="000000" w:themeColor="text1"/>
          <w:lang w:eastAsia="en-US"/>
        </w:rPr>
        <w:t xml:space="preserve">European institutions should do their utmost in terms of outreach to ensure that a wide variety of competent candidates apply for roles such as those in the </w:t>
      </w:r>
      <w:r w:rsidR="00A521C1">
        <w:rPr>
          <w:rFonts w:ascii="Times New Roman" w:hAnsi="Times New Roman"/>
          <w:color w:val="000000" w:themeColor="text1"/>
          <w:lang w:eastAsia="en-US"/>
        </w:rPr>
        <w:t>Single Resolution Board (</w:t>
      </w:r>
      <w:r w:rsidR="00F24C95" w:rsidRPr="008569C5">
        <w:rPr>
          <w:rFonts w:ascii="Times New Roman" w:hAnsi="Times New Roman"/>
          <w:color w:val="000000" w:themeColor="text1"/>
          <w:lang w:eastAsia="en-US"/>
        </w:rPr>
        <w:t>SRB</w:t>
      </w:r>
      <w:r w:rsidR="00A521C1">
        <w:rPr>
          <w:rFonts w:ascii="Times New Roman" w:hAnsi="Times New Roman"/>
          <w:color w:val="000000" w:themeColor="text1"/>
          <w:lang w:eastAsia="en-US"/>
        </w:rPr>
        <w:t>)</w:t>
      </w:r>
      <w:r w:rsidR="00F24C95" w:rsidRPr="008569C5">
        <w:rPr>
          <w:rFonts w:ascii="Times New Roman" w:hAnsi="Times New Roman"/>
          <w:color w:val="000000" w:themeColor="text1"/>
          <w:lang w:eastAsia="en-US"/>
        </w:rPr>
        <w:t>, thus enabling gender-balanced shortlists of candidates as far as possible</w:t>
      </w:r>
      <w:r w:rsidR="00D52051" w:rsidRPr="008569C5">
        <w:rPr>
          <w:rFonts w:ascii="Times New Roman" w:hAnsi="Times New Roman"/>
          <w:color w:val="000000" w:themeColor="text1"/>
          <w:lang w:eastAsia="en-US"/>
        </w:rPr>
        <w:t>.</w:t>
      </w:r>
    </w:p>
    <w:p w14:paraId="3D5578AF" w14:textId="3EB129FE" w:rsidR="004C579F" w:rsidRPr="008569C5" w:rsidRDefault="15FAEF55" w:rsidP="004C579F">
      <w:pPr>
        <w:spacing w:after="120"/>
        <w:rPr>
          <w:rFonts w:ascii="Times New Roman" w:hAnsi="Times New Roman"/>
          <w:color w:val="000000" w:themeColor="text1"/>
          <w:lang w:val="en-IE" w:eastAsia="en-US"/>
        </w:rPr>
      </w:pPr>
      <w:r w:rsidRPr="3AF3CBA2">
        <w:rPr>
          <w:rFonts w:ascii="Times New Roman" w:hAnsi="Times New Roman"/>
          <w:color w:val="000000" w:themeColor="text1"/>
          <w:lang w:eastAsia="en-US"/>
        </w:rPr>
        <w:lastRenderedPageBreak/>
        <w:t xml:space="preserve">The Commission </w:t>
      </w:r>
      <w:r w:rsidR="537D0FB8" w:rsidRPr="3AF3CBA2">
        <w:rPr>
          <w:rFonts w:ascii="Times New Roman" w:hAnsi="Times New Roman"/>
          <w:color w:val="000000" w:themeColor="text1"/>
          <w:lang w:eastAsia="en-US"/>
        </w:rPr>
        <w:t xml:space="preserve">shares the European Parliament’s opinion that </w:t>
      </w:r>
      <w:r w:rsidR="441654CF" w:rsidRPr="3AF3CBA2">
        <w:rPr>
          <w:rFonts w:ascii="Times New Roman" w:hAnsi="Times New Roman"/>
          <w:color w:val="000000" w:themeColor="text1"/>
          <w:lang w:eastAsia="en-US"/>
        </w:rPr>
        <w:t xml:space="preserve">an EU safe asset could </w:t>
      </w:r>
      <w:r w:rsidR="656F1265" w:rsidRPr="3AF3CBA2">
        <w:rPr>
          <w:rFonts w:ascii="Times New Roman" w:hAnsi="Times New Roman"/>
          <w:color w:val="000000" w:themeColor="text1"/>
          <w:lang w:eastAsia="en-US"/>
        </w:rPr>
        <w:t>weaken</w:t>
      </w:r>
      <w:r w:rsidR="441654CF" w:rsidRPr="3AF3CBA2">
        <w:rPr>
          <w:rFonts w:ascii="Times New Roman" w:hAnsi="Times New Roman"/>
          <w:color w:val="000000" w:themeColor="text1"/>
          <w:lang w:eastAsia="en-US"/>
        </w:rPr>
        <w:t xml:space="preserve"> the negative feedback loop between </w:t>
      </w:r>
      <w:r w:rsidR="7227F904" w:rsidRPr="3AF3CBA2">
        <w:rPr>
          <w:rFonts w:ascii="Times New Roman" w:hAnsi="Times New Roman"/>
          <w:color w:val="000000" w:themeColor="text1"/>
          <w:lang w:eastAsia="en-US"/>
        </w:rPr>
        <w:t>banks and sovereign</w:t>
      </w:r>
      <w:r w:rsidR="00347412">
        <w:rPr>
          <w:rFonts w:ascii="Times New Roman" w:hAnsi="Times New Roman"/>
          <w:color w:val="000000" w:themeColor="text1"/>
          <w:lang w:eastAsia="en-US"/>
        </w:rPr>
        <w:t>s</w:t>
      </w:r>
      <w:r w:rsidR="7227F904" w:rsidRPr="3AF3CBA2">
        <w:rPr>
          <w:rFonts w:ascii="Times New Roman" w:hAnsi="Times New Roman"/>
          <w:color w:val="000000" w:themeColor="text1"/>
          <w:lang w:eastAsia="en-US"/>
        </w:rPr>
        <w:t xml:space="preserve"> </w:t>
      </w:r>
      <w:r w:rsidR="09795A77" w:rsidRPr="3AF3CBA2">
        <w:rPr>
          <w:rFonts w:ascii="Times New Roman" w:hAnsi="Times New Roman"/>
          <w:color w:val="000000" w:themeColor="text1"/>
          <w:lang w:eastAsia="en-US"/>
        </w:rPr>
        <w:t xml:space="preserve">at national level. </w:t>
      </w:r>
      <w:r w:rsidR="27DAB373" w:rsidRPr="3AF3CBA2">
        <w:rPr>
          <w:rFonts w:ascii="Times New Roman" w:hAnsi="Times New Roman"/>
          <w:color w:val="000000" w:themeColor="text1"/>
          <w:lang w:eastAsia="en-US"/>
        </w:rPr>
        <w:t>In that regard</w:t>
      </w:r>
      <w:r w:rsidR="41AEF925" w:rsidRPr="3AF3CBA2">
        <w:rPr>
          <w:rFonts w:ascii="Times New Roman" w:hAnsi="Times New Roman"/>
          <w:color w:val="000000" w:themeColor="text1"/>
          <w:lang w:eastAsia="en-US"/>
        </w:rPr>
        <w:t xml:space="preserve">, the </w:t>
      </w:r>
      <w:proofErr w:type="spellStart"/>
      <w:r w:rsidR="41AEF925" w:rsidRPr="3AF3CBA2">
        <w:rPr>
          <w:rFonts w:ascii="Times New Roman" w:hAnsi="Times New Roman"/>
          <w:color w:val="000000" w:themeColor="text1"/>
          <w:lang w:eastAsia="en-US"/>
        </w:rPr>
        <w:t>NextGenerationEU</w:t>
      </w:r>
      <w:proofErr w:type="spellEnd"/>
      <w:r w:rsidR="40F1AD0F" w:rsidRPr="3AF3CBA2">
        <w:rPr>
          <w:rFonts w:ascii="Times New Roman" w:hAnsi="Times New Roman"/>
          <w:color w:val="000000" w:themeColor="text1"/>
          <w:lang w:eastAsia="en-US"/>
        </w:rPr>
        <w:t xml:space="preserve"> </w:t>
      </w:r>
      <w:r w:rsidR="1303226F" w:rsidRPr="3AF3CBA2">
        <w:rPr>
          <w:rFonts w:ascii="Times New Roman" w:hAnsi="Times New Roman"/>
          <w:color w:val="000000" w:themeColor="text1"/>
          <w:lang w:eastAsia="en-US"/>
        </w:rPr>
        <w:t xml:space="preserve">created </w:t>
      </w:r>
      <w:r w:rsidR="71BDB7F5" w:rsidRPr="3AF3CBA2">
        <w:rPr>
          <w:rFonts w:ascii="Times New Roman" w:hAnsi="Times New Roman"/>
          <w:color w:val="000000" w:themeColor="text1"/>
          <w:lang w:eastAsia="en-US"/>
        </w:rPr>
        <w:t xml:space="preserve">a low-risk European asset which </w:t>
      </w:r>
      <w:r w:rsidR="55CBD078" w:rsidRPr="3AF3CBA2">
        <w:rPr>
          <w:rFonts w:ascii="Times New Roman" w:hAnsi="Times New Roman"/>
          <w:color w:val="000000" w:themeColor="text1"/>
          <w:lang w:eastAsia="en-US"/>
        </w:rPr>
        <w:t xml:space="preserve">allowed banks to </w:t>
      </w:r>
      <w:r w:rsidR="28064A27" w:rsidRPr="3AF3CBA2">
        <w:rPr>
          <w:rFonts w:ascii="Times New Roman" w:hAnsi="Times New Roman"/>
          <w:color w:val="000000" w:themeColor="text1"/>
          <w:lang w:eastAsia="en-US"/>
        </w:rPr>
        <w:t xml:space="preserve">successfully </w:t>
      </w:r>
      <w:r w:rsidR="55CBD078" w:rsidRPr="3AF3CBA2">
        <w:rPr>
          <w:rFonts w:ascii="Times New Roman" w:hAnsi="Times New Roman"/>
          <w:color w:val="000000" w:themeColor="text1"/>
          <w:lang w:eastAsia="en-US"/>
        </w:rPr>
        <w:t xml:space="preserve">diversify </w:t>
      </w:r>
      <w:r w:rsidR="7F074CF0" w:rsidRPr="3AF3CBA2">
        <w:rPr>
          <w:rFonts w:ascii="Times New Roman" w:hAnsi="Times New Roman"/>
          <w:color w:val="000000" w:themeColor="text1"/>
          <w:lang w:eastAsia="en-US"/>
        </w:rPr>
        <w:t>their sovereign exposure</w:t>
      </w:r>
      <w:r w:rsidR="2FAAE5C6" w:rsidRPr="3AF3CBA2">
        <w:rPr>
          <w:rFonts w:ascii="Times New Roman" w:hAnsi="Times New Roman"/>
          <w:color w:val="000000" w:themeColor="text1"/>
          <w:lang w:eastAsia="en-US"/>
        </w:rPr>
        <w:t xml:space="preserve"> (</w:t>
      </w:r>
      <w:r w:rsidR="2FAAE5C6" w:rsidRPr="3AF3CBA2">
        <w:rPr>
          <w:rFonts w:ascii="Times New Roman" w:hAnsi="Times New Roman"/>
          <w:i/>
          <w:iCs/>
          <w:color w:val="000000" w:themeColor="text1"/>
          <w:lang w:eastAsia="en-US"/>
        </w:rPr>
        <w:t>paragraph 17)</w:t>
      </w:r>
      <w:r w:rsidR="2FAAE5C6" w:rsidRPr="3AF3CBA2">
        <w:rPr>
          <w:rFonts w:ascii="Times New Roman" w:hAnsi="Times New Roman"/>
          <w:color w:val="000000" w:themeColor="text1"/>
          <w:lang w:eastAsia="en-US"/>
        </w:rPr>
        <w:t>.</w:t>
      </w:r>
    </w:p>
    <w:p w14:paraId="13039503" w14:textId="5782DD1D" w:rsidR="004C579F" w:rsidRPr="008569C5" w:rsidRDefault="004C579F" w:rsidP="004C579F">
      <w:pPr>
        <w:spacing w:after="120"/>
        <w:rPr>
          <w:rFonts w:ascii="Times New Roman" w:hAnsi="Times New Roman"/>
          <w:b/>
          <w:i/>
          <w:color w:val="000000" w:themeColor="text1"/>
          <w:lang w:eastAsia="en-US"/>
        </w:rPr>
      </w:pPr>
      <w:r w:rsidRPr="008569C5">
        <w:rPr>
          <w:rFonts w:ascii="Times New Roman" w:hAnsi="Times New Roman"/>
          <w:b/>
          <w:i/>
          <w:color w:val="000000" w:themeColor="text1"/>
          <w:lang w:eastAsia="en-US"/>
        </w:rPr>
        <w:t>On Supervision</w:t>
      </w:r>
    </w:p>
    <w:p w14:paraId="7812F901" w14:textId="4EC5E1F5" w:rsidR="004C579F" w:rsidRPr="008569C5" w:rsidRDefault="456C4D62" w:rsidP="403F990C">
      <w:pPr>
        <w:spacing w:after="120"/>
        <w:rPr>
          <w:rFonts w:ascii="Times New Roman" w:hAnsi="Times New Roman"/>
          <w:color w:val="000000" w:themeColor="text1"/>
        </w:rPr>
      </w:pPr>
      <w:r w:rsidRPr="3AF3CBA2">
        <w:rPr>
          <w:rFonts w:ascii="Times New Roman" w:hAnsi="Times New Roman"/>
          <w:color w:val="000000" w:themeColor="text1"/>
        </w:rPr>
        <w:t>The Commission takes note of the Parliament</w:t>
      </w:r>
      <w:r w:rsidR="4FD46FCC" w:rsidRPr="3AF3CBA2">
        <w:rPr>
          <w:rFonts w:ascii="Times New Roman" w:hAnsi="Times New Roman"/>
          <w:color w:val="000000" w:themeColor="text1"/>
        </w:rPr>
        <w:t>’s</w:t>
      </w:r>
      <w:r w:rsidRPr="3AF3CBA2">
        <w:rPr>
          <w:rFonts w:ascii="Times New Roman" w:hAnsi="Times New Roman"/>
          <w:color w:val="000000" w:themeColor="text1"/>
        </w:rPr>
        <w:t xml:space="preserve"> </w:t>
      </w:r>
      <w:r w:rsidR="22003C20" w:rsidRPr="3AF3CBA2">
        <w:rPr>
          <w:rFonts w:ascii="Times New Roman" w:hAnsi="Times New Roman"/>
          <w:color w:val="000000" w:themeColor="text1"/>
        </w:rPr>
        <w:t>observation</w:t>
      </w:r>
      <w:r w:rsidRPr="3AF3CBA2">
        <w:rPr>
          <w:rFonts w:ascii="Times New Roman" w:hAnsi="Times New Roman"/>
          <w:color w:val="000000" w:themeColor="text1"/>
        </w:rPr>
        <w:t xml:space="preserve"> </w:t>
      </w:r>
      <w:r w:rsidR="5CE828EB" w:rsidRPr="3AF3CBA2">
        <w:rPr>
          <w:rFonts w:ascii="Times New Roman" w:hAnsi="Times New Roman"/>
          <w:color w:val="000000" w:themeColor="text1"/>
        </w:rPr>
        <w:t xml:space="preserve">on </w:t>
      </w:r>
      <w:r w:rsidR="73419CFF" w:rsidRPr="28964A7B">
        <w:rPr>
          <w:rFonts w:ascii="Times New Roman" w:hAnsi="Times New Roman"/>
          <w:color w:val="000000" w:themeColor="text1"/>
        </w:rPr>
        <w:t xml:space="preserve">European </w:t>
      </w:r>
      <w:r w:rsidR="4E9E9F10" w:rsidRPr="3AF3CBA2">
        <w:rPr>
          <w:rFonts w:ascii="Times New Roman" w:hAnsi="Times New Roman"/>
          <w:color w:val="000000" w:themeColor="text1"/>
        </w:rPr>
        <w:t>banks</w:t>
      </w:r>
      <w:r w:rsidR="22003C20" w:rsidRPr="3AF3CBA2">
        <w:rPr>
          <w:rFonts w:ascii="Times New Roman" w:hAnsi="Times New Roman"/>
          <w:color w:val="000000" w:themeColor="text1"/>
        </w:rPr>
        <w:t>’</w:t>
      </w:r>
      <w:r w:rsidR="4E9E9F10" w:rsidRPr="3AF3CBA2">
        <w:rPr>
          <w:rFonts w:ascii="Times New Roman" w:hAnsi="Times New Roman"/>
          <w:color w:val="000000" w:themeColor="text1"/>
        </w:rPr>
        <w:t xml:space="preserve"> capitalisation</w:t>
      </w:r>
      <w:r w:rsidR="30B6CF29" w:rsidRPr="3AF3CBA2">
        <w:rPr>
          <w:rFonts w:ascii="Times New Roman" w:hAnsi="Times New Roman"/>
          <w:color w:val="000000" w:themeColor="text1"/>
        </w:rPr>
        <w:t xml:space="preserve"> (</w:t>
      </w:r>
      <w:r w:rsidR="30B6CF29" w:rsidRPr="3AF3CBA2">
        <w:rPr>
          <w:rFonts w:ascii="Times New Roman" w:hAnsi="Times New Roman"/>
          <w:i/>
          <w:iCs/>
          <w:color w:val="000000" w:themeColor="text1"/>
          <w:lang w:eastAsia="en-US"/>
        </w:rPr>
        <w:t>paragraph 18)</w:t>
      </w:r>
      <w:r w:rsidR="1C3AD78B" w:rsidRPr="3AF3CBA2">
        <w:rPr>
          <w:rFonts w:ascii="Times New Roman" w:hAnsi="Times New Roman"/>
          <w:color w:val="000000" w:themeColor="text1"/>
        </w:rPr>
        <w:t xml:space="preserve">. </w:t>
      </w:r>
      <w:r w:rsidR="00F44815">
        <w:rPr>
          <w:rFonts w:ascii="Times New Roman" w:hAnsi="Times New Roman"/>
          <w:color w:val="000000" w:themeColor="text1"/>
        </w:rPr>
        <w:t>It</w:t>
      </w:r>
      <w:r w:rsidR="1C3AD78B" w:rsidRPr="3AF3CBA2">
        <w:rPr>
          <w:rFonts w:ascii="Times New Roman" w:hAnsi="Times New Roman"/>
          <w:color w:val="000000" w:themeColor="text1"/>
        </w:rPr>
        <w:t xml:space="preserve"> notes </w:t>
      </w:r>
      <w:r w:rsidR="4E9E9F10" w:rsidRPr="3AF3CBA2">
        <w:rPr>
          <w:rFonts w:ascii="Times New Roman" w:hAnsi="Times New Roman"/>
          <w:color w:val="000000" w:themeColor="text1"/>
        </w:rPr>
        <w:t>that</w:t>
      </w:r>
      <w:r w:rsidR="5CE828EB" w:rsidRPr="3AF3CBA2">
        <w:rPr>
          <w:rFonts w:ascii="Times New Roman" w:hAnsi="Times New Roman"/>
          <w:color w:val="000000" w:themeColor="text1"/>
        </w:rPr>
        <w:t xml:space="preserve"> banks maintained robust capitalisation levels in the third quarter of 2023. The average C</w:t>
      </w:r>
      <w:r w:rsidR="4C2205AF" w:rsidRPr="3AF3CBA2">
        <w:rPr>
          <w:rFonts w:ascii="Times New Roman" w:hAnsi="Times New Roman"/>
          <w:color w:val="000000" w:themeColor="text1"/>
        </w:rPr>
        <w:t xml:space="preserve">ommon </w:t>
      </w:r>
      <w:r w:rsidR="5CE828EB" w:rsidRPr="3AF3CBA2">
        <w:rPr>
          <w:rFonts w:ascii="Times New Roman" w:hAnsi="Times New Roman"/>
          <w:color w:val="000000" w:themeColor="text1"/>
        </w:rPr>
        <w:t>E</w:t>
      </w:r>
      <w:r w:rsidR="4C2205AF" w:rsidRPr="3AF3CBA2">
        <w:rPr>
          <w:rFonts w:ascii="Times New Roman" w:hAnsi="Times New Roman"/>
          <w:color w:val="000000" w:themeColor="text1"/>
        </w:rPr>
        <w:t xml:space="preserve">quity </w:t>
      </w:r>
      <w:r w:rsidR="5CE828EB" w:rsidRPr="3AF3CBA2">
        <w:rPr>
          <w:rFonts w:ascii="Times New Roman" w:hAnsi="Times New Roman"/>
          <w:color w:val="000000" w:themeColor="text1"/>
        </w:rPr>
        <w:t>T</w:t>
      </w:r>
      <w:r w:rsidR="4C2205AF" w:rsidRPr="3AF3CBA2">
        <w:rPr>
          <w:rFonts w:ascii="Times New Roman" w:hAnsi="Times New Roman"/>
          <w:color w:val="000000" w:themeColor="text1"/>
        </w:rPr>
        <w:t>ier</w:t>
      </w:r>
      <w:r w:rsidR="30B6CF29" w:rsidRPr="3AF3CBA2">
        <w:rPr>
          <w:rFonts w:ascii="Times New Roman" w:hAnsi="Times New Roman"/>
          <w:color w:val="000000" w:themeColor="text1"/>
        </w:rPr>
        <w:t xml:space="preserve"> </w:t>
      </w:r>
      <w:r w:rsidR="5CE828EB" w:rsidRPr="3AF3CBA2">
        <w:rPr>
          <w:rFonts w:ascii="Times New Roman" w:hAnsi="Times New Roman"/>
          <w:color w:val="000000" w:themeColor="text1"/>
        </w:rPr>
        <w:t>1</w:t>
      </w:r>
      <w:r w:rsidR="30B6CF29" w:rsidRPr="3AF3CBA2">
        <w:rPr>
          <w:rFonts w:ascii="Times New Roman" w:hAnsi="Times New Roman"/>
          <w:color w:val="000000" w:themeColor="text1"/>
        </w:rPr>
        <w:t xml:space="preserve"> (CET)</w:t>
      </w:r>
      <w:r w:rsidR="5CE828EB" w:rsidRPr="3AF3CBA2">
        <w:rPr>
          <w:rFonts w:ascii="Times New Roman" w:hAnsi="Times New Roman"/>
          <w:color w:val="000000" w:themeColor="text1"/>
        </w:rPr>
        <w:t xml:space="preserve"> ratio (fully loaded) remained at high levels, slightly decreasing by 10bps to 15.8% from a historical high of 15.9% reported in </w:t>
      </w:r>
      <w:r w:rsidR="07E8F032" w:rsidRPr="3AF3CBA2">
        <w:rPr>
          <w:rFonts w:ascii="Times New Roman" w:hAnsi="Times New Roman"/>
          <w:color w:val="000000" w:themeColor="text1"/>
        </w:rPr>
        <w:t>the second quarter of 2023</w:t>
      </w:r>
      <w:r w:rsidR="5CE828EB" w:rsidRPr="3AF3CBA2">
        <w:rPr>
          <w:rFonts w:ascii="Times New Roman" w:hAnsi="Times New Roman"/>
          <w:color w:val="000000" w:themeColor="text1"/>
        </w:rPr>
        <w:t>. On a year-on-year basis, the CET1 ratio increased by 100bps, from 14.8% in September 2022.</w:t>
      </w:r>
    </w:p>
    <w:p w14:paraId="01DD5067" w14:textId="459A4961" w:rsidR="00C87704" w:rsidRPr="008569C5" w:rsidRDefault="004C64A7" w:rsidP="00C87704">
      <w:pPr>
        <w:spacing w:after="120"/>
        <w:rPr>
          <w:rFonts w:ascii="Times New Roman" w:hAnsi="Times New Roman"/>
          <w:color w:val="000000" w:themeColor="text1"/>
        </w:rPr>
      </w:pPr>
      <w:r w:rsidRPr="634D014F">
        <w:rPr>
          <w:rFonts w:ascii="Times New Roman" w:hAnsi="Times New Roman"/>
          <w:color w:val="000000" w:themeColor="text1"/>
        </w:rPr>
        <w:t xml:space="preserve">The Commission </w:t>
      </w:r>
      <w:r w:rsidR="00A649D4" w:rsidRPr="634D014F">
        <w:rPr>
          <w:rFonts w:ascii="Times New Roman" w:hAnsi="Times New Roman"/>
          <w:color w:val="000000" w:themeColor="text1"/>
        </w:rPr>
        <w:t xml:space="preserve">also </w:t>
      </w:r>
      <w:r w:rsidR="00053E9F" w:rsidRPr="634D014F">
        <w:rPr>
          <w:rFonts w:ascii="Times New Roman" w:hAnsi="Times New Roman"/>
          <w:color w:val="000000" w:themeColor="text1"/>
        </w:rPr>
        <w:t xml:space="preserve">notes the </w:t>
      </w:r>
      <w:r w:rsidRPr="634D014F">
        <w:rPr>
          <w:rFonts w:ascii="Times New Roman" w:hAnsi="Times New Roman"/>
          <w:color w:val="000000" w:themeColor="text1"/>
        </w:rPr>
        <w:t>Parliament</w:t>
      </w:r>
      <w:r w:rsidR="008B59FF" w:rsidRPr="634D014F">
        <w:rPr>
          <w:rFonts w:ascii="Times New Roman" w:hAnsi="Times New Roman"/>
          <w:color w:val="000000" w:themeColor="text1"/>
        </w:rPr>
        <w:t>’s remark on the decrease of liquidity indicators</w:t>
      </w:r>
      <w:r w:rsidR="002A14A0" w:rsidRPr="634D014F">
        <w:rPr>
          <w:rFonts w:ascii="Times New Roman" w:hAnsi="Times New Roman"/>
          <w:color w:val="000000" w:themeColor="text1"/>
        </w:rPr>
        <w:t xml:space="preserve">. Nonetheless, </w:t>
      </w:r>
      <w:r w:rsidR="00C87704" w:rsidRPr="634D014F">
        <w:rPr>
          <w:rFonts w:ascii="Times New Roman" w:hAnsi="Times New Roman"/>
          <w:color w:val="000000" w:themeColor="text1"/>
        </w:rPr>
        <w:t xml:space="preserve">the liquidity outlook is overall </w:t>
      </w:r>
      <w:proofErr w:type="gramStart"/>
      <w:r w:rsidR="00C87704" w:rsidRPr="634D014F">
        <w:rPr>
          <w:rFonts w:ascii="Times New Roman" w:hAnsi="Times New Roman"/>
          <w:color w:val="000000" w:themeColor="text1"/>
        </w:rPr>
        <w:t>stable</w:t>
      </w:r>
      <w:proofErr w:type="gramEnd"/>
      <w:r w:rsidR="00C87704" w:rsidRPr="634D014F">
        <w:rPr>
          <w:rFonts w:ascii="Times New Roman" w:hAnsi="Times New Roman"/>
          <w:color w:val="000000" w:themeColor="text1"/>
        </w:rPr>
        <w:t xml:space="preserve"> and banks show healthy liquidity ratios, well above minimum requirements. </w:t>
      </w:r>
      <w:r w:rsidR="00DF06EE" w:rsidRPr="634D014F">
        <w:rPr>
          <w:rFonts w:ascii="Times New Roman" w:hAnsi="Times New Roman"/>
          <w:color w:val="000000" w:themeColor="text1"/>
        </w:rPr>
        <w:t xml:space="preserve">The liquidity coverage ratio (LCR) slightly decreased from 160.9% in </w:t>
      </w:r>
      <w:r w:rsidR="00F44815">
        <w:rPr>
          <w:rFonts w:ascii="Times New Roman" w:hAnsi="Times New Roman"/>
          <w:color w:val="000000" w:themeColor="text1"/>
        </w:rPr>
        <w:t>the second quarter of</w:t>
      </w:r>
      <w:r w:rsidR="00DF06EE" w:rsidRPr="634D014F">
        <w:rPr>
          <w:rFonts w:ascii="Times New Roman" w:hAnsi="Times New Roman"/>
          <w:color w:val="000000" w:themeColor="text1"/>
        </w:rPr>
        <w:t xml:space="preserve"> 2023 to 160.7% in </w:t>
      </w:r>
      <w:r w:rsidR="00F44815">
        <w:rPr>
          <w:rFonts w:ascii="Times New Roman" w:hAnsi="Times New Roman"/>
          <w:color w:val="000000" w:themeColor="text1"/>
        </w:rPr>
        <w:t>the third quarter of</w:t>
      </w:r>
      <w:r w:rsidR="00DF06EE" w:rsidRPr="634D014F">
        <w:rPr>
          <w:rFonts w:ascii="Times New Roman" w:hAnsi="Times New Roman"/>
          <w:color w:val="000000" w:themeColor="text1"/>
        </w:rPr>
        <w:t xml:space="preserve"> 2023</w:t>
      </w:r>
      <w:r w:rsidR="004C1C23" w:rsidRPr="634D014F">
        <w:rPr>
          <w:rFonts w:ascii="Times New Roman" w:hAnsi="Times New Roman"/>
          <w:color w:val="000000" w:themeColor="text1"/>
        </w:rPr>
        <w:t xml:space="preserve"> for EU banks</w:t>
      </w:r>
      <w:r w:rsidR="00DF06EE" w:rsidRPr="634D014F">
        <w:rPr>
          <w:rFonts w:ascii="Times New Roman" w:hAnsi="Times New Roman"/>
          <w:color w:val="000000" w:themeColor="text1"/>
        </w:rPr>
        <w:t xml:space="preserve">. </w:t>
      </w:r>
      <w:r w:rsidR="00F31522" w:rsidRPr="634D014F">
        <w:rPr>
          <w:rFonts w:ascii="Times New Roman" w:hAnsi="Times New Roman"/>
          <w:color w:val="000000" w:themeColor="text1"/>
        </w:rPr>
        <w:t xml:space="preserve">The volume of client deposits, the most important funding instrument, is at a comparable level </w:t>
      </w:r>
      <w:r w:rsidR="007A72B0">
        <w:rPr>
          <w:rFonts w:ascii="Times New Roman" w:hAnsi="Times New Roman"/>
          <w:color w:val="000000" w:themeColor="text1"/>
        </w:rPr>
        <w:t>to</w:t>
      </w:r>
      <w:r w:rsidR="00F31522" w:rsidRPr="634D014F">
        <w:rPr>
          <w:rFonts w:ascii="Times New Roman" w:hAnsi="Times New Roman"/>
          <w:color w:val="000000" w:themeColor="text1"/>
        </w:rPr>
        <w:t xml:space="preserve"> December 2022, after a decline in the first half of 2023 and a slight increase in </w:t>
      </w:r>
      <w:r w:rsidR="00F44815">
        <w:rPr>
          <w:rFonts w:ascii="Times New Roman" w:hAnsi="Times New Roman"/>
          <w:color w:val="000000" w:themeColor="text1"/>
        </w:rPr>
        <w:t>the third quarter</w:t>
      </w:r>
      <w:r w:rsidR="00F31522" w:rsidRPr="634D014F">
        <w:rPr>
          <w:rFonts w:ascii="Times New Roman" w:hAnsi="Times New Roman"/>
          <w:color w:val="000000" w:themeColor="text1"/>
        </w:rPr>
        <w:t>.</w:t>
      </w:r>
      <w:r w:rsidR="00CA45B7" w:rsidRPr="634D014F">
        <w:rPr>
          <w:rFonts w:ascii="Times New Roman" w:hAnsi="Times New Roman"/>
          <w:color w:val="000000" w:themeColor="text1"/>
        </w:rPr>
        <w:t xml:space="preserve"> The LCR had declined faster in </w:t>
      </w:r>
      <w:r w:rsidR="00F44815">
        <w:rPr>
          <w:rFonts w:ascii="Times New Roman" w:hAnsi="Times New Roman"/>
          <w:color w:val="000000" w:themeColor="text1"/>
        </w:rPr>
        <w:t>the second quarter of</w:t>
      </w:r>
      <w:r w:rsidR="00CA45B7" w:rsidRPr="634D014F">
        <w:rPr>
          <w:rFonts w:ascii="Times New Roman" w:hAnsi="Times New Roman"/>
          <w:color w:val="000000" w:themeColor="text1"/>
        </w:rPr>
        <w:t xml:space="preserve"> 2023 due to the repayment of the ECB’s </w:t>
      </w:r>
      <w:r w:rsidR="5D6C16BC" w:rsidRPr="634D014F">
        <w:rPr>
          <w:rFonts w:ascii="Times New Roman" w:hAnsi="Times New Roman"/>
          <w:color w:val="000000" w:themeColor="text1"/>
        </w:rPr>
        <w:t>targeted longer-term refinancing operations (</w:t>
      </w:r>
      <w:r w:rsidR="00CA45B7" w:rsidRPr="634D014F">
        <w:rPr>
          <w:rFonts w:ascii="Times New Roman" w:hAnsi="Times New Roman"/>
          <w:color w:val="000000" w:themeColor="text1"/>
        </w:rPr>
        <w:t>TLTRO</w:t>
      </w:r>
      <w:r w:rsidR="368CD5CC" w:rsidRPr="634D014F">
        <w:rPr>
          <w:rFonts w:ascii="Times New Roman" w:hAnsi="Times New Roman"/>
          <w:color w:val="000000" w:themeColor="text1"/>
        </w:rPr>
        <w:t>)</w:t>
      </w:r>
      <w:r w:rsidR="00CA45B7" w:rsidRPr="634D014F">
        <w:rPr>
          <w:rFonts w:ascii="Times New Roman" w:hAnsi="Times New Roman"/>
          <w:color w:val="000000" w:themeColor="text1"/>
        </w:rPr>
        <w:t xml:space="preserve"> III facility by Euro area banks</w:t>
      </w:r>
      <w:r w:rsidR="65FA75EB" w:rsidRPr="634D014F">
        <w:rPr>
          <w:rFonts w:ascii="Times New Roman" w:hAnsi="Times New Roman"/>
          <w:color w:val="000000" w:themeColor="text1"/>
        </w:rPr>
        <w:t xml:space="preserve">. Given </w:t>
      </w:r>
      <w:r w:rsidR="00CA45B7" w:rsidRPr="634D014F">
        <w:rPr>
          <w:rFonts w:ascii="Times New Roman" w:hAnsi="Times New Roman"/>
          <w:color w:val="000000" w:themeColor="text1"/>
        </w:rPr>
        <w:t xml:space="preserve">the </w:t>
      </w:r>
      <w:r w:rsidR="00C71E40" w:rsidRPr="634D014F">
        <w:rPr>
          <w:rFonts w:ascii="Times New Roman" w:hAnsi="Times New Roman"/>
          <w:color w:val="000000" w:themeColor="text1"/>
        </w:rPr>
        <w:t xml:space="preserve">underlying </w:t>
      </w:r>
      <w:r w:rsidR="0075352E" w:rsidRPr="634D014F">
        <w:rPr>
          <w:rFonts w:ascii="Times New Roman" w:hAnsi="Times New Roman"/>
          <w:color w:val="000000" w:themeColor="text1"/>
        </w:rPr>
        <w:t xml:space="preserve">liquidity </w:t>
      </w:r>
      <w:r w:rsidR="00577D57" w:rsidRPr="634D014F">
        <w:rPr>
          <w:rFonts w:ascii="Times New Roman" w:hAnsi="Times New Roman"/>
          <w:color w:val="000000" w:themeColor="text1"/>
        </w:rPr>
        <w:t xml:space="preserve">context </w:t>
      </w:r>
      <w:r w:rsidR="350A3368" w:rsidRPr="634D014F">
        <w:rPr>
          <w:rFonts w:ascii="Times New Roman" w:hAnsi="Times New Roman"/>
          <w:color w:val="000000" w:themeColor="text1"/>
        </w:rPr>
        <w:t xml:space="preserve">this </w:t>
      </w:r>
      <w:r w:rsidR="004A0495" w:rsidRPr="634D014F">
        <w:rPr>
          <w:rFonts w:ascii="Times New Roman" w:hAnsi="Times New Roman"/>
          <w:color w:val="000000" w:themeColor="text1"/>
        </w:rPr>
        <w:t xml:space="preserve">should be interpreted as </w:t>
      </w:r>
      <w:r w:rsidR="07C3EF6B" w:rsidRPr="634D014F">
        <w:rPr>
          <w:rFonts w:ascii="Times New Roman" w:hAnsi="Times New Roman"/>
          <w:color w:val="000000" w:themeColor="text1"/>
        </w:rPr>
        <w:t xml:space="preserve">the gradual absorption of </w:t>
      </w:r>
      <w:r w:rsidR="004A0495" w:rsidRPr="634D014F">
        <w:rPr>
          <w:rFonts w:ascii="Times New Roman" w:hAnsi="Times New Roman"/>
          <w:color w:val="000000" w:themeColor="text1"/>
        </w:rPr>
        <w:t>e</w:t>
      </w:r>
      <w:r w:rsidR="00C87704" w:rsidRPr="634D014F">
        <w:rPr>
          <w:rFonts w:ascii="Times New Roman" w:hAnsi="Times New Roman"/>
          <w:color w:val="000000" w:themeColor="text1"/>
        </w:rPr>
        <w:t>xcess liquidity in the EU banking system</w:t>
      </w:r>
      <w:r w:rsidR="00936718" w:rsidRPr="634D014F">
        <w:rPr>
          <w:rFonts w:ascii="Times New Roman" w:hAnsi="Times New Roman"/>
          <w:color w:val="000000" w:themeColor="text1"/>
        </w:rPr>
        <w:t xml:space="preserve"> </w:t>
      </w:r>
      <w:r w:rsidR="00936718" w:rsidRPr="634D014F">
        <w:rPr>
          <w:rFonts w:ascii="Times New Roman" w:hAnsi="Times New Roman"/>
          <w:i/>
          <w:iCs/>
          <w:color w:val="000000" w:themeColor="text1"/>
        </w:rPr>
        <w:t>(paragraph 19)</w:t>
      </w:r>
      <w:r w:rsidR="00C87704" w:rsidRPr="634D014F">
        <w:rPr>
          <w:rFonts w:ascii="Times New Roman" w:hAnsi="Times New Roman"/>
          <w:i/>
          <w:iCs/>
          <w:color w:val="000000" w:themeColor="text1"/>
        </w:rPr>
        <w:t>.</w:t>
      </w:r>
    </w:p>
    <w:p w14:paraId="6A41B437" w14:textId="19A1D9CC" w:rsidR="004B1F17" w:rsidRPr="008569C5" w:rsidRDefault="7500D68C" w:rsidP="3AF3CBA2">
      <w:pPr>
        <w:spacing w:after="120"/>
        <w:rPr>
          <w:rFonts w:ascii="Times New Roman" w:hAnsi="Times New Roman"/>
          <w:color w:val="000000" w:themeColor="text1"/>
        </w:rPr>
      </w:pPr>
      <w:r w:rsidRPr="3AF3CBA2">
        <w:rPr>
          <w:rFonts w:ascii="Times New Roman" w:hAnsi="Times New Roman"/>
          <w:color w:val="000000" w:themeColor="text1"/>
        </w:rPr>
        <w:t>The Commission shares the Parliament’s view on the progress made by banks in reducing the stock of non-performing loans</w:t>
      </w:r>
      <w:r w:rsidR="72BA223B" w:rsidRPr="3AF3CBA2">
        <w:rPr>
          <w:rFonts w:ascii="Times New Roman" w:hAnsi="Times New Roman"/>
          <w:color w:val="000000" w:themeColor="text1"/>
        </w:rPr>
        <w:t xml:space="preserve"> (NPLs)</w:t>
      </w:r>
      <w:r w:rsidR="004C1C23" w:rsidRPr="3AF3CBA2">
        <w:rPr>
          <w:rFonts w:ascii="Times New Roman" w:hAnsi="Times New Roman"/>
          <w:color w:val="000000" w:themeColor="text1"/>
        </w:rPr>
        <w:t>, stable at 1.8%</w:t>
      </w:r>
      <w:r w:rsidR="33281409" w:rsidRPr="3AF3CBA2">
        <w:rPr>
          <w:rFonts w:ascii="Times New Roman" w:hAnsi="Times New Roman"/>
          <w:color w:val="000000" w:themeColor="text1"/>
        </w:rPr>
        <w:t xml:space="preserve"> as of</w:t>
      </w:r>
      <w:r w:rsidR="00F44815">
        <w:rPr>
          <w:rFonts w:ascii="Times New Roman" w:hAnsi="Times New Roman"/>
          <w:color w:val="000000" w:themeColor="text1"/>
        </w:rPr>
        <w:t xml:space="preserve"> the third quarter of</w:t>
      </w:r>
      <w:r w:rsidR="33281409" w:rsidRPr="3AF3CBA2">
        <w:rPr>
          <w:rFonts w:ascii="Times New Roman" w:hAnsi="Times New Roman"/>
          <w:color w:val="000000" w:themeColor="text1"/>
        </w:rPr>
        <w:t xml:space="preserve"> 2023</w:t>
      </w:r>
      <w:r w:rsidRPr="3AF3CBA2">
        <w:rPr>
          <w:rFonts w:ascii="Times New Roman" w:hAnsi="Times New Roman"/>
          <w:color w:val="000000" w:themeColor="text1"/>
        </w:rPr>
        <w:t xml:space="preserve">. Notwithstanding the fact that the aggregate NPL ratio </w:t>
      </w:r>
      <w:r w:rsidR="3F5FD067" w:rsidRPr="3AF3CBA2">
        <w:rPr>
          <w:rFonts w:ascii="Times New Roman" w:hAnsi="Times New Roman"/>
          <w:color w:val="000000" w:themeColor="text1"/>
        </w:rPr>
        <w:t>is</w:t>
      </w:r>
      <w:r w:rsidR="2C6DC33A" w:rsidRPr="3AF3CBA2">
        <w:rPr>
          <w:rFonts w:ascii="Times New Roman" w:hAnsi="Times New Roman"/>
          <w:color w:val="000000" w:themeColor="text1"/>
        </w:rPr>
        <w:t xml:space="preserve"> following a declining trend, </w:t>
      </w:r>
      <w:r w:rsidRPr="3AF3CBA2">
        <w:rPr>
          <w:rFonts w:ascii="Times New Roman" w:hAnsi="Times New Roman"/>
          <w:color w:val="000000" w:themeColor="text1"/>
        </w:rPr>
        <w:t>the Commission believes that vigilance should remain high given that in some Member States the absolute NPL volume remains significant</w:t>
      </w:r>
      <w:r w:rsidR="3E3C6CD9" w:rsidRPr="3AF3CBA2">
        <w:rPr>
          <w:rFonts w:ascii="Times New Roman" w:hAnsi="Times New Roman"/>
          <w:color w:val="000000" w:themeColor="text1"/>
        </w:rPr>
        <w:t xml:space="preserve">, </w:t>
      </w:r>
      <w:r w:rsidRPr="3AF3CBA2">
        <w:rPr>
          <w:rFonts w:ascii="Times New Roman" w:hAnsi="Times New Roman"/>
          <w:color w:val="000000" w:themeColor="text1"/>
        </w:rPr>
        <w:t xml:space="preserve">also in </w:t>
      </w:r>
      <w:r w:rsidR="5393C527" w:rsidRPr="3AF3CBA2">
        <w:rPr>
          <w:rFonts w:ascii="Times New Roman" w:hAnsi="Times New Roman"/>
          <w:color w:val="000000" w:themeColor="text1"/>
        </w:rPr>
        <w:t xml:space="preserve">the light </w:t>
      </w:r>
      <w:r w:rsidRPr="3AF3CBA2">
        <w:rPr>
          <w:rFonts w:ascii="Times New Roman" w:hAnsi="Times New Roman"/>
          <w:color w:val="000000" w:themeColor="text1"/>
        </w:rPr>
        <w:t>of the elevated uncertainties given the EU economic outlook</w:t>
      </w:r>
      <w:r w:rsidR="4D3EE4ED" w:rsidRPr="3AF3CBA2">
        <w:rPr>
          <w:rFonts w:ascii="Times New Roman" w:hAnsi="Times New Roman"/>
          <w:color w:val="000000" w:themeColor="text1"/>
        </w:rPr>
        <w:t xml:space="preserve"> (</w:t>
      </w:r>
      <w:r w:rsidR="4D3EE4ED" w:rsidRPr="3AF3CBA2">
        <w:rPr>
          <w:rFonts w:ascii="Times New Roman" w:hAnsi="Times New Roman"/>
          <w:i/>
          <w:iCs/>
          <w:color w:val="000000" w:themeColor="text1"/>
        </w:rPr>
        <w:t>paragraph 20</w:t>
      </w:r>
      <w:r w:rsidR="4D3EE4ED" w:rsidRPr="3AF3CBA2">
        <w:rPr>
          <w:rFonts w:ascii="Times New Roman" w:hAnsi="Times New Roman"/>
          <w:color w:val="000000" w:themeColor="text1"/>
        </w:rPr>
        <w:t>).</w:t>
      </w:r>
    </w:p>
    <w:p w14:paraId="3A96DE33" w14:textId="56B9D73F" w:rsidR="00EF6FFD" w:rsidRPr="008569C5" w:rsidRDefault="2707BA14" w:rsidP="71F89208">
      <w:pPr>
        <w:spacing w:after="120"/>
        <w:rPr>
          <w:rFonts w:ascii="Times New Roman" w:hAnsi="Times New Roman"/>
          <w:color w:val="000000" w:themeColor="text1"/>
        </w:rPr>
      </w:pPr>
      <w:r w:rsidRPr="3AF3CBA2">
        <w:rPr>
          <w:rFonts w:ascii="Times New Roman" w:hAnsi="Times New Roman"/>
          <w:color w:val="000000" w:themeColor="text1"/>
        </w:rPr>
        <w:t xml:space="preserve">The </w:t>
      </w:r>
      <w:r w:rsidR="37805E79" w:rsidRPr="3AF3CBA2">
        <w:rPr>
          <w:rFonts w:ascii="Times New Roman" w:hAnsi="Times New Roman"/>
          <w:color w:val="000000" w:themeColor="text1"/>
        </w:rPr>
        <w:t xml:space="preserve">Commission </w:t>
      </w:r>
      <w:r w:rsidR="62C32AB0" w:rsidRPr="3AF3CBA2">
        <w:rPr>
          <w:rFonts w:ascii="Times New Roman" w:hAnsi="Times New Roman"/>
          <w:color w:val="000000" w:themeColor="text1"/>
        </w:rPr>
        <w:t xml:space="preserve">agrees with the overall objective to continue working to further improve this market segment. </w:t>
      </w:r>
      <w:r w:rsidR="00F44815">
        <w:rPr>
          <w:rFonts w:ascii="Times New Roman" w:hAnsi="Times New Roman"/>
          <w:color w:val="000000" w:themeColor="text1"/>
        </w:rPr>
        <w:t xml:space="preserve">It also </w:t>
      </w:r>
      <w:r w:rsidR="213F64B7" w:rsidRPr="3AF3CBA2">
        <w:rPr>
          <w:rFonts w:ascii="Times New Roman" w:hAnsi="Times New Roman"/>
          <w:color w:val="000000" w:themeColor="text1"/>
        </w:rPr>
        <w:t>agrees with the call on supervisors to monitor the development of stage 2 loans.</w:t>
      </w:r>
      <w:r w:rsidR="5438CC8B" w:rsidRPr="3AF3CBA2">
        <w:rPr>
          <w:rFonts w:ascii="Times New Roman" w:hAnsi="Times New Roman"/>
          <w:color w:val="000000" w:themeColor="text1"/>
        </w:rPr>
        <w:t xml:space="preserve"> </w:t>
      </w:r>
      <w:r w:rsidR="420DC7EC" w:rsidRPr="3AF3CBA2">
        <w:rPr>
          <w:rFonts w:ascii="Times New Roman" w:hAnsi="Times New Roman"/>
          <w:color w:val="000000" w:themeColor="text1"/>
        </w:rPr>
        <w:t>The Commission will monitor the</w:t>
      </w:r>
      <w:r w:rsidR="0B576C2F" w:rsidRPr="3AF3CBA2">
        <w:rPr>
          <w:rFonts w:ascii="Times New Roman" w:hAnsi="Times New Roman"/>
          <w:color w:val="000000" w:themeColor="text1"/>
        </w:rPr>
        <w:t xml:space="preserve"> implementation of the various actions outlined</w:t>
      </w:r>
      <w:r w:rsidR="4D81EB4E" w:rsidRPr="3AF3CBA2">
        <w:rPr>
          <w:rFonts w:ascii="Times New Roman" w:hAnsi="Times New Roman"/>
          <w:color w:val="000000" w:themeColor="text1"/>
        </w:rPr>
        <w:t xml:space="preserve"> </w:t>
      </w:r>
      <w:r w:rsidR="0B576C2F" w:rsidRPr="3AF3CBA2">
        <w:rPr>
          <w:rFonts w:ascii="Times New Roman" w:hAnsi="Times New Roman"/>
          <w:color w:val="000000" w:themeColor="text1"/>
        </w:rPr>
        <w:t xml:space="preserve">in its </w:t>
      </w:r>
      <w:r w:rsidR="00F44815">
        <w:rPr>
          <w:rFonts w:ascii="Times New Roman" w:hAnsi="Times New Roman"/>
          <w:color w:val="000000" w:themeColor="text1"/>
        </w:rPr>
        <w:t>a</w:t>
      </w:r>
      <w:r w:rsidR="0B576C2F" w:rsidRPr="3AF3CBA2">
        <w:rPr>
          <w:rFonts w:ascii="Times New Roman" w:hAnsi="Times New Roman"/>
          <w:color w:val="000000" w:themeColor="text1"/>
        </w:rPr>
        <w:t>ction plan to tackle non-performing loans, including the</w:t>
      </w:r>
      <w:r w:rsidR="420DC7EC" w:rsidRPr="3AF3CBA2">
        <w:rPr>
          <w:rFonts w:ascii="Times New Roman" w:hAnsi="Times New Roman"/>
          <w:color w:val="000000" w:themeColor="text1"/>
        </w:rPr>
        <w:t xml:space="preserve"> transposition and implementation of </w:t>
      </w:r>
      <w:r w:rsidR="2F1A2152" w:rsidRPr="3AF3CBA2">
        <w:rPr>
          <w:rFonts w:ascii="Times New Roman" w:hAnsi="Times New Roman"/>
          <w:color w:val="000000" w:themeColor="text1"/>
        </w:rPr>
        <w:t xml:space="preserve">the Directive on credit servicers and credit purchasers to </w:t>
      </w:r>
      <w:r w:rsidR="00952B6F" w:rsidRPr="3AF3CBA2">
        <w:rPr>
          <w:rFonts w:ascii="Times New Roman" w:hAnsi="Times New Roman"/>
          <w:color w:val="000000" w:themeColor="text1"/>
        </w:rPr>
        <w:t xml:space="preserve">further </w:t>
      </w:r>
      <w:r w:rsidR="2F1A2152" w:rsidRPr="3AF3CBA2">
        <w:rPr>
          <w:rFonts w:ascii="Times New Roman" w:hAnsi="Times New Roman"/>
          <w:color w:val="000000" w:themeColor="text1"/>
        </w:rPr>
        <w:t>foster the development of NPL secondary markets</w:t>
      </w:r>
      <w:r w:rsidR="7AC59F67" w:rsidRPr="3AF3CBA2">
        <w:rPr>
          <w:rFonts w:ascii="Times New Roman" w:hAnsi="Times New Roman"/>
          <w:color w:val="000000" w:themeColor="text1"/>
        </w:rPr>
        <w:t>, while ensuring further strengthened protection for debtors</w:t>
      </w:r>
      <w:r w:rsidR="2F1A2152" w:rsidRPr="3AF3CBA2">
        <w:rPr>
          <w:rFonts w:ascii="Times New Roman" w:hAnsi="Times New Roman"/>
          <w:color w:val="000000" w:themeColor="text1"/>
        </w:rPr>
        <w:t>.</w:t>
      </w:r>
    </w:p>
    <w:p w14:paraId="20B17FF7" w14:textId="1FD5D107" w:rsidR="00347386" w:rsidRPr="008569C5" w:rsidRDefault="7D66C7AA" w:rsidP="74D4BE9F">
      <w:pPr>
        <w:spacing w:after="120"/>
        <w:rPr>
          <w:rFonts w:ascii="Times New Roman" w:hAnsi="Times New Roman"/>
          <w:color w:val="000000" w:themeColor="text1"/>
        </w:rPr>
      </w:pPr>
      <w:r w:rsidRPr="3AF3CBA2">
        <w:rPr>
          <w:rFonts w:ascii="Times New Roman" w:hAnsi="Times New Roman"/>
          <w:color w:val="000000" w:themeColor="text1"/>
        </w:rPr>
        <w:t xml:space="preserve">The Commission </w:t>
      </w:r>
      <w:r w:rsidR="4AA76A9F" w:rsidRPr="3AF3CBA2">
        <w:rPr>
          <w:rFonts w:ascii="Times New Roman" w:hAnsi="Times New Roman"/>
          <w:color w:val="000000" w:themeColor="text1"/>
        </w:rPr>
        <w:t xml:space="preserve">fully </w:t>
      </w:r>
      <w:r w:rsidRPr="3AF3CBA2">
        <w:rPr>
          <w:rFonts w:ascii="Times New Roman" w:hAnsi="Times New Roman"/>
          <w:color w:val="000000" w:themeColor="text1"/>
        </w:rPr>
        <w:t xml:space="preserve">shares the Parliament’s view that banks need to ensure prudent risk management and appropriate provisioning: these are requirements under the existing prudential framework. </w:t>
      </w:r>
      <w:r w:rsidR="075412FB" w:rsidRPr="3AF3CBA2">
        <w:rPr>
          <w:rFonts w:ascii="Times New Roman" w:hAnsi="Times New Roman"/>
          <w:color w:val="000000" w:themeColor="text1"/>
        </w:rPr>
        <w:t xml:space="preserve">The Commission </w:t>
      </w:r>
      <w:r w:rsidR="267EF0C9" w:rsidRPr="3AF3CBA2">
        <w:rPr>
          <w:rFonts w:ascii="Times New Roman" w:hAnsi="Times New Roman"/>
          <w:color w:val="000000" w:themeColor="text1"/>
        </w:rPr>
        <w:t>acknowledges the deteriorating macroeconomic situation</w:t>
      </w:r>
      <w:r w:rsidR="7829828D" w:rsidRPr="3AF3CBA2">
        <w:rPr>
          <w:rFonts w:ascii="Times New Roman" w:hAnsi="Times New Roman"/>
          <w:color w:val="000000" w:themeColor="text1"/>
        </w:rPr>
        <w:t xml:space="preserve">. </w:t>
      </w:r>
      <w:r w:rsidR="652951AB" w:rsidRPr="3AF3CBA2">
        <w:rPr>
          <w:rFonts w:ascii="Times New Roman" w:hAnsi="Times New Roman"/>
          <w:color w:val="000000" w:themeColor="text1"/>
        </w:rPr>
        <w:t>I</w:t>
      </w:r>
      <w:r w:rsidR="21990B39" w:rsidRPr="3AF3CBA2">
        <w:rPr>
          <w:rFonts w:ascii="Times New Roman" w:hAnsi="Times New Roman"/>
          <w:color w:val="000000" w:themeColor="text1"/>
        </w:rPr>
        <w:t>t</w:t>
      </w:r>
      <w:r w:rsidR="267EF0C9" w:rsidRPr="3AF3CBA2">
        <w:rPr>
          <w:rFonts w:ascii="Times New Roman" w:hAnsi="Times New Roman"/>
          <w:color w:val="000000" w:themeColor="text1"/>
        </w:rPr>
        <w:t xml:space="preserve"> </w:t>
      </w:r>
      <w:r w:rsidR="446AA111" w:rsidRPr="3AF3CBA2">
        <w:rPr>
          <w:rFonts w:ascii="Times New Roman" w:hAnsi="Times New Roman"/>
          <w:color w:val="000000" w:themeColor="text1"/>
        </w:rPr>
        <w:t xml:space="preserve">is </w:t>
      </w:r>
      <w:r w:rsidR="69911D55" w:rsidRPr="3AF3CBA2">
        <w:rPr>
          <w:rFonts w:ascii="Times New Roman" w:hAnsi="Times New Roman"/>
          <w:color w:val="000000" w:themeColor="text1"/>
        </w:rPr>
        <w:t xml:space="preserve">actively </w:t>
      </w:r>
      <w:r w:rsidR="53227C13" w:rsidRPr="3AF3CBA2">
        <w:rPr>
          <w:rFonts w:ascii="Times New Roman" w:hAnsi="Times New Roman"/>
          <w:color w:val="000000" w:themeColor="text1"/>
        </w:rPr>
        <w:t xml:space="preserve">monitoring </w:t>
      </w:r>
      <w:r w:rsidR="37A09F22" w:rsidRPr="3AF3CBA2">
        <w:rPr>
          <w:rFonts w:ascii="Times New Roman" w:hAnsi="Times New Roman"/>
          <w:color w:val="000000" w:themeColor="text1"/>
        </w:rPr>
        <w:t xml:space="preserve">the dynamics </w:t>
      </w:r>
      <w:r w:rsidR="6E69D4E1" w:rsidRPr="3AF3CBA2">
        <w:rPr>
          <w:rFonts w:ascii="Times New Roman" w:hAnsi="Times New Roman"/>
          <w:color w:val="000000" w:themeColor="text1"/>
        </w:rPr>
        <w:t>in EU banks asset quality</w:t>
      </w:r>
      <w:r w:rsidR="21990B39" w:rsidRPr="3AF3CBA2">
        <w:rPr>
          <w:rFonts w:ascii="Times New Roman" w:hAnsi="Times New Roman"/>
          <w:color w:val="000000" w:themeColor="text1"/>
        </w:rPr>
        <w:t xml:space="preserve"> and stands ready to </w:t>
      </w:r>
      <w:proofErr w:type="gramStart"/>
      <w:r w:rsidR="6F8017FE" w:rsidRPr="3AF3CBA2">
        <w:rPr>
          <w:rFonts w:ascii="Times New Roman" w:hAnsi="Times New Roman"/>
          <w:color w:val="000000" w:themeColor="text1"/>
        </w:rPr>
        <w:t>take action</w:t>
      </w:r>
      <w:proofErr w:type="gramEnd"/>
      <w:r w:rsidR="6F8017FE" w:rsidRPr="3AF3CBA2">
        <w:rPr>
          <w:rFonts w:ascii="Times New Roman" w:hAnsi="Times New Roman"/>
          <w:color w:val="000000" w:themeColor="text1"/>
        </w:rPr>
        <w:t xml:space="preserve"> if needed</w:t>
      </w:r>
      <w:r w:rsidR="687E9871" w:rsidRPr="3AF3CBA2">
        <w:rPr>
          <w:rFonts w:ascii="Times New Roman" w:hAnsi="Times New Roman"/>
          <w:color w:val="000000" w:themeColor="text1"/>
        </w:rPr>
        <w:t xml:space="preserve"> </w:t>
      </w:r>
      <w:r w:rsidRPr="3AF3CBA2">
        <w:rPr>
          <w:rFonts w:ascii="Times New Roman" w:hAnsi="Times New Roman"/>
          <w:color w:val="000000" w:themeColor="text1"/>
        </w:rPr>
        <w:t>(</w:t>
      </w:r>
      <w:r w:rsidRPr="3AF3CBA2">
        <w:rPr>
          <w:rFonts w:ascii="Times New Roman" w:hAnsi="Times New Roman"/>
          <w:i/>
          <w:iCs/>
          <w:color w:val="000000" w:themeColor="text1"/>
        </w:rPr>
        <w:t>paragraph</w:t>
      </w:r>
      <w:r w:rsidR="00F44815">
        <w:rPr>
          <w:rFonts w:ascii="Times New Roman" w:hAnsi="Times New Roman"/>
          <w:i/>
          <w:iCs/>
          <w:color w:val="000000" w:themeColor="text1"/>
        </w:rPr>
        <w:t>s</w:t>
      </w:r>
      <w:r w:rsidRPr="3AF3CBA2">
        <w:rPr>
          <w:rFonts w:ascii="Times New Roman" w:hAnsi="Times New Roman"/>
          <w:i/>
          <w:iCs/>
          <w:color w:val="000000" w:themeColor="text1"/>
        </w:rPr>
        <w:t xml:space="preserve"> </w:t>
      </w:r>
      <w:r w:rsidR="0BDA10A7" w:rsidRPr="3AF3CBA2">
        <w:rPr>
          <w:rFonts w:ascii="Times New Roman" w:hAnsi="Times New Roman"/>
          <w:i/>
          <w:iCs/>
          <w:color w:val="000000" w:themeColor="text1"/>
        </w:rPr>
        <w:t>19</w:t>
      </w:r>
      <w:r w:rsidR="00F44815">
        <w:rPr>
          <w:rFonts w:ascii="Times New Roman" w:hAnsi="Times New Roman"/>
          <w:i/>
          <w:iCs/>
          <w:color w:val="000000" w:themeColor="text1"/>
        </w:rPr>
        <w:t xml:space="preserve"> and</w:t>
      </w:r>
      <w:r w:rsidR="0BDA10A7" w:rsidRPr="3AF3CBA2">
        <w:rPr>
          <w:rFonts w:ascii="Times New Roman" w:hAnsi="Times New Roman"/>
          <w:i/>
          <w:iCs/>
          <w:color w:val="000000" w:themeColor="text1"/>
        </w:rPr>
        <w:t xml:space="preserve"> </w:t>
      </w:r>
      <w:r w:rsidRPr="3AF3CBA2">
        <w:rPr>
          <w:rFonts w:ascii="Times New Roman" w:hAnsi="Times New Roman"/>
          <w:i/>
          <w:iCs/>
          <w:color w:val="000000" w:themeColor="text1"/>
        </w:rPr>
        <w:t>20</w:t>
      </w:r>
      <w:r w:rsidRPr="3AF3CBA2">
        <w:rPr>
          <w:rFonts w:ascii="Times New Roman" w:hAnsi="Times New Roman"/>
          <w:color w:val="000000" w:themeColor="text1"/>
        </w:rPr>
        <w:t xml:space="preserve">). </w:t>
      </w:r>
    </w:p>
    <w:p w14:paraId="7E7D7627" w14:textId="671C77AA" w:rsidR="00FA728E" w:rsidRPr="008569C5" w:rsidRDefault="4839799D" w:rsidP="00886593">
      <w:pPr>
        <w:spacing w:after="120"/>
        <w:rPr>
          <w:rFonts w:ascii="Times New Roman" w:hAnsi="Times New Roman"/>
          <w:color w:val="000000" w:themeColor="text1"/>
        </w:rPr>
      </w:pPr>
      <w:r w:rsidRPr="008569C5">
        <w:rPr>
          <w:rFonts w:ascii="Times New Roman" w:hAnsi="Times New Roman"/>
          <w:color w:val="000000" w:themeColor="text1"/>
        </w:rPr>
        <w:t xml:space="preserve">The Commission </w:t>
      </w:r>
      <w:r w:rsidR="755F9FC9" w:rsidRPr="008569C5">
        <w:rPr>
          <w:rFonts w:ascii="Times New Roman" w:hAnsi="Times New Roman"/>
          <w:color w:val="000000" w:themeColor="text1"/>
        </w:rPr>
        <w:t xml:space="preserve">agrees with the Parliament that </w:t>
      </w:r>
      <w:r w:rsidRPr="008569C5">
        <w:rPr>
          <w:rFonts w:ascii="Times New Roman" w:hAnsi="Times New Roman"/>
          <w:color w:val="000000" w:themeColor="text1"/>
        </w:rPr>
        <w:t xml:space="preserve">the </w:t>
      </w:r>
      <w:r w:rsidR="755F9FC9" w:rsidRPr="008569C5">
        <w:rPr>
          <w:rFonts w:ascii="Times New Roman" w:hAnsi="Times New Roman"/>
          <w:color w:val="000000" w:themeColor="text1"/>
        </w:rPr>
        <w:t xml:space="preserve">banking crises events </w:t>
      </w:r>
      <w:r w:rsidR="2D7BD8CB" w:rsidRPr="008569C5">
        <w:rPr>
          <w:rFonts w:ascii="Times New Roman" w:hAnsi="Times New Roman"/>
          <w:color w:val="000000" w:themeColor="text1"/>
        </w:rPr>
        <w:t xml:space="preserve">which took place in third countries in </w:t>
      </w:r>
      <w:r w:rsidR="60F80E02" w:rsidRPr="008569C5">
        <w:rPr>
          <w:rFonts w:ascii="Times New Roman" w:hAnsi="Times New Roman"/>
          <w:color w:val="000000" w:themeColor="text1"/>
        </w:rPr>
        <w:t>the</w:t>
      </w:r>
      <w:r w:rsidR="2D7BD8CB" w:rsidRPr="008569C5">
        <w:rPr>
          <w:rFonts w:ascii="Times New Roman" w:hAnsi="Times New Roman"/>
          <w:color w:val="000000" w:themeColor="text1"/>
        </w:rPr>
        <w:t xml:space="preserve"> </w:t>
      </w:r>
      <w:r w:rsidR="755F9FC9" w:rsidRPr="008569C5">
        <w:rPr>
          <w:rFonts w:ascii="Times New Roman" w:hAnsi="Times New Roman"/>
          <w:color w:val="000000" w:themeColor="text1"/>
        </w:rPr>
        <w:t xml:space="preserve">Spring </w:t>
      </w:r>
      <w:r w:rsidR="0EE7EB2D" w:rsidRPr="008569C5">
        <w:rPr>
          <w:rFonts w:ascii="Times New Roman" w:hAnsi="Times New Roman"/>
          <w:color w:val="000000" w:themeColor="text1"/>
        </w:rPr>
        <w:t xml:space="preserve">of </w:t>
      </w:r>
      <w:r w:rsidR="755F9FC9" w:rsidRPr="008569C5">
        <w:rPr>
          <w:rFonts w:ascii="Times New Roman" w:hAnsi="Times New Roman"/>
          <w:color w:val="000000" w:themeColor="text1"/>
        </w:rPr>
        <w:t xml:space="preserve">2023 </w:t>
      </w:r>
      <w:r w:rsidR="2D7BD8CB" w:rsidRPr="008569C5">
        <w:rPr>
          <w:rFonts w:ascii="Times New Roman" w:hAnsi="Times New Roman"/>
          <w:color w:val="000000" w:themeColor="text1"/>
        </w:rPr>
        <w:t xml:space="preserve">have shown potential vulnerabilities </w:t>
      </w:r>
      <w:r w:rsidR="00952B6F">
        <w:rPr>
          <w:rFonts w:ascii="Times New Roman" w:hAnsi="Times New Roman"/>
          <w:color w:val="000000" w:themeColor="text1"/>
        </w:rPr>
        <w:t>in</w:t>
      </w:r>
      <w:r w:rsidR="2D7BD8CB" w:rsidRPr="008569C5">
        <w:rPr>
          <w:rFonts w:ascii="Times New Roman" w:hAnsi="Times New Roman"/>
          <w:color w:val="000000" w:themeColor="text1"/>
        </w:rPr>
        <w:t xml:space="preserve"> the financial system. </w:t>
      </w:r>
      <w:r w:rsidR="59626270" w:rsidRPr="008569C5">
        <w:rPr>
          <w:rFonts w:ascii="Times New Roman" w:hAnsi="Times New Roman"/>
          <w:color w:val="000000" w:themeColor="text1"/>
        </w:rPr>
        <w:t>W</w:t>
      </w:r>
      <w:r w:rsidR="249CFBFB" w:rsidRPr="008569C5">
        <w:rPr>
          <w:rFonts w:ascii="Times New Roman" w:hAnsi="Times New Roman"/>
          <w:color w:val="000000" w:themeColor="text1"/>
        </w:rPr>
        <w:t>hile the Commission believe</w:t>
      </w:r>
      <w:r w:rsidR="7B323662" w:rsidRPr="008569C5">
        <w:rPr>
          <w:rFonts w:ascii="Times New Roman" w:hAnsi="Times New Roman"/>
          <w:color w:val="000000" w:themeColor="text1"/>
        </w:rPr>
        <w:t>s</w:t>
      </w:r>
      <w:r w:rsidR="249CFBFB" w:rsidRPr="008569C5">
        <w:rPr>
          <w:rFonts w:ascii="Times New Roman" w:hAnsi="Times New Roman"/>
          <w:color w:val="000000" w:themeColor="text1"/>
        </w:rPr>
        <w:t xml:space="preserve"> that European banks and European bank supervisors need to remain vigilant, it is </w:t>
      </w:r>
      <w:r w:rsidR="3584C13B" w:rsidRPr="008569C5">
        <w:rPr>
          <w:rFonts w:ascii="Times New Roman" w:hAnsi="Times New Roman"/>
          <w:color w:val="000000" w:themeColor="text1"/>
        </w:rPr>
        <w:t>worth recalling, as the Parliament rightly does, that the EU banking sector remained solid in 2023</w:t>
      </w:r>
      <w:r w:rsidR="1668FFDA" w:rsidRPr="008569C5">
        <w:rPr>
          <w:rFonts w:ascii="Times New Roman" w:hAnsi="Times New Roman"/>
          <w:color w:val="000000" w:themeColor="text1"/>
        </w:rPr>
        <w:t xml:space="preserve">. This is demonstrated by the results of the </w:t>
      </w:r>
      <w:r w:rsidR="00F44815" w:rsidRPr="00F44815">
        <w:rPr>
          <w:rFonts w:ascii="Times New Roman" w:hAnsi="Times New Roman"/>
          <w:color w:val="000000" w:themeColor="text1"/>
        </w:rPr>
        <w:t>European Banking Authority</w:t>
      </w:r>
      <w:r w:rsidR="00F44815">
        <w:rPr>
          <w:rFonts w:ascii="Times New Roman" w:hAnsi="Times New Roman"/>
          <w:color w:val="000000" w:themeColor="text1"/>
        </w:rPr>
        <w:t xml:space="preserve"> (</w:t>
      </w:r>
      <w:r w:rsidR="1668FFDA" w:rsidRPr="008569C5">
        <w:rPr>
          <w:rFonts w:ascii="Times New Roman" w:hAnsi="Times New Roman"/>
          <w:color w:val="000000" w:themeColor="text1"/>
        </w:rPr>
        <w:t>EBA</w:t>
      </w:r>
      <w:r w:rsidR="00F44815">
        <w:rPr>
          <w:rFonts w:ascii="Times New Roman" w:hAnsi="Times New Roman"/>
          <w:color w:val="000000" w:themeColor="text1"/>
        </w:rPr>
        <w:t>)</w:t>
      </w:r>
      <w:r w:rsidR="1668FFDA" w:rsidRPr="008569C5">
        <w:rPr>
          <w:rFonts w:ascii="Times New Roman" w:hAnsi="Times New Roman"/>
          <w:color w:val="000000" w:themeColor="text1"/>
        </w:rPr>
        <w:t xml:space="preserve"> and ECB joint stress test exercises, but also by the capital and </w:t>
      </w:r>
      <w:r w:rsidR="1668FFDA" w:rsidRPr="008569C5">
        <w:rPr>
          <w:rFonts w:ascii="Times New Roman" w:hAnsi="Times New Roman"/>
          <w:color w:val="000000" w:themeColor="text1"/>
        </w:rPr>
        <w:lastRenderedPageBreak/>
        <w:t xml:space="preserve">liquidity position of </w:t>
      </w:r>
      <w:r w:rsidR="36FAA71F" w:rsidRPr="612AAFB9">
        <w:rPr>
          <w:rFonts w:ascii="Times New Roman" w:hAnsi="Times New Roman"/>
          <w:color w:val="000000" w:themeColor="text1"/>
        </w:rPr>
        <w:t xml:space="preserve">European </w:t>
      </w:r>
      <w:r w:rsidR="1668FFDA" w:rsidRPr="008569C5">
        <w:rPr>
          <w:rFonts w:ascii="Times New Roman" w:hAnsi="Times New Roman"/>
          <w:color w:val="000000" w:themeColor="text1"/>
        </w:rPr>
        <w:t xml:space="preserve">banks </w:t>
      </w:r>
      <w:r w:rsidR="2D0CCCA3" w:rsidRPr="008569C5">
        <w:rPr>
          <w:rFonts w:ascii="Times New Roman" w:hAnsi="Times New Roman"/>
          <w:color w:val="000000" w:themeColor="text1"/>
        </w:rPr>
        <w:t>as reported in the latest EBA risk dashboard</w:t>
      </w:r>
      <w:r w:rsidR="009603D6" w:rsidRPr="008569C5">
        <w:rPr>
          <w:rStyle w:val="FootnoteReference"/>
          <w:rFonts w:ascii="Times New Roman" w:hAnsi="Times New Roman"/>
          <w:color w:val="000000" w:themeColor="text1"/>
        </w:rPr>
        <w:footnoteReference w:id="2"/>
      </w:r>
      <w:r w:rsidR="2D0CCCA3" w:rsidRPr="008569C5">
        <w:rPr>
          <w:rFonts w:ascii="Times New Roman" w:hAnsi="Times New Roman"/>
          <w:color w:val="000000" w:themeColor="text1"/>
        </w:rPr>
        <w:t xml:space="preserve"> </w:t>
      </w:r>
      <w:r w:rsidR="1668FFDA" w:rsidRPr="008569C5">
        <w:rPr>
          <w:rFonts w:ascii="Times New Roman" w:hAnsi="Times New Roman"/>
          <w:color w:val="000000" w:themeColor="text1"/>
        </w:rPr>
        <w:t>(</w:t>
      </w:r>
      <w:r w:rsidR="024B494C" w:rsidRPr="3AF3CBA2">
        <w:rPr>
          <w:rFonts w:ascii="Times New Roman" w:hAnsi="Times New Roman"/>
          <w:i/>
          <w:iCs/>
          <w:color w:val="000000" w:themeColor="text1"/>
        </w:rPr>
        <w:t>p</w:t>
      </w:r>
      <w:r w:rsidR="1668FFDA" w:rsidRPr="3AF3CBA2">
        <w:rPr>
          <w:rFonts w:ascii="Times New Roman" w:hAnsi="Times New Roman"/>
          <w:i/>
          <w:iCs/>
          <w:color w:val="000000" w:themeColor="text1"/>
        </w:rPr>
        <w:t>aragraph 21)</w:t>
      </w:r>
      <w:r w:rsidR="1668FFDA" w:rsidRPr="008569C5">
        <w:rPr>
          <w:rFonts w:ascii="Times New Roman" w:hAnsi="Times New Roman"/>
          <w:color w:val="000000" w:themeColor="text1"/>
        </w:rPr>
        <w:t>.</w:t>
      </w:r>
    </w:p>
    <w:p w14:paraId="142065F3" w14:textId="31D3A7B6" w:rsidR="257E1D24" w:rsidRPr="008569C5" w:rsidRDefault="2AB96EB8" w:rsidP="2A00E265">
      <w:pPr>
        <w:spacing w:after="120"/>
        <w:rPr>
          <w:rFonts w:ascii="Times New Roman" w:hAnsi="Times New Roman"/>
          <w:color w:val="000000" w:themeColor="text1"/>
        </w:rPr>
      </w:pPr>
      <w:r w:rsidRPr="3AF3CBA2">
        <w:rPr>
          <w:rFonts w:ascii="Times New Roman" w:hAnsi="Times New Roman"/>
          <w:color w:val="000000" w:themeColor="text1"/>
        </w:rPr>
        <w:t xml:space="preserve">The Commission </w:t>
      </w:r>
      <w:r w:rsidR="7FF31408" w:rsidRPr="3AF3CBA2">
        <w:rPr>
          <w:rFonts w:ascii="Times New Roman" w:hAnsi="Times New Roman"/>
          <w:color w:val="000000" w:themeColor="text1"/>
        </w:rPr>
        <w:t>ha</w:t>
      </w:r>
      <w:r w:rsidR="5D0AA31D" w:rsidRPr="3AF3CBA2">
        <w:rPr>
          <w:rFonts w:ascii="Times New Roman" w:hAnsi="Times New Roman"/>
          <w:color w:val="000000" w:themeColor="text1"/>
        </w:rPr>
        <w:t xml:space="preserve">s </w:t>
      </w:r>
      <w:r w:rsidR="7FF31408" w:rsidRPr="3AF3CBA2">
        <w:rPr>
          <w:rFonts w:ascii="Times New Roman" w:hAnsi="Times New Roman"/>
          <w:color w:val="000000" w:themeColor="text1"/>
        </w:rPr>
        <w:t xml:space="preserve">supported and continues to </w:t>
      </w:r>
      <w:r w:rsidRPr="3AF3CBA2">
        <w:rPr>
          <w:rFonts w:ascii="Times New Roman" w:hAnsi="Times New Roman"/>
          <w:color w:val="000000" w:themeColor="text1"/>
        </w:rPr>
        <w:t>support</w:t>
      </w:r>
      <w:r w:rsidR="28A14D0B" w:rsidRPr="3AF3CBA2">
        <w:rPr>
          <w:rFonts w:ascii="Times New Roman" w:hAnsi="Times New Roman"/>
          <w:color w:val="000000" w:themeColor="text1"/>
        </w:rPr>
        <w:t xml:space="preserve"> ac</w:t>
      </w:r>
      <w:r w:rsidRPr="3AF3CBA2">
        <w:rPr>
          <w:rFonts w:ascii="Times New Roman" w:hAnsi="Times New Roman"/>
          <w:color w:val="000000" w:themeColor="text1"/>
        </w:rPr>
        <w:t>tions taken by macroprudential authorities in the EU to strengthen banks</w:t>
      </w:r>
      <w:r w:rsidR="6CA60EF1" w:rsidRPr="3AF3CBA2">
        <w:rPr>
          <w:rFonts w:ascii="Times New Roman" w:hAnsi="Times New Roman"/>
          <w:color w:val="000000" w:themeColor="text1"/>
        </w:rPr>
        <w:t>’</w:t>
      </w:r>
      <w:r w:rsidRPr="3AF3CBA2">
        <w:rPr>
          <w:rFonts w:ascii="Times New Roman" w:hAnsi="Times New Roman"/>
          <w:color w:val="000000" w:themeColor="text1"/>
        </w:rPr>
        <w:t xml:space="preserve"> resilience </w:t>
      </w:r>
      <w:r w:rsidR="023D0DA7" w:rsidRPr="3AF3CBA2">
        <w:rPr>
          <w:rFonts w:ascii="Times New Roman" w:hAnsi="Times New Roman"/>
          <w:color w:val="000000" w:themeColor="text1"/>
        </w:rPr>
        <w:t>through capital and risk weight measures</w:t>
      </w:r>
      <w:r w:rsidR="06E3ED15" w:rsidRPr="3AF3CBA2">
        <w:rPr>
          <w:rFonts w:ascii="Times New Roman" w:hAnsi="Times New Roman"/>
          <w:color w:val="000000" w:themeColor="text1"/>
        </w:rPr>
        <w:t xml:space="preserve">. </w:t>
      </w:r>
      <w:r w:rsidR="478B1B18" w:rsidRPr="3AF3CBA2">
        <w:rPr>
          <w:rFonts w:ascii="Times New Roman" w:hAnsi="Times New Roman"/>
          <w:color w:val="000000" w:themeColor="text1"/>
        </w:rPr>
        <w:t>In addition, t</w:t>
      </w:r>
      <w:r w:rsidR="044899CF" w:rsidRPr="3AF3CBA2">
        <w:rPr>
          <w:rFonts w:ascii="Times New Roman" w:hAnsi="Times New Roman"/>
          <w:color w:val="000000" w:themeColor="text1"/>
        </w:rPr>
        <w:t>he so-called borrower-based measures</w:t>
      </w:r>
      <w:r w:rsidR="1BD225AD" w:rsidRPr="3AF3CBA2">
        <w:rPr>
          <w:rFonts w:ascii="Times New Roman" w:hAnsi="Times New Roman"/>
          <w:color w:val="000000" w:themeColor="text1"/>
        </w:rPr>
        <w:t>,</w:t>
      </w:r>
      <w:r w:rsidR="044899CF" w:rsidRPr="3AF3CBA2">
        <w:rPr>
          <w:rFonts w:ascii="Times New Roman" w:hAnsi="Times New Roman"/>
          <w:color w:val="000000" w:themeColor="text1"/>
        </w:rPr>
        <w:t xml:space="preserve"> which set limits to bank lending stand</w:t>
      </w:r>
      <w:r w:rsidR="66374B77" w:rsidRPr="3AF3CBA2">
        <w:rPr>
          <w:rFonts w:ascii="Times New Roman" w:hAnsi="Times New Roman"/>
          <w:color w:val="000000" w:themeColor="text1"/>
        </w:rPr>
        <w:t>ards</w:t>
      </w:r>
      <w:r w:rsidR="22EED63F" w:rsidRPr="3AF3CBA2">
        <w:rPr>
          <w:rFonts w:ascii="Times New Roman" w:hAnsi="Times New Roman"/>
          <w:color w:val="000000" w:themeColor="text1"/>
        </w:rPr>
        <w:t xml:space="preserve">, are not </w:t>
      </w:r>
      <w:r w:rsidR="044899CF" w:rsidRPr="3AF3CBA2">
        <w:rPr>
          <w:rFonts w:ascii="Times New Roman" w:hAnsi="Times New Roman"/>
          <w:color w:val="000000" w:themeColor="text1"/>
        </w:rPr>
        <w:t>part of the EU legal framework</w:t>
      </w:r>
      <w:r w:rsidR="08532C3B" w:rsidRPr="3AF3CBA2">
        <w:rPr>
          <w:rFonts w:ascii="Times New Roman" w:hAnsi="Times New Roman"/>
          <w:color w:val="000000" w:themeColor="text1"/>
        </w:rPr>
        <w:t xml:space="preserve">. Nevertheless, </w:t>
      </w:r>
      <w:r w:rsidR="044899CF" w:rsidRPr="3AF3CBA2">
        <w:rPr>
          <w:rFonts w:ascii="Times New Roman" w:hAnsi="Times New Roman"/>
          <w:color w:val="000000" w:themeColor="text1"/>
        </w:rPr>
        <w:t xml:space="preserve">the Commission </w:t>
      </w:r>
      <w:r w:rsidR="5E8CFBEB" w:rsidRPr="3AF3CBA2">
        <w:rPr>
          <w:rFonts w:ascii="Times New Roman" w:hAnsi="Times New Roman"/>
          <w:color w:val="000000" w:themeColor="text1"/>
        </w:rPr>
        <w:t>supports</w:t>
      </w:r>
      <w:r w:rsidR="044899CF" w:rsidRPr="3AF3CBA2">
        <w:rPr>
          <w:rFonts w:ascii="Times New Roman" w:hAnsi="Times New Roman"/>
          <w:color w:val="000000" w:themeColor="text1"/>
        </w:rPr>
        <w:t xml:space="preserve"> national action </w:t>
      </w:r>
      <w:r w:rsidR="369AB4ED" w:rsidRPr="3AF3CBA2">
        <w:rPr>
          <w:rFonts w:ascii="Times New Roman" w:hAnsi="Times New Roman"/>
          <w:color w:val="000000" w:themeColor="text1"/>
        </w:rPr>
        <w:t xml:space="preserve">also in this area </w:t>
      </w:r>
      <w:r w:rsidR="044899CF" w:rsidRPr="3AF3CBA2">
        <w:rPr>
          <w:rFonts w:ascii="Times New Roman" w:hAnsi="Times New Roman"/>
          <w:color w:val="000000" w:themeColor="text1"/>
        </w:rPr>
        <w:t>where appropriate</w:t>
      </w:r>
      <w:r w:rsidR="0326208E" w:rsidRPr="3AF3CBA2">
        <w:rPr>
          <w:rFonts w:ascii="Times New Roman" w:hAnsi="Times New Roman"/>
          <w:color w:val="000000" w:themeColor="text1"/>
        </w:rPr>
        <w:t xml:space="preserve"> </w:t>
      </w:r>
      <w:r w:rsidR="0326208E" w:rsidRPr="00854448">
        <w:rPr>
          <w:rFonts w:ascii="Times New Roman" w:hAnsi="Times New Roman"/>
          <w:i/>
          <w:iCs/>
          <w:color w:val="000000" w:themeColor="text1"/>
        </w:rPr>
        <w:t>(paragraph</w:t>
      </w:r>
      <w:r w:rsidR="00F44815">
        <w:rPr>
          <w:rFonts w:ascii="Times New Roman" w:hAnsi="Times New Roman"/>
          <w:i/>
          <w:iCs/>
          <w:color w:val="000000" w:themeColor="text1"/>
        </w:rPr>
        <w:t>s</w:t>
      </w:r>
      <w:r w:rsidR="0326208E" w:rsidRPr="00854448">
        <w:rPr>
          <w:rFonts w:ascii="Times New Roman" w:hAnsi="Times New Roman"/>
          <w:i/>
          <w:iCs/>
          <w:color w:val="000000" w:themeColor="text1"/>
        </w:rPr>
        <w:t xml:space="preserve"> </w:t>
      </w:r>
      <w:r w:rsidR="212E69B9" w:rsidRPr="00854448">
        <w:rPr>
          <w:rFonts w:ascii="Times New Roman" w:hAnsi="Times New Roman"/>
          <w:i/>
          <w:iCs/>
          <w:color w:val="000000" w:themeColor="text1"/>
        </w:rPr>
        <w:t>7</w:t>
      </w:r>
      <w:r w:rsidR="00F44815">
        <w:rPr>
          <w:rFonts w:ascii="Times New Roman" w:hAnsi="Times New Roman"/>
          <w:i/>
          <w:iCs/>
          <w:color w:val="000000" w:themeColor="text1"/>
        </w:rPr>
        <w:t xml:space="preserve"> and</w:t>
      </w:r>
      <w:r w:rsidR="212E69B9" w:rsidRPr="00854448">
        <w:rPr>
          <w:rFonts w:ascii="Times New Roman" w:hAnsi="Times New Roman"/>
          <w:i/>
          <w:iCs/>
          <w:color w:val="000000" w:themeColor="text1"/>
        </w:rPr>
        <w:t xml:space="preserve"> </w:t>
      </w:r>
      <w:r w:rsidR="0326208E" w:rsidRPr="00854448">
        <w:rPr>
          <w:rFonts w:ascii="Times New Roman" w:hAnsi="Times New Roman"/>
          <w:i/>
          <w:iCs/>
          <w:color w:val="000000" w:themeColor="text1"/>
        </w:rPr>
        <w:t>23).</w:t>
      </w:r>
    </w:p>
    <w:p w14:paraId="3C4F972C" w14:textId="0D8E12FB" w:rsidR="000F307E" w:rsidRPr="008569C5" w:rsidRDefault="4EF809AF" w:rsidP="71F89208">
      <w:pPr>
        <w:spacing w:after="120"/>
        <w:rPr>
          <w:rFonts w:ascii="Times New Roman" w:hAnsi="Times New Roman"/>
          <w:color w:val="000000" w:themeColor="text1"/>
        </w:rPr>
      </w:pPr>
      <w:proofErr w:type="gramStart"/>
      <w:r w:rsidRPr="3AF3CBA2">
        <w:rPr>
          <w:rFonts w:ascii="Times New Roman" w:hAnsi="Times New Roman"/>
          <w:color w:val="000000" w:themeColor="text1"/>
        </w:rPr>
        <w:t>With regard to</w:t>
      </w:r>
      <w:proofErr w:type="gramEnd"/>
      <w:r w:rsidRPr="3AF3CBA2">
        <w:rPr>
          <w:rFonts w:ascii="Times New Roman" w:hAnsi="Times New Roman"/>
          <w:color w:val="000000" w:themeColor="text1"/>
        </w:rPr>
        <w:t xml:space="preserve"> the Parliam</w:t>
      </w:r>
      <w:r w:rsidR="5FEA0696" w:rsidRPr="3AF3CBA2">
        <w:rPr>
          <w:rFonts w:ascii="Times New Roman" w:hAnsi="Times New Roman"/>
          <w:color w:val="000000" w:themeColor="text1"/>
        </w:rPr>
        <w:t>ent</w:t>
      </w:r>
      <w:r w:rsidR="3420DA4E" w:rsidRPr="3AF3CBA2">
        <w:rPr>
          <w:rFonts w:ascii="Times New Roman" w:hAnsi="Times New Roman"/>
          <w:color w:val="000000" w:themeColor="text1"/>
        </w:rPr>
        <w:t>’s</w:t>
      </w:r>
      <w:r w:rsidR="5FEA0696" w:rsidRPr="3AF3CBA2">
        <w:rPr>
          <w:rFonts w:ascii="Times New Roman" w:hAnsi="Times New Roman"/>
          <w:color w:val="000000" w:themeColor="text1"/>
        </w:rPr>
        <w:t xml:space="preserve"> </w:t>
      </w:r>
      <w:r w:rsidR="1639B6CC" w:rsidRPr="3AF3CBA2">
        <w:rPr>
          <w:rFonts w:ascii="Times New Roman" w:hAnsi="Times New Roman"/>
          <w:color w:val="000000" w:themeColor="text1"/>
        </w:rPr>
        <w:t xml:space="preserve">call on bank supervisors </w:t>
      </w:r>
      <w:r w:rsidR="1A8BDCE9" w:rsidRPr="3AF3CBA2">
        <w:rPr>
          <w:rFonts w:ascii="Times New Roman" w:hAnsi="Times New Roman"/>
          <w:color w:val="000000" w:themeColor="text1"/>
        </w:rPr>
        <w:t xml:space="preserve">to monitor </w:t>
      </w:r>
      <w:r w:rsidR="41332D9C" w:rsidRPr="3AF3CBA2">
        <w:rPr>
          <w:rFonts w:ascii="Times New Roman" w:hAnsi="Times New Roman"/>
          <w:color w:val="000000" w:themeColor="text1"/>
        </w:rPr>
        <w:t xml:space="preserve">banks’ exposures to </w:t>
      </w:r>
      <w:r w:rsidR="1A8BDCE9" w:rsidRPr="3AF3CBA2">
        <w:rPr>
          <w:rFonts w:ascii="Times New Roman" w:hAnsi="Times New Roman"/>
          <w:color w:val="000000" w:themeColor="text1"/>
        </w:rPr>
        <w:t>interest rate risks, t</w:t>
      </w:r>
      <w:r w:rsidR="27AEACF9" w:rsidRPr="3AF3CBA2">
        <w:rPr>
          <w:rFonts w:ascii="Times New Roman" w:hAnsi="Times New Roman"/>
          <w:color w:val="000000" w:themeColor="text1"/>
        </w:rPr>
        <w:t xml:space="preserve">he Commission </w:t>
      </w:r>
      <w:r w:rsidR="63D11BE8" w:rsidRPr="3AF3CBA2">
        <w:rPr>
          <w:rFonts w:ascii="Times New Roman" w:hAnsi="Times New Roman"/>
          <w:color w:val="000000" w:themeColor="text1"/>
        </w:rPr>
        <w:t>notes that the Banking Union supervisor, the ECB-SSM</w:t>
      </w:r>
      <w:r w:rsidR="00F44815">
        <w:rPr>
          <w:rFonts w:ascii="Times New Roman" w:hAnsi="Times New Roman"/>
          <w:color w:val="000000" w:themeColor="text1"/>
        </w:rPr>
        <w:t xml:space="preserve"> (</w:t>
      </w:r>
      <w:r w:rsidR="00F44815" w:rsidRPr="00F44815">
        <w:rPr>
          <w:rFonts w:ascii="Times New Roman" w:hAnsi="Times New Roman"/>
          <w:color w:val="000000" w:themeColor="text1"/>
        </w:rPr>
        <w:t>Single Supervisory Mechanism</w:t>
      </w:r>
      <w:r w:rsidR="00F44815">
        <w:rPr>
          <w:rFonts w:ascii="Times New Roman" w:hAnsi="Times New Roman"/>
          <w:color w:val="000000" w:themeColor="text1"/>
        </w:rPr>
        <w:t>)</w:t>
      </w:r>
      <w:r w:rsidR="63D11BE8" w:rsidRPr="3AF3CBA2">
        <w:rPr>
          <w:rFonts w:ascii="Times New Roman" w:hAnsi="Times New Roman"/>
          <w:color w:val="000000" w:themeColor="text1"/>
        </w:rPr>
        <w:t xml:space="preserve">, </w:t>
      </w:r>
      <w:r w:rsidR="250125D1" w:rsidRPr="3AF3CBA2">
        <w:rPr>
          <w:rFonts w:ascii="Times New Roman" w:hAnsi="Times New Roman"/>
          <w:color w:val="000000" w:themeColor="text1"/>
        </w:rPr>
        <w:t xml:space="preserve">included in its supervisory priorities for 2024-2026 </w:t>
      </w:r>
      <w:r w:rsidR="4F90DF64" w:rsidRPr="3AF3CBA2">
        <w:rPr>
          <w:rFonts w:ascii="Times New Roman" w:hAnsi="Times New Roman"/>
          <w:color w:val="000000" w:themeColor="text1"/>
        </w:rPr>
        <w:t>a</w:t>
      </w:r>
      <w:r w:rsidR="2CA72DA3" w:rsidRPr="3AF3CBA2">
        <w:rPr>
          <w:rFonts w:ascii="Times New Roman" w:hAnsi="Times New Roman"/>
          <w:color w:val="000000" w:themeColor="text1"/>
        </w:rPr>
        <w:t xml:space="preserve"> </w:t>
      </w:r>
      <w:r w:rsidR="4F90DF64" w:rsidRPr="3AF3CBA2">
        <w:rPr>
          <w:rFonts w:ascii="Times New Roman" w:hAnsi="Times New Roman"/>
          <w:color w:val="000000" w:themeColor="text1"/>
        </w:rPr>
        <w:t xml:space="preserve">specific </w:t>
      </w:r>
      <w:r w:rsidR="2CA72DA3" w:rsidRPr="3AF3CBA2">
        <w:rPr>
          <w:rFonts w:ascii="Times New Roman" w:hAnsi="Times New Roman"/>
          <w:color w:val="000000" w:themeColor="text1"/>
        </w:rPr>
        <w:t xml:space="preserve">focus on how banks manage </w:t>
      </w:r>
      <w:r w:rsidR="795195D3" w:rsidRPr="3AF3CBA2">
        <w:rPr>
          <w:rFonts w:ascii="Times New Roman" w:hAnsi="Times New Roman"/>
          <w:color w:val="000000" w:themeColor="text1"/>
        </w:rPr>
        <w:t>such risks</w:t>
      </w:r>
      <w:r w:rsidR="2CA72DA3" w:rsidRPr="3AF3CBA2">
        <w:rPr>
          <w:rFonts w:ascii="Times New Roman" w:hAnsi="Times New Roman"/>
          <w:color w:val="000000" w:themeColor="text1"/>
        </w:rPr>
        <w:t xml:space="preserve">. </w:t>
      </w:r>
      <w:r w:rsidR="21F51FB6" w:rsidRPr="3AF3CBA2">
        <w:rPr>
          <w:rFonts w:ascii="Times New Roman" w:hAnsi="Times New Roman"/>
          <w:color w:val="000000" w:themeColor="text1"/>
        </w:rPr>
        <w:t>In addition, the EBA is in the process of finalising technical standards on th</w:t>
      </w:r>
      <w:r w:rsidR="00952B6F">
        <w:rPr>
          <w:rFonts w:ascii="Times New Roman" w:hAnsi="Times New Roman"/>
          <w:color w:val="000000" w:themeColor="text1"/>
        </w:rPr>
        <w:t>e</w:t>
      </w:r>
      <w:r w:rsidR="41332D9C" w:rsidRPr="3AF3CBA2">
        <w:rPr>
          <w:rFonts w:ascii="Times New Roman" w:hAnsi="Times New Roman"/>
          <w:color w:val="000000" w:themeColor="text1"/>
        </w:rPr>
        <w:t xml:space="preserve"> </w:t>
      </w:r>
      <w:r w:rsidR="00952B6F">
        <w:rPr>
          <w:rFonts w:ascii="Times New Roman" w:hAnsi="Times New Roman"/>
          <w:color w:val="000000" w:themeColor="text1"/>
        </w:rPr>
        <w:t>issue</w:t>
      </w:r>
      <w:r w:rsidR="21F51FB6" w:rsidRPr="3AF3CBA2">
        <w:rPr>
          <w:rFonts w:ascii="Times New Roman" w:hAnsi="Times New Roman"/>
          <w:color w:val="000000" w:themeColor="text1"/>
        </w:rPr>
        <w:t xml:space="preserve">. </w:t>
      </w:r>
      <w:r w:rsidR="623E5685" w:rsidRPr="3AF3CBA2">
        <w:rPr>
          <w:rFonts w:ascii="Times New Roman" w:hAnsi="Times New Roman"/>
          <w:color w:val="000000" w:themeColor="text1"/>
        </w:rPr>
        <w:t xml:space="preserve">In line with the </w:t>
      </w:r>
      <w:r w:rsidR="271D73D7" w:rsidRPr="3AF3CBA2">
        <w:rPr>
          <w:rFonts w:ascii="Times New Roman" w:hAnsi="Times New Roman"/>
          <w:color w:val="000000" w:themeColor="text1"/>
        </w:rPr>
        <w:t>Parliament’s</w:t>
      </w:r>
      <w:r w:rsidR="623E5685" w:rsidRPr="3AF3CBA2">
        <w:rPr>
          <w:rFonts w:ascii="Times New Roman" w:hAnsi="Times New Roman"/>
          <w:color w:val="000000" w:themeColor="text1"/>
        </w:rPr>
        <w:t xml:space="preserve"> suggestions, all t</w:t>
      </w:r>
      <w:r w:rsidR="2324CD4D" w:rsidRPr="3AF3CBA2">
        <w:rPr>
          <w:rFonts w:ascii="Times New Roman" w:hAnsi="Times New Roman"/>
          <w:color w:val="000000" w:themeColor="text1"/>
        </w:rPr>
        <w:t>hese e</w:t>
      </w:r>
      <w:r w:rsidR="623E5685" w:rsidRPr="3AF3CBA2">
        <w:rPr>
          <w:rFonts w:ascii="Times New Roman" w:hAnsi="Times New Roman"/>
          <w:color w:val="000000" w:themeColor="text1"/>
        </w:rPr>
        <w:t>lements are going to feed</w:t>
      </w:r>
      <w:r w:rsidR="00952B6F">
        <w:rPr>
          <w:rFonts w:ascii="Times New Roman" w:hAnsi="Times New Roman"/>
          <w:color w:val="000000" w:themeColor="text1"/>
        </w:rPr>
        <w:t xml:space="preserve"> into</w:t>
      </w:r>
      <w:r w:rsidR="623E5685" w:rsidRPr="3AF3CBA2">
        <w:rPr>
          <w:rFonts w:ascii="Times New Roman" w:hAnsi="Times New Roman"/>
          <w:color w:val="000000" w:themeColor="text1"/>
        </w:rPr>
        <w:t xml:space="preserve"> the</w:t>
      </w:r>
      <w:r w:rsidR="27AEACF9" w:rsidRPr="3AF3CBA2">
        <w:rPr>
          <w:rFonts w:ascii="Times New Roman" w:hAnsi="Times New Roman"/>
          <w:color w:val="000000" w:themeColor="text1"/>
        </w:rPr>
        <w:t xml:space="preserve"> Commission’s assessment of the regulatory framework for banks</w:t>
      </w:r>
      <w:r w:rsidR="00E834C3">
        <w:rPr>
          <w:rFonts w:ascii="Times New Roman" w:hAnsi="Times New Roman"/>
          <w:color w:val="000000" w:themeColor="text1"/>
        </w:rPr>
        <w:t xml:space="preserve"> pertaining to credit risk exposures</w:t>
      </w:r>
      <w:r w:rsidR="024B494C" w:rsidRPr="3AF3CBA2">
        <w:rPr>
          <w:rFonts w:ascii="Times New Roman" w:hAnsi="Times New Roman"/>
          <w:color w:val="000000" w:themeColor="text1"/>
        </w:rPr>
        <w:t xml:space="preserve"> (</w:t>
      </w:r>
      <w:r w:rsidR="024B494C" w:rsidRPr="3AF3CBA2">
        <w:rPr>
          <w:rFonts w:ascii="Times New Roman" w:hAnsi="Times New Roman"/>
          <w:i/>
          <w:iCs/>
          <w:color w:val="000000" w:themeColor="text1"/>
        </w:rPr>
        <w:t>paragraphs 22 and 23</w:t>
      </w:r>
      <w:r w:rsidR="024B494C" w:rsidRPr="3AF3CBA2">
        <w:rPr>
          <w:rFonts w:ascii="Times New Roman" w:hAnsi="Times New Roman"/>
          <w:color w:val="000000" w:themeColor="text1"/>
        </w:rPr>
        <w:t>).</w:t>
      </w:r>
    </w:p>
    <w:p w14:paraId="7A36E0F2" w14:textId="25325C9D" w:rsidR="00EA27C4" w:rsidRPr="008569C5" w:rsidRDefault="75FDD2DE" w:rsidP="00E125EF">
      <w:pPr>
        <w:spacing w:after="120"/>
        <w:rPr>
          <w:rFonts w:ascii="Times New Roman" w:hAnsi="Times New Roman"/>
          <w:color w:val="000000" w:themeColor="text1"/>
        </w:rPr>
      </w:pPr>
      <w:r w:rsidRPr="634D014F">
        <w:rPr>
          <w:rFonts w:ascii="Times New Roman" w:hAnsi="Times New Roman"/>
          <w:color w:val="000000" w:themeColor="text1"/>
        </w:rPr>
        <w:t xml:space="preserve">The Commission thanks the Parliament for </w:t>
      </w:r>
      <w:r w:rsidR="7137ABDB" w:rsidRPr="634D014F">
        <w:rPr>
          <w:rFonts w:ascii="Times New Roman" w:hAnsi="Times New Roman"/>
          <w:color w:val="000000" w:themeColor="text1"/>
        </w:rPr>
        <w:t xml:space="preserve">its </w:t>
      </w:r>
      <w:r w:rsidR="41332D9C" w:rsidRPr="634D014F">
        <w:rPr>
          <w:rFonts w:ascii="Times New Roman" w:hAnsi="Times New Roman"/>
          <w:color w:val="000000" w:themeColor="text1"/>
        </w:rPr>
        <w:t>efforts</w:t>
      </w:r>
      <w:r w:rsidR="1895241E" w:rsidRPr="634D014F">
        <w:rPr>
          <w:rFonts w:ascii="Times New Roman" w:hAnsi="Times New Roman"/>
          <w:color w:val="000000" w:themeColor="text1"/>
        </w:rPr>
        <w:t xml:space="preserve"> to make sure that the final Basel III reforms are implemented into Union law</w:t>
      </w:r>
      <w:r w:rsidR="00952B6F">
        <w:rPr>
          <w:rFonts w:ascii="Times New Roman" w:hAnsi="Times New Roman"/>
          <w:color w:val="000000" w:themeColor="text1"/>
        </w:rPr>
        <w:t xml:space="preserve"> in a</w:t>
      </w:r>
      <w:r w:rsidR="00952B6F" w:rsidRPr="634D014F">
        <w:rPr>
          <w:rFonts w:ascii="Times New Roman" w:hAnsi="Times New Roman"/>
          <w:color w:val="000000" w:themeColor="text1"/>
        </w:rPr>
        <w:t xml:space="preserve"> timely</w:t>
      </w:r>
      <w:r w:rsidR="00952B6F">
        <w:rPr>
          <w:rFonts w:ascii="Times New Roman" w:hAnsi="Times New Roman"/>
          <w:color w:val="000000" w:themeColor="text1"/>
        </w:rPr>
        <w:t xml:space="preserve"> manner</w:t>
      </w:r>
      <w:r w:rsidR="1895241E" w:rsidRPr="634D014F">
        <w:rPr>
          <w:rFonts w:ascii="Times New Roman" w:hAnsi="Times New Roman"/>
          <w:color w:val="000000" w:themeColor="text1"/>
        </w:rPr>
        <w:t>.</w:t>
      </w:r>
      <w:r w:rsidR="1BE28650" w:rsidRPr="634D014F">
        <w:rPr>
          <w:rFonts w:ascii="Times New Roman" w:hAnsi="Times New Roman"/>
          <w:color w:val="000000" w:themeColor="text1"/>
        </w:rPr>
        <w:t xml:space="preserve"> While the Commission t</w:t>
      </w:r>
      <w:r w:rsidR="64F470B1" w:rsidRPr="634D014F">
        <w:rPr>
          <w:rFonts w:ascii="Times New Roman" w:hAnsi="Times New Roman"/>
          <w:color w:val="000000" w:themeColor="text1"/>
        </w:rPr>
        <w:t>ook good note of the views expressed by the EBA and the ECB regarding the risks of deviating from international standards, i</w:t>
      </w:r>
      <w:r w:rsidR="1E2B2B18" w:rsidRPr="634D014F">
        <w:rPr>
          <w:rFonts w:ascii="Times New Roman" w:hAnsi="Times New Roman"/>
          <w:color w:val="000000" w:themeColor="text1"/>
        </w:rPr>
        <w:t xml:space="preserve">t is important to note that the </w:t>
      </w:r>
      <w:r w:rsidR="64F470B1" w:rsidRPr="634D014F">
        <w:rPr>
          <w:rFonts w:ascii="Times New Roman" w:hAnsi="Times New Roman"/>
          <w:color w:val="000000" w:themeColor="text1"/>
        </w:rPr>
        <w:t xml:space="preserve">Banking Package </w:t>
      </w:r>
      <w:r w:rsidR="6D09AA42" w:rsidRPr="634D014F">
        <w:rPr>
          <w:rFonts w:ascii="Times New Roman" w:hAnsi="Times New Roman"/>
          <w:color w:val="000000" w:themeColor="text1"/>
        </w:rPr>
        <w:t xml:space="preserve">includes </w:t>
      </w:r>
      <w:r w:rsidR="3C03FF39" w:rsidRPr="634D014F">
        <w:rPr>
          <w:rFonts w:ascii="Times New Roman" w:hAnsi="Times New Roman"/>
          <w:color w:val="000000" w:themeColor="text1"/>
        </w:rPr>
        <w:t xml:space="preserve">phase-in periods and adjustments, reflecting the specificities of the </w:t>
      </w:r>
      <w:r w:rsidR="6D09AA42" w:rsidRPr="634D014F">
        <w:rPr>
          <w:rFonts w:ascii="Times New Roman" w:hAnsi="Times New Roman"/>
          <w:color w:val="000000" w:themeColor="text1"/>
        </w:rPr>
        <w:t xml:space="preserve">European </w:t>
      </w:r>
      <w:r w:rsidR="75B6874F" w:rsidRPr="634D014F">
        <w:rPr>
          <w:rFonts w:ascii="Times New Roman" w:hAnsi="Times New Roman"/>
          <w:color w:val="000000" w:themeColor="text1"/>
        </w:rPr>
        <w:t>banking sector</w:t>
      </w:r>
      <w:r w:rsidR="64F470B1" w:rsidRPr="634D014F">
        <w:rPr>
          <w:rFonts w:ascii="Times New Roman" w:hAnsi="Times New Roman"/>
          <w:color w:val="000000" w:themeColor="text1"/>
        </w:rPr>
        <w:t xml:space="preserve">. </w:t>
      </w:r>
      <w:r w:rsidR="4AC36DE7" w:rsidRPr="634D014F">
        <w:rPr>
          <w:rFonts w:ascii="Times New Roman" w:hAnsi="Times New Roman"/>
          <w:color w:val="000000" w:themeColor="text1"/>
        </w:rPr>
        <w:t>Union rules need to cater for</w:t>
      </w:r>
      <w:r w:rsidR="3C03FF39" w:rsidRPr="634D014F">
        <w:rPr>
          <w:rFonts w:ascii="Times New Roman" w:hAnsi="Times New Roman"/>
          <w:color w:val="000000" w:themeColor="text1"/>
        </w:rPr>
        <w:t xml:space="preserve"> different banking system structures, bank practices, and bank business models across the 27 Member States. </w:t>
      </w:r>
      <w:r w:rsidR="55E0CC21" w:rsidRPr="634D014F">
        <w:rPr>
          <w:rFonts w:ascii="Times New Roman" w:hAnsi="Times New Roman"/>
          <w:color w:val="000000" w:themeColor="text1"/>
        </w:rPr>
        <w:t>Considering</w:t>
      </w:r>
      <w:r w:rsidR="48460A55" w:rsidRPr="634D014F">
        <w:rPr>
          <w:rFonts w:ascii="Times New Roman" w:hAnsi="Times New Roman"/>
          <w:color w:val="000000" w:themeColor="text1"/>
        </w:rPr>
        <w:t xml:space="preserve"> this, t</w:t>
      </w:r>
      <w:r w:rsidR="271D73D7" w:rsidRPr="634D014F">
        <w:rPr>
          <w:rFonts w:ascii="Times New Roman" w:hAnsi="Times New Roman"/>
          <w:color w:val="000000" w:themeColor="text1"/>
        </w:rPr>
        <w:t xml:space="preserve">he Commission fully supports the Parliament’s call for further harmonisation of the EU </w:t>
      </w:r>
      <w:r w:rsidR="589DAABE" w:rsidRPr="634D014F">
        <w:rPr>
          <w:rFonts w:ascii="Times New Roman" w:hAnsi="Times New Roman"/>
          <w:color w:val="000000" w:themeColor="text1"/>
        </w:rPr>
        <w:t xml:space="preserve">bank </w:t>
      </w:r>
      <w:r w:rsidR="271D73D7" w:rsidRPr="634D014F">
        <w:rPr>
          <w:rFonts w:ascii="Times New Roman" w:hAnsi="Times New Roman"/>
          <w:color w:val="000000" w:themeColor="text1"/>
        </w:rPr>
        <w:t>regulatory framework</w:t>
      </w:r>
      <w:r w:rsidR="48460A55" w:rsidRPr="634D014F">
        <w:rPr>
          <w:rFonts w:ascii="Times New Roman" w:hAnsi="Times New Roman"/>
          <w:color w:val="000000" w:themeColor="text1"/>
        </w:rPr>
        <w:t xml:space="preserve"> (</w:t>
      </w:r>
      <w:r w:rsidR="48460A55" w:rsidRPr="634D014F">
        <w:rPr>
          <w:rFonts w:ascii="Times New Roman" w:hAnsi="Times New Roman"/>
          <w:i/>
          <w:iCs/>
          <w:color w:val="000000" w:themeColor="text1"/>
        </w:rPr>
        <w:t>paragraphs 24, 25 and 26</w:t>
      </w:r>
      <w:r w:rsidR="48460A55" w:rsidRPr="634D014F">
        <w:rPr>
          <w:rFonts w:ascii="Times New Roman" w:hAnsi="Times New Roman"/>
          <w:color w:val="000000" w:themeColor="text1"/>
        </w:rPr>
        <w:t xml:space="preserve">). </w:t>
      </w:r>
      <w:r w:rsidR="53E429EE" w:rsidRPr="634D014F">
        <w:rPr>
          <w:rFonts w:ascii="Times New Roman" w:hAnsi="Times New Roman"/>
          <w:color w:val="000000" w:themeColor="text1"/>
        </w:rPr>
        <w:t xml:space="preserve">At the same time, the Commission </w:t>
      </w:r>
      <w:r w:rsidR="0BFABA6B" w:rsidRPr="634D014F">
        <w:rPr>
          <w:rFonts w:ascii="Times New Roman" w:hAnsi="Times New Roman"/>
          <w:color w:val="000000" w:themeColor="text1"/>
        </w:rPr>
        <w:t xml:space="preserve">acknowledges the request of the Parliament </w:t>
      </w:r>
      <w:r w:rsidR="00952B6F">
        <w:rPr>
          <w:rFonts w:ascii="Times New Roman" w:hAnsi="Times New Roman"/>
          <w:color w:val="000000" w:themeColor="text1"/>
        </w:rPr>
        <w:t>to</w:t>
      </w:r>
      <w:r w:rsidR="0BFABA6B" w:rsidRPr="634D014F">
        <w:rPr>
          <w:rFonts w:ascii="Times New Roman" w:hAnsi="Times New Roman"/>
          <w:color w:val="000000" w:themeColor="text1"/>
        </w:rPr>
        <w:t xml:space="preserve"> </w:t>
      </w:r>
      <w:r w:rsidR="53E429EE" w:rsidRPr="634D014F">
        <w:rPr>
          <w:rFonts w:ascii="Times New Roman" w:hAnsi="Times New Roman"/>
          <w:color w:val="000000" w:themeColor="text1"/>
        </w:rPr>
        <w:t>combin</w:t>
      </w:r>
      <w:r w:rsidR="00952B6F">
        <w:rPr>
          <w:rFonts w:ascii="Times New Roman" w:hAnsi="Times New Roman"/>
          <w:color w:val="000000" w:themeColor="text1"/>
        </w:rPr>
        <w:t>e</w:t>
      </w:r>
      <w:r w:rsidR="53E429EE" w:rsidRPr="634D014F">
        <w:rPr>
          <w:rFonts w:ascii="Times New Roman" w:hAnsi="Times New Roman"/>
          <w:color w:val="000000" w:themeColor="text1"/>
        </w:rPr>
        <w:t xml:space="preserve"> further integration with adequate safeguards addressing the home-host issue in a proportionate and credible manne</w:t>
      </w:r>
      <w:r w:rsidR="0D99A675" w:rsidRPr="634D014F">
        <w:rPr>
          <w:rFonts w:ascii="Times New Roman" w:hAnsi="Times New Roman"/>
          <w:color w:val="000000" w:themeColor="text1"/>
        </w:rPr>
        <w:t>r, which is one of the objectives of the</w:t>
      </w:r>
      <w:r w:rsidR="6DCB3CC8" w:rsidRPr="634D014F">
        <w:rPr>
          <w:rFonts w:ascii="Times New Roman" w:hAnsi="Times New Roman"/>
          <w:color w:val="000000" w:themeColor="text1"/>
        </w:rPr>
        <w:t xml:space="preserve"> planned Commission’s assessment of the regulatory framework for banks</w:t>
      </w:r>
      <w:r w:rsidR="20B83B8A" w:rsidRPr="634D014F">
        <w:rPr>
          <w:rFonts w:ascii="Times New Roman" w:hAnsi="Times New Roman"/>
          <w:color w:val="000000" w:themeColor="text1"/>
        </w:rPr>
        <w:t xml:space="preserve"> which is scheduled for end</w:t>
      </w:r>
      <w:r w:rsidR="00952B6F">
        <w:rPr>
          <w:rFonts w:ascii="Times New Roman" w:hAnsi="Times New Roman"/>
          <w:color w:val="000000" w:themeColor="text1"/>
        </w:rPr>
        <w:t xml:space="preserve"> </w:t>
      </w:r>
      <w:r w:rsidR="20B83B8A" w:rsidRPr="634D014F">
        <w:rPr>
          <w:rFonts w:ascii="Times New Roman" w:hAnsi="Times New Roman"/>
          <w:color w:val="000000" w:themeColor="text1"/>
        </w:rPr>
        <w:t xml:space="preserve">2028 </w:t>
      </w:r>
      <w:r w:rsidR="6DCB3CC8" w:rsidRPr="634D014F">
        <w:rPr>
          <w:rFonts w:ascii="Times New Roman" w:hAnsi="Times New Roman"/>
          <w:color w:val="000000" w:themeColor="text1"/>
        </w:rPr>
        <w:t>(</w:t>
      </w:r>
      <w:r w:rsidR="6DCB3CC8" w:rsidRPr="634D014F">
        <w:rPr>
          <w:rFonts w:ascii="Times New Roman" w:hAnsi="Times New Roman"/>
          <w:i/>
          <w:iCs/>
          <w:color w:val="000000" w:themeColor="text1"/>
        </w:rPr>
        <w:t>paragraph 29</w:t>
      </w:r>
      <w:r w:rsidR="6DCB3CC8" w:rsidRPr="634D014F">
        <w:rPr>
          <w:rFonts w:ascii="Times New Roman" w:hAnsi="Times New Roman"/>
          <w:color w:val="000000" w:themeColor="text1"/>
        </w:rPr>
        <w:t>).</w:t>
      </w:r>
    </w:p>
    <w:p w14:paraId="3F51D830" w14:textId="1817AC82" w:rsidR="00665111" w:rsidRPr="008569C5" w:rsidRDefault="6AB62DA0" w:rsidP="00665111">
      <w:pPr>
        <w:spacing w:after="120"/>
        <w:rPr>
          <w:rFonts w:ascii="Times New Roman" w:hAnsi="Times New Roman"/>
          <w:color w:val="000000" w:themeColor="text1"/>
        </w:rPr>
      </w:pPr>
      <w:r w:rsidRPr="3AF3CBA2">
        <w:rPr>
          <w:rFonts w:ascii="Times New Roman" w:hAnsi="Times New Roman"/>
          <w:color w:val="000000" w:themeColor="text1"/>
        </w:rPr>
        <w:t>The Commission</w:t>
      </w:r>
      <w:r w:rsidR="3FBA74A2" w:rsidRPr="3AF3CBA2">
        <w:rPr>
          <w:rFonts w:ascii="Times New Roman" w:hAnsi="Times New Roman"/>
          <w:color w:val="000000" w:themeColor="text1"/>
        </w:rPr>
        <w:t xml:space="preserve"> takes note of the </w:t>
      </w:r>
      <w:r w:rsidR="697F75C9" w:rsidRPr="3AF3CBA2">
        <w:rPr>
          <w:rFonts w:ascii="Times New Roman" w:hAnsi="Times New Roman"/>
          <w:color w:val="000000" w:themeColor="text1"/>
        </w:rPr>
        <w:t>observation</w:t>
      </w:r>
      <w:r w:rsidR="3FBA74A2" w:rsidRPr="3AF3CBA2">
        <w:rPr>
          <w:rFonts w:ascii="Times New Roman" w:hAnsi="Times New Roman"/>
          <w:color w:val="000000" w:themeColor="text1"/>
        </w:rPr>
        <w:t xml:space="preserve"> of the Parliament that </w:t>
      </w:r>
      <w:r w:rsidRPr="3AF3CBA2">
        <w:rPr>
          <w:rFonts w:ascii="Times New Roman" w:hAnsi="Times New Roman"/>
          <w:color w:val="000000" w:themeColor="text1"/>
        </w:rPr>
        <w:t xml:space="preserve">the </w:t>
      </w:r>
      <w:r w:rsidR="3FBA74A2" w:rsidRPr="3AF3CBA2">
        <w:rPr>
          <w:rFonts w:ascii="Times New Roman" w:hAnsi="Times New Roman"/>
          <w:color w:val="000000" w:themeColor="text1"/>
        </w:rPr>
        <w:t xml:space="preserve">fully fledged transposition of the </w:t>
      </w:r>
      <w:r w:rsidRPr="3AF3CBA2">
        <w:rPr>
          <w:rFonts w:ascii="Times New Roman" w:hAnsi="Times New Roman"/>
          <w:color w:val="000000" w:themeColor="text1"/>
        </w:rPr>
        <w:t xml:space="preserve">Basel standards for </w:t>
      </w:r>
      <w:r w:rsidR="56513986" w:rsidRPr="3AF3CBA2">
        <w:rPr>
          <w:rFonts w:ascii="Times New Roman" w:hAnsi="Times New Roman"/>
          <w:color w:val="000000" w:themeColor="text1"/>
        </w:rPr>
        <w:t>crypto assets</w:t>
      </w:r>
      <w:r w:rsidRPr="3AF3CBA2">
        <w:rPr>
          <w:rFonts w:ascii="Times New Roman" w:hAnsi="Times New Roman"/>
          <w:color w:val="000000" w:themeColor="text1"/>
        </w:rPr>
        <w:t xml:space="preserve"> </w:t>
      </w:r>
      <w:r w:rsidR="3FBA74A2" w:rsidRPr="3AF3CBA2">
        <w:rPr>
          <w:rFonts w:ascii="Times New Roman" w:hAnsi="Times New Roman"/>
          <w:color w:val="000000" w:themeColor="text1"/>
        </w:rPr>
        <w:t xml:space="preserve">into Union law </w:t>
      </w:r>
      <w:r w:rsidRPr="3AF3CBA2">
        <w:rPr>
          <w:rFonts w:ascii="Times New Roman" w:hAnsi="Times New Roman"/>
          <w:color w:val="000000" w:themeColor="text1"/>
        </w:rPr>
        <w:t>is still pending</w:t>
      </w:r>
      <w:r w:rsidR="3FBA74A2" w:rsidRPr="3AF3CBA2">
        <w:rPr>
          <w:rFonts w:ascii="Times New Roman" w:hAnsi="Times New Roman"/>
          <w:color w:val="000000" w:themeColor="text1"/>
        </w:rPr>
        <w:t xml:space="preserve">. At the same time, the Commission notes that </w:t>
      </w:r>
      <w:r w:rsidRPr="3AF3CBA2">
        <w:rPr>
          <w:rFonts w:ascii="Times New Roman" w:hAnsi="Times New Roman"/>
          <w:color w:val="000000" w:themeColor="text1"/>
        </w:rPr>
        <w:t xml:space="preserve">the </w:t>
      </w:r>
      <w:r w:rsidR="135CA6A7" w:rsidRPr="3AF3CBA2">
        <w:rPr>
          <w:rFonts w:ascii="Times New Roman" w:hAnsi="Times New Roman"/>
          <w:color w:val="000000" w:themeColor="text1"/>
        </w:rPr>
        <w:t xml:space="preserve">political agreement on </w:t>
      </w:r>
      <w:r w:rsidR="7F9EF283" w:rsidRPr="3AF3CBA2">
        <w:rPr>
          <w:rFonts w:ascii="Times New Roman" w:hAnsi="Times New Roman"/>
          <w:color w:val="000000" w:themeColor="text1"/>
        </w:rPr>
        <w:t>t</w:t>
      </w:r>
      <w:r w:rsidRPr="3AF3CBA2">
        <w:rPr>
          <w:rFonts w:ascii="Times New Roman" w:hAnsi="Times New Roman"/>
          <w:color w:val="000000" w:themeColor="text1"/>
        </w:rPr>
        <w:t xml:space="preserve">he Capital Requirements </w:t>
      </w:r>
      <w:r w:rsidR="197AABB9" w:rsidRPr="3AF3CBA2">
        <w:rPr>
          <w:rFonts w:ascii="Times New Roman" w:hAnsi="Times New Roman"/>
          <w:color w:val="000000" w:themeColor="text1"/>
        </w:rPr>
        <w:t xml:space="preserve">Regulation </w:t>
      </w:r>
      <w:r w:rsidR="00DF1B62">
        <w:rPr>
          <w:rFonts w:ascii="Times New Roman" w:hAnsi="Times New Roman"/>
          <w:color w:val="000000" w:themeColor="text1"/>
        </w:rPr>
        <w:t>include a transitional regime</w:t>
      </w:r>
      <w:r w:rsidR="0F9C4009" w:rsidRPr="3AF3CBA2">
        <w:rPr>
          <w:rFonts w:ascii="Times New Roman" w:hAnsi="Times New Roman"/>
          <w:color w:val="000000" w:themeColor="text1"/>
        </w:rPr>
        <w:t xml:space="preserve"> and, along with </w:t>
      </w:r>
      <w:r w:rsidR="00854448">
        <w:rPr>
          <w:rFonts w:ascii="Times New Roman" w:hAnsi="Times New Roman"/>
          <w:color w:val="000000" w:themeColor="text1"/>
        </w:rPr>
        <w:t xml:space="preserve">the Regulation on </w:t>
      </w:r>
      <w:r w:rsidR="00854448" w:rsidRPr="00854448">
        <w:rPr>
          <w:rFonts w:ascii="Times New Roman" w:hAnsi="Times New Roman"/>
          <w:color w:val="000000" w:themeColor="text1"/>
        </w:rPr>
        <w:t xml:space="preserve">markets in </w:t>
      </w:r>
      <w:proofErr w:type="gramStart"/>
      <w:r w:rsidR="00854448" w:rsidRPr="00854448">
        <w:rPr>
          <w:rFonts w:ascii="Times New Roman" w:hAnsi="Times New Roman"/>
          <w:color w:val="000000" w:themeColor="text1"/>
        </w:rPr>
        <w:t>crypto-assets</w:t>
      </w:r>
      <w:proofErr w:type="gramEnd"/>
      <w:r w:rsidR="00854448">
        <w:rPr>
          <w:rFonts w:ascii="Times New Roman" w:hAnsi="Times New Roman"/>
          <w:color w:val="000000" w:themeColor="text1"/>
        </w:rPr>
        <w:t xml:space="preserve"> (</w:t>
      </w:r>
      <w:proofErr w:type="spellStart"/>
      <w:r w:rsidR="0F9C4009" w:rsidRPr="3AF3CBA2">
        <w:rPr>
          <w:rFonts w:ascii="Times New Roman" w:hAnsi="Times New Roman"/>
          <w:color w:val="000000" w:themeColor="text1"/>
        </w:rPr>
        <w:t>MiCAR</w:t>
      </w:r>
      <w:proofErr w:type="spellEnd"/>
      <w:r w:rsidR="00854448">
        <w:rPr>
          <w:rFonts w:ascii="Times New Roman" w:hAnsi="Times New Roman"/>
          <w:color w:val="000000" w:themeColor="text1"/>
        </w:rPr>
        <w:t>)</w:t>
      </w:r>
      <w:r w:rsidR="0F9C4009" w:rsidRPr="3AF3CBA2">
        <w:rPr>
          <w:rFonts w:ascii="Times New Roman" w:hAnsi="Times New Roman"/>
          <w:color w:val="000000" w:themeColor="text1"/>
        </w:rPr>
        <w:t xml:space="preserve">, makes Union law one of the most advanced </w:t>
      </w:r>
      <w:r w:rsidR="226E3B8F" w:rsidRPr="3AF3CBA2">
        <w:rPr>
          <w:rFonts w:ascii="Times New Roman" w:hAnsi="Times New Roman"/>
          <w:color w:val="000000" w:themeColor="text1"/>
        </w:rPr>
        <w:t>legislations</w:t>
      </w:r>
      <w:r w:rsidR="4EADF919" w:rsidRPr="3AF3CBA2">
        <w:rPr>
          <w:rFonts w:ascii="Times New Roman" w:hAnsi="Times New Roman"/>
          <w:color w:val="000000" w:themeColor="text1"/>
        </w:rPr>
        <w:t xml:space="preserve"> </w:t>
      </w:r>
      <w:r w:rsidR="226E3B8F" w:rsidRPr="3AF3CBA2">
        <w:rPr>
          <w:rFonts w:ascii="Times New Roman" w:hAnsi="Times New Roman"/>
          <w:color w:val="000000" w:themeColor="text1"/>
        </w:rPr>
        <w:t>on cryptos worldwide</w:t>
      </w:r>
      <w:r w:rsidR="3593BCD2" w:rsidRPr="3AF3CBA2">
        <w:rPr>
          <w:rFonts w:ascii="Times New Roman" w:hAnsi="Times New Roman"/>
          <w:color w:val="000000" w:themeColor="text1"/>
        </w:rPr>
        <w:t xml:space="preserve"> </w:t>
      </w:r>
      <w:r w:rsidR="4B56E3F1" w:rsidRPr="3AF3CBA2">
        <w:rPr>
          <w:rFonts w:ascii="Times New Roman" w:hAnsi="Times New Roman"/>
          <w:color w:val="000000" w:themeColor="text1"/>
        </w:rPr>
        <w:t>(</w:t>
      </w:r>
      <w:r w:rsidR="4B56E3F1" w:rsidRPr="3AF3CBA2">
        <w:rPr>
          <w:rFonts w:ascii="Times New Roman" w:hAnsi="Times New Roman"/>
          <w:i/>
          <w:iCs/>
          <w:color w:val="000000" w:themeColor="text1"/>
        </w:rPr>
        <w:t>paragraph 27</w:t>
      </w:r>
      <w:r w:rsidR="4B56E3F1" w:rsidRPr="3AF3CBA2">
        <w:rPr>
          <w:rFonts w:ascii="Times New Roman" w:hAnsi="Times New Roman"/>
          <w:color w:val="000000" w:themeColor="text1"/>
        </w:rPr>
        <w:t>)</w:t>
      </w:r>
      <w:r w:rsidR="006C4BC7">
        <w:rPr>
          <w:rFonts w:ascii="Times New Roman" w:hAnsi="Times New Roman"/>
          <w:color w:val="000000" w:themeColor="text1"/>
        </w:rPr>
        <w:t>.</w:t>
      </w:r>
    </w:p>
    <w:p w14:paraId="02D243BA" w14:textId="4D9C710A" w:rsidR="00970B3D" w:rsidRPr="008569C5" w:rsidRDefault="1B428371" w:rsidP="004C579F">
      <w:pPr>
        <w:spacing w:after="120"/>
        <w:rPr>
          <w:rFonts w:ascii="Times New Roman" w:hAnsi="Times New Roman"/>
          <w:color w:val="000000" w:themeColor="text1"/>
        </w:rPr>
      </w:pPr>
      <w:r w:rsidRPr="008569C5">
        <w:rPr>
          <w:rFonts w:ascii="Times New Roman" w:hAnsi="Times New Roman"/>
          <w:color w:val="000000" w:themeColor="text1"/>
        </w:rPr>
        <w:t xml:space="preserve">The Commission also takes notes of the Parliament’s concerns on </w:t>
      </w:r>
      <w:r w:rsidR="49AFD32C" w:rsidRPr="008569C5">
        <w:rPr>
          <w:rFonts w:ascii="Times New Roman" w:hAnsi="Times New Roman"/>
          <w:color w:val="000000" w:themeColor="text1"/>
        </w:rPr>
        <w:t>the growth of the non-bank financial intermediary sector as well as the linkages with the banking sector. In this regard, it is worth noting that the Banking Package strengthen</w:t>
      </w:r>
      <w:r w:rsidR="25B38F9A" w:rsidRPr="008569C5">
        <w:rPr>
          <w:rFonts w:ascii="Times New Roman" w:hAnsi="Times New Roman"/>
          <w:color w:val="000000" w:themeColor="text1"/>
        </w:rPr>
        <w:t>s</w:t>
      </w:r>
      <w:r w:rsidR="49AFD32C" w:rsidRPr="008569C5">
        <w:rPr>
          <w:rFonts w:ascii="Times New Roman" w:hAnsi="Times New Roman"/>
          <w:color w:val="000000" w:themeColor="text1"/>
        </w:rPr>
        <w:t xml:space="preserve"> the related disclosure </w:t>
      </w:r>
      <w:r w:rsidR="5EFC9B6F" w:rsidRPr="008569C5">
        <w:rPr>
          <w:rFonts w:ascii="Times New Roman" w:hAnsi="Times New Roman"/>
          <w:color w:val="000000" w:themeColor="text1"/>
        </w:rPr>
        <w:t xml:space="preserve">requirements, thus equipping </w:t>
      </w:r>
      <w:r w:rsidR="646B8A4C" w:rsidRPr="008569C5">
        <w:rPr>
          <w:rFonts w:ascii="Times New Roman" w:hAnsi="Times New Roman"/>
          <w:color w:val="000000" w:themeColor="text1"/>
        </w:rPr>
        <w:t>bank supervisors and market participants with valuable information o</w:t>
      </w:r>
      <w:r w:rsidR="00952B6F">
        <w:rPr>
          <w:rFonts w:ascii="Times New Roman" w:hAnsi="Times New Roman"/>
          <w:color w:val="000000" w:themeColor="text1"/>
        </w:rPr>
        <w:t>n</w:t>
      </w:r>
      <w:r w:rsidR="646B8A4C" w:rsidRPr="008569C5">
        <w:rPr>
          <w:rFonts w:ascii="Times New Roman" w:hAnsi="Times New Roman"/>
          <w:color w:val="000000" w:themeColor="text1"/>
        </w:rPr>
        <w:t xml:space="preserve"> </w:t>
      </w:r>
      <w:r w:rsidR="122D0FF0" w:rsidRPr="008569C5">
        <w:rPr>
          <w:rFonts w:ascii="Times New Roman" w:hAnsi="Times New Roman"/>
          <w:color w:val="000000" w:themeColor="text1"/>
        </w:rPr>
        <w:t>interconnections between the sectors</w:t>
      </w:r>
      <w:r w:rsidR="3593BCD2" w:rsidRPr="008569C5">
        <w:rPr>
          <w:rFonts w:ascii="Times New Roman" w:hAnsi="Times New Roman"/>
          <w:color w:val="000000" w:themeColor="text1"/>
        </w:rPr>
        <w:t>.</w:t>
      </w:r>
      <w:r w:rsidR="4877A177" w:rsidRPr="008569C5">
        <w:rPr>
          <w:rFonts w:ascii="Times New Roman" w:hAnsi="Times New Roman"/>
          <w:color w:val="000000" w:themeColor="text1"/>
        </w:rPr>
        <w:t xml:space="preserve"> </w:t>
      </w:r>
      <w:r w:rsidR="00ED1BFC" w:rsidRPr="008569C5">
        <w:rPr>
          <w:rFonts w:ascii="Times New Roman" w:hAnsi="Times New Roman"/>
          <w:color w:val="000000" w:themeColor="text1"/>
        </w:rPr>
        <w:t xml:space="preserve">The </w:t>
      </w:r>
      <w:r w:rsidR="4877A177" w:rsidRPr="008569C5">
        <w:rPr>
          <w:rFonts w:ascii="Times New Roman" w:hAnsi="Times New Roman"/>
          <w:color w:val="000000" w:themeColor="text1"/>
        </w:rPr>
        <w:t xml:space="preserve">Commission </w:t>
      </w:r>
      <w:r w:rsidR="159E9F29" w:rsidRPr="008569C5">
        <w:rPr>
          <w:rFonts w:ascii="Times New Roman" w:hAnsi="Times New Roman"/>
          <w:color w:val="000000" w:themeColor="text1"/>
        </w:rPr>
        <w:t>conducted a first analysis</w:t>
      </w:r>
      <w:r w:rsidRPr="008569C5">
        <w:rPr>
          <w:rStyle w:val="FootnoteReference"/>
          <w:rFonts w:ascii="Times New Roman" w:hAnsi="Times New Roman"/>
          <w:color w:val="000000" w:themeColor="text1"/>
        </w:rPr>
        <w:footnoteReference w:id="3"/>
      </w:r>
      <w:r w:rsidR="159E9F29" w:rsidRPr="008569C5">
        <w:rPr>
          <w:rFonts w:ascii="Times New Roman" w:hAnsi="Times New Roman"/>
          <w:color w:val="000000" w:themeColor="text1"/>
        </w:rPr>
        <w:t xml:space="preserve"> of the growth of the non-bank financial intermediary sector</w:t>
      </w:r>
      <w:r w:rsidR="1622D14B" w:rsidRPr="008569C5">
        <w:rPr>
          <w:rFonts w:ascii="Times New Roman" w:hAnsi="Times New Roman"/>
          <w:color w:val="000000" w:themeColor="text1"/>
        </w:rPr>
        <w:t xml:space="preserve"> and associated risks, and</w:t>
      </w:r>
      <w:r w:rsidR="159E9F29" w:rsidRPr="008569C5">
        <w:rPr>
          <w:rFonts w:ascii="Times New Roman" w:hAnsi="Times New Roman"/>
          <w:color w:val="000000" w:themeColor="text1"/>
        </w:rPr>
        <w:t xml:space="preserve"> </w:t>
      </w:r>
      <w:r w:rsidR="4877A177" w:rsidRPr="008569C5">
        <w:rPr>
          <w:rFonts w:ascii="Times New Roman" w:hAnsi="Times New Roman"/>
          <w:color w:val="000000" w:themeColor="text1"/>
        </w:rPr>
        <w:t xml:space="preserve">will collect further evidence on missing tools, potential gaps in existing tools to meet macroprudential objectives and on the effectiveness and consistency of macroprudential policies for </w:t>
      </w:r>
      <w:r w:rsidR="00F44815">
        <w:rPr>
          <w:rFonts w:ascii="Times New Roman" w:hAnsi="Times New Roman"/>
          <w:color w:val="000000" w:themeColor="text1"/>
        </w:rPr>
        <w:t xml:space="preserve">the </w:t>
      </w:r>
      <w:r w:rsidR="00F44815" w:rsidRPr="00F44815">
        <w:rPr>
          <w:rFonts w:ascii="Times New Roman" w:hAnsi="Times New Roman"/>
          <w:color w:val="000000" w:themeColor="text1"/>
        </w:rPr>
        <w:t>non-bank financial institutions</w:t>
      </w:r>
      <w:r w:rsidR="00F44815">
        <w:rPr>
          <w:rFonts w:ascii="Times New Roman" w:hAnsi="Times New Roman"/>
          <w:color w:val="000000" w:themeColor="text1"/>
        </w:rPr>
        <w:t xml:space="preserve"> (</w:t>
      </w:r>
      <w:r w:rsidR="4877A177" w:rsidRPr="008569C5">
        <w:rPr>
          <w:rFonts w:ascii="Times New Roman" w:hAnsi="Times New Roman"/>
          <w:color w:val="000000" w:themeColor="text1"/>
        </w:rPr>
        <w:t>NBFIs</w:t>
      </w:r>
      <w:r w:rsidR="00F44815">
        <w:rPr>
          <w:rFonts w:ascii="Times New Roman" w:hAnsi="Times New Roman"/>
          <w:color w:val="000000" w:themeColor="text1"/>
        </w:rPr>
        <w:t>)</w:t>
      </w:r>
      <w:r w:rsidR="4877A177" w:rsidRPr="008569C5">
        <w:rPr>
          <w:rFonts w:ascii="Times New Roman" w:hAnsi="Times New Roman"/>
          <w:color w:val="000000" w:themeColor="text1"/>
        </w:rPr>
        <w:t xml:space="preserve"> in the EU</w:t>
      </w:r>
      <w:r w:rsidR="122D0FF0" w:rsidRPr="008569C5">
        <w:rPr>
          <w:rFonts w:ascii="Times New Roman" w:hAnsi="Times New Roman"/>
          <w:color w:val="000000" w:themeColor="text1"/>
        </w:rPr>
        <w:t xml:space="preserve"> (</w:t>
      </w:r>
      <w:r w:rsidR="122D0FF0" w:rsidRPr="008569C5">
        <w:rPr>
          <w:rFonts w:ascii="Times New Roman" w:hAnsi="Times New Roman"/>
          <w:i/>
          <w:iCs/>
          <w:color w:val="000000" w:themeColor="text1"/>
        </w:rPr>
        <w:t>paragraph 28</w:t>
      </w:r>
      <w:r w:rsidR="122D0FF0" w:rsidRPr="008569C5">
        <w:rPr>
          <w:rFonts w:ascii="Times New Roman" w:hAnsi="Times New Roman"/>
          <w:color w:val="000000" w:themeColor="text1"/>
        </w:rPr>
        <w:t>)</w:t>
      </w:r>
      <w:r w:rsidR="00125E86">
        <w:rPr>
          <w:rFonts w:ascii="Times New Roman" w:hAnsi="Times New Roman"/>
          <w:color w:val="000000" w:themeColor="text1"/>
        </w:rPr>
        <w:t>.</w:t>
      </w:r>
    </w:p>
    <w:p w14:paraId="0A82CA1E" w14:textId="3705FA15" w:rsidR="00085738" w:rsidRPr="008569C5" w:rsidRDefault="28041E30" w:rsidP="004C579F">
      <w:pPr>
        <w:spacing w:after="120"/>
        <w:rPr>
          <w:rFonts w:ascii="Times New Roman" w:hAnsi="Times New Roman"/>
          <w:color w:val="000000" w:themeColor="text1"/>
        </w:rPr>
      </w:pPr>
      <w:r w:rsidRPr="3AF3CBA2">
        <w:rPr>
          <w:rFonts w:ascii="Times New Roman" w:hAnsi="Times New Roman"/>
          <w:color w:val="000000" w:themeColor="text1"/>
        </w:rPr>
        <w:lastRenderedPageBreak/>
        <w:t>The Commission a</w:t>
      </w:r>
      <w:r w:rsidR="3D283AD5" w:rsidRPr="3AF3CBA2">
        <w:rPr>
          <w:rFonts w:ascii="Times New Roman" w:hAnsi="Times New Roman"/>
          <w:color w:val="000000" w:themeColor="text1"/>
        </w:rPr>
        <w:t xml:space="preserve">lso welcomes </w:t>
      </w:r>
      <w:r w:rsidRPr="3AF3CBA2">
        <w:rPr>
          <w:rFonts w:ascii="Times New Roman" w:hAnsi="Times New Roman"/>
          <w:color w:val="000000" w:themeColor="text1"/>
        </w:rPr>
        <w:t>t</w:t>
      </w:r>
      <w:r w:rsidR="5507494D" w:rsidRPr="3AF3CBA2">
        <w:rPr>
          <w:rFonts w:ascii="Times New Roman" w:hAnsi="Times New Roman"/>
          <w:color w:val="000000" w:themeColor="text1"/>
        </w:rPr>
        <w:t>he</w:t>
      </w:r>
      <w:r w:rsidRPr="3AF3CBA2">
        <w:rPr>
          <w:rFonts w:ascii="Times New Roman" w:hAnsi="Times New Roman"/>
          <w:color w:val="000000" w:themeColor="text1"/>
        </w:rPr>
        <w:t xml:space="preserve"> </w:t>
      </w:r>
      <w:r w:rsidR="7B82D014" w:rsidRPr="3AF3CBA2">
        <w:rPr>
          <w:rFonts w:ascii="Times New Roman" w:hAnsi="Times New Roman"/>
          <w:color w:val="000000" w:themeColor="text1"/>
        </w:rPr>
        <w:t xml:space="preserve">observation that </w:t>
      </w:r>
      <w:r w:rsidR="26A2A89D" w:rsidRPr="3AF3CBA2">
        <w:rPr>
          <w:rFonts w:ascii="Times New Roman" w:hAnsi="Times New Roman"/>
          <w:color w:val="000000" w:themeColor="text1"/>
        </w:rPr>
        <w:t>the ECB</w:t>
      </w:r>
      <w:r w:rsidR="2B7C6C73" w:rsidRPr="3AF3CBA2">
        <w:rPr>
          <w:rFonts w:ascii="Times New Roman" w:hAnsi="Times New Roman"/>
          <w:color w:val="000000" w:themeColor="text1"/>
        </w:rPr>
        <w:t xml:space="preserve">’s </w:t>
      </w:r>
      <w:r w:rsidR="27609BC6" w:rsidRPr="3AF3CBA2">
        <w:rPr>
          <w:rFonts w:ascii="Times New Roman" w:hAnsi="Times New Roman"/>
          <w:color w:val="000000" w:themeColor="text1"/>
        </w:rPr>
        <w:t xml:space="preserve">supervisory </w:t>
      </w:r>
      <w:r w:rsidR="2B7C6C73" w:rsidRPr="3AF3CBA2">
        <w:rPr>
          <w:rFonts w:ascii="Times New Roman" w:hAnsi="Times New Roman"/>
          <w:color w:val="000000" w:themeColor="text1"/>
        </w:rPr>
        <w:t xml:space="preserve">priorities </w:t>
      </w:r>
      <w:r w:rsidR="27609BC6" w:rsidRPr="3AF3CBA2">
        <w:rPr>
          <w:rFonts w:ascii="Times New Roman" w:hAnsi="Times New Roman"/>
          <w:color w:val="000000" w:themeColor="text1"/>
        </w:rPr>
        <w:t xml:space="preserve">include </w:t>
      </w:r>
      <w:r w:rsidRPr="3AF3CBA2">
        <w:rPr>
          <w:rFonts w:ascii="Times New Roman" w:hAnsi="Times New Roman"/>
          <w:color w:val="000000" w:themeColor="text1"/>
        </w:rPr>
        <w:t>cli</w:t>
      </w:r>
      <w:r w:rsidR="7F7C7E66" w:rsidRPr="3AF3CBA2">
        <w:rPr>
          <w:rFonts w:ascii="Times New Roman" w:hAnsi="Times New Roman"/>
          <w:color w:val="000000" w:themeColor="text1"/>
        </w:rPr>
        <w:t>mate</w:t>
      </w:r>
      <w:r w:rsidR="474CFEDB" w:rsidRPr="3AF3CBA2">
        <w:rPr>
          <w:rFonts w:ascii="Times New Roman" w:hAnsi="Times New Roman"/>
          <w:color w:val="000000" w:themeColor="text1"/>
        </w:rPr>
        <w:t>,</w:t>
      </w:r>
      <w:r w:rsidR="7F7C7E66" w:rsidRPr="3AF3CBA2">
        <w:rPr>
          <w:rFonts w:ascii="Times New Roman" w:hAnsi="Times New Roman"/>
          <w:color w:val="000000" w:themeColor="text1"/>
        </w:rPr>
        <w:t xml:space="preserve"> </w:t>
      </w:r>
      <w:r w:rsidR="2F764931" w:rsidRPr="3AF3CBA2">
        <w:rPr>
          <w:rFonts w:ascii="Times New Roman" w:hAnsi="Times New Roman"/>
          <w:color w:val="000000" w:themeColor="text1"/>
        </w:rPr>
        <w:t xml:space="preserve">but also </w:t>
      </w:r>
      <w:r w:rsidR="7F7C7E66" w:rsidRPr="3AF3CBA2">
        <w:rPr>
          <w:rFonts w:ascii="Times New Roman" w:hAnsi="Times New Roman"/>
          <w:color w:val="000000" w:themeColor="text1"/>
        </w:rPr>
        <w:t xml:space="preserve">nature-related financial risks </w:t>
      </w:r>
      <w:r w:rsidR="36E8F843" w:rsidRPr="3AF3CBA2">
        <w:rPr>
          <w:rFonts w:ascii="Times New Roman" w:hAnsi="Times New Roman"/>
          <w:color w:val="000000" w:themeColor="text1"/>
        </w:rPr>
        <w:t>for the coming years</w:t>
      </w:r>
      <w:r w:rsidR="74C31693" w:rsidRPr="3AF3CBA2">
        <w:rPr>
          <w:rFonts w:ascii="Times New Roman" w:hAnsi="Times New Roman"/>
          <w:color w:val="000000" w:themeColor="text1"/>
        </w:rPr>
        <w:t xml:space="preserve">. </w:t>
      </w:r>
      <w:r w:rsidR="00F44815">
        <w:rPr>
          <w:rFonts w:ascii="Times New Roman" w:hAnsi="Times New Roman"/>
          <w:color w:val="000000" w:themeColor="text1"/>
        </w:rPr>
        <w:t>In particular, t</w:t>
      </w:r>
      <w:r w:rsidR="74C31693" w:rsidRPr="3AF3CBA2">
        <w:rPr>
          <w:rFonts w:ascii="Times New Roman" w:hAnsi="Times New Roman"/>
          <w:color w:val="000000" w:themeColor="text1"/>
        </w:rPr>
        <w:t>he Commission</w:t>
      </w:r>
      <w:r w:rsidR="61FFDEE4" w:rsidRPr="3AF3CBA2">
        <w:rPr>
          <w:rFonts w:ascii="Times New Roman" w:hAnsi="Times New Roman"/>
          <w:color w:val="000000" w:themeColor="text1"/>
        </w:rPr>
        <w:t xml:space="preserve"> will monitor the </w:t>
      </w:r>
      <w:r w:rsidR="1344E226" w:rsidRPr="7F7DE8CE">
        <w:rPr>
          <w:rFonts w:ascii="Times New Roman" w:hAnsi="Times New Roman"/>
          <w:color w:val="000000" w:themeColor="text1"/>
        </w:rPr>
        <w:t>F</w:t>
      </w:r>
      <w:r w:rsidR="61FFDEE4" w:rsidRPr="3AF3CBA2">
        <w:rPr>
          <w:rFonts w:ascii="Times New Roman" w:hAnsi="Times New Roman"/>
          <w:color w:val="000000" w:themeColor="text1"/>
        </w:rPr>
        <w:t xml:space="preserve">it-for-55 stress test that will be carried out by the ECB and the </w:t>
      </w:r>
      <w:r w:rsidR="00E053E4" w:rsidRPr="004D1E67">
        <w:rPr>
          <w:rFonts w:ascii="Times New Roman" w:hAnsi="Times New Roman"/>
          <w:color w:val="000000" w:themeColor="text1"/>
        </w:rPr>
        <w:t>European Supervisory Authorit</w:t>
      </w:r>
      <w:r w:rsidR="00E053E4">
        <w:rPr>
          <w:rFonts w:ascii="Times New Roman" w:hAnsi="Times New Roman"/>
          <w:color w:val="000000" w:themeColor="text1"/>
        </w:rPr>
        <w:t>ies (</w:t>
      </w:r>
      <w:r w:rsidR="61FFDEE4" w:rsidRPr="3AF3CBA2">
        <w:rPr>
          <w:rFonts w:ascii="Times New Roman" w:hAnsi="Times New Roman"/>
          <w:color w:val="000000" w:themeColor="text1"/>
        </w:rPr>
        <w:t>ESAs</w:t>
      </w:r>
      <w:r w:rsidR="00E053E4">
        <w:rPr>
          <w:rFonts w:ascii="Times New Roman" w:hAnsi="Times New Roman"/>
          <w:color w:val="000000" w:themeColor="text1"/>
        </w:rPr>
        <w:t>)</w:t>
      </w:r>
      <w:r w:rsidR="61FFDEE4" w:rsidRPr="3AF3CBA2">
        <w:rPr>
          <w:rFonts w:ascii="Times New Roman" w:hAnsi="Times New Roman"/>
          <w:color w:val="000000" w:themeColor="text1"/>
        </w:rPr>
        <w:t xml:space="preserve"> </w:t>
      </w:r>
      <w:r w:rsidR="0226B8F8" w:rsidRPr="3AF3CBA2">
        <w:rPr>
          <w:rFonts w:ascii="Times New Roman" w:hAnsi="Times New Roman"/>
          <w:color w:val="000000" w:themeColor="text1"/>
        </w:rPr>
        <w:t>by</w:t>
      </w:r>
      <w:r w:rsidR="61FFDEE4" w:rsidRPr="3AF3CBA2">
        <w:rPr>
          <w:rFonts w:ascii="Times New Roman" w:hAnsi="Times New Roman"/>
          <w:color w:val="000000" w:themeColor="text1"/>
        </w:rPr>
        <w:t xml:space="preserve"> 2025. </w:t>
      </w:r>
      <w:r w:rsidR="03FD5CE8" w:rsidRPr="3AF3CBA2">
        <w:rPr>
          <w:rFonts w:ascii="Times New Roman" w:hAnsi="Times New Roman"/>
          <w:color w:val="000000" w:themeColor="text1"/>
        </w:rPr>
        <w:t xml:space="preserve">The Commission will continue </w:t>
      </w:r>
      <w:r w:rsidR="0E9BB818" w:rsidRPr="3AF3CBA2">
        <w:rPr>
          <w:rFonts w:ascii="Times New Roman" w:hAnsi="Times New Roman"/>
          <w:color w:val="000000" w:themeColor="text1"/>
        </w:rPr>
        <w:t>its</w:t>
      </w:r>
      <w:r w:rsidR="03FD5CE8" w:rsidRPr="3AF3CBA2">
        <w:rPr>
          <w:rFonts w:ascii="Times New Roman" w:hAnsi="Times New Roman"/>
          <w:color w:val="000000" w:themeColor="text1"/>
        </w:rPr>
        <w:t xml:space="preserve"> work to curb greenwashing </w:t>
      </w:r>
      <w:r w:rsidR="434CAC93" w:rsidRPr="51AD4027">
        <w:rPr>
          <w:rFonts w:ascii="Times New Roman" w:hAnsi="Times New Roman"/>
          <w:color w:val="000000" w:themeColor="text1"/>
        </w:rPr>
        <w:t xml:space="preserve">following </w:t>
      </w:r>
      <w:r w:rsidR="434CAC93" w:rsidRPr="692732B1">
        <w:rPr>
          <w:rFonts w:ascii="Times New Roman" w:hAnsi="Times New Roman"/>
          <w:color w:val="000000" w:themeColor="text1"/>
        </w:rPr>
        <w:t xml:space="preserve">the </w:t>
      </w:r>
      <w:r w:rsidR="7D8D975B" w:rsidRPr="43832A37">
        <w:rPr>
          <w:rFonts w:ascii="Times New Roman" w:hAnsi="Times New Roman"/>
          <w:color w:val="000000" w:themeColor="text1"/>
        </w:rPr>
        <w:t>Opinions</w:t>
      </w:r>
      <w:r w:rsidR="7D8D975B" w:rsidRPr="5610E7E8">
        <w:rPr>
          <w:rFonts w:ascii="Times New Roman" w:hAnsi="Times New Roman"/>
          <w:color w:val="000000" w:themeColor="text1"/>
        </w:rPr>
        <w:t xml:space="preserve"> of </w:t>
      </w:r>
      <w:r w:rsidR="434CAC93" w:rsidRPr="10EFC980">
        <w:rPr>
          <w:rFonts w:ascii="Times New Roman" w:hAnsi="Times New Roman"/>
          <w:color w:val="000000" w:themeColor="text1"/>
        </w:rPr>
        <w:t xml:space="preserve">the </w:t>
      </w:r>
      <w:r w:rsidR="7FFEA57D" w:rsidRPr="38423DF8">
        <w:rPr>
          <w:rFonts w:ascii="Times New Roman" w:hAnsi="Times New Roman"/>
          <w:color w:val="000000" w:themeColor="text1"/>
        </w:rPr>
        <w:t xml:space="preserve">three </w:t>
      </w:r>
      <w:r w:rsidR="434CAC93" w:rsidRPr="38423DF8">
        <w:rPr>
          <w:rFonts w:ascii="Times New Roman" w:hAnsi="Times New Roman"/>
          <w:color w:val="000000" w:themeColor="text1"/>
        </w:rPr>
        <w:t>ESAs</w:t>
      </w:r>
      <w:r w:rsidR="434CAC93" w:rsidRPr="10EFC980">
        <w:rPr>
          <w:rFonts w:ascii="Times New Roman" w:hAnsi="Times New Roman"/>
          <w:color w:val="000000" w:themeColor="text1"/>
        </w:rPr>
        <w:t xml:space="preserve"> </w:t>
      </w:r>
      <w:r w:rsidR="434CAC93" w:rsidRPr="32DB2C04">
        <w:rPr>
          <w:rFonts w:ascii="Times New Roman" w:hAnsi="Times New Roman"/>
          <w:color w:val="000000" w:themeColor="text1"/>
        </w:rPr>
        <w:t xml:space="preserve">and </w:t>
      </w:r>
      <w:r w:rsidR="76DCDB37" w:rsidRPr="19BDDDE9">
        <w:rPr>
          <w:rFonts w:ascii="Times New Roman" w:hAnsi="Times New Roman"/>
          <w:color w:val="000000" w:themeColor="text1"/>
        </w:rPr>
        <w:t>via</w:t>
      </w:r>
      <w:r w:rsidR="0E171158" w:rsidRPr="4A64F7A4">
        <w:rPr>
          <w:rFonts w:ascii="Times New Roman" w:hAnsi="Times New Roman"/>
          <w:color w:val="000000" w:themeColor="text1"/>
        </w:rPr>
        <w:t>, among others</w:t>
      </w:r>
      <w:r w:rsidR="0E171158" w:rsidRPr="6BE6B7E4">
        <w:rPr>
          <w:rFonts w:ascii="Times New Roman" w:hAnsi="Times New Roman"/>
          <w:color w:val="000000" w:themeColor="text1"/>
        </w:rPr>
        <w:t>,</w:t>
      </w:r>
      <w:r w:rsidR="76DCDB37" w:rsidRPr="3AF3CBA2">
        <w:rPr>
          <w:rFonts w:ascii="Times New Roman" w:hAnsi="Times New Roman"/>
          <w:color w:val="000000" w:themeColor="text1"/>
        </w:rPr>
        <w:t xml:space="preserve"> </w:t>
      </w:r>
      <w:r w:rsidR="6401F0BB" w:rsidRPr="3AF3CBA2">
        <w:rPr>
          <w:rFonts w:ascii="Times New Roman" w:hAnsi="Times New Roman"/>
          <w:color w:val="000000" w:themeColor="text1"/>
        </w:rPr>
        <w:t>the implementation of the Regulation</w:t>
      </w:r>
      <w:r w:rsidR="76DCDB37" w:rsidRPr="3AF3CBA2">
        <w:rPr>
          <w:rFonts w:ascii="Times New Roman" w:hAnsi="Times New Roman"/>
          <w:color w:val="000000" w:themeColor="text1"/>
        </w:rPr>
        <w:t xml:space="preserve"> on </w:t>
      </w:r>
      <w:r w:rsidR="66DD5F9A" w:rsidRPr="4E99A9A5">
        <w:rPr>
          <w:rFonts w:ascii="Times New Roman" w:hAnsi="Times New Roman"/>
          <w:color w:val="000000" w:themeColor="text1"/>
        </w:rPr>
        <w:t xml:space="preserve">the </w:t>
      </w:r>
      <w:r w:rsidR="76DCDB37" w:rsidRPr="7553ADD9">
        <w:rPr>
          <w:rFonts w:ascii="Times New Roman" w:hAnsi="Times New Roman"/>
          <w:color w:val="000000" w:themeColor="text1"/>
        </w:rPr>
        <w:t>transparency</w:t>
      </w:r>
      <w:r w:rsidR="47A6ECF9" w:rsidRPr="7553ADD9">
        <w:rPr>
          <w:rFonts w:ascii="Times New Roman" w:hAnsi="Times New Roman"/>
          <w:color w:val="000000" w:themeColor="text1"/>
        </w:rPr>
        <w:t xml:space="preserve"> </w:t>
      </w:r>
      <w:r w:rsidR="76DCDB37" w:rsidRPr="7553ADD9">
        <w:rPr>
          <w:rFonts w:ascii="Times New Roman" w:hAnsi="Times New Roman"/>
          <w:color w:val="000000" w:themeColor="text1"/>
        </w:rPr>
        <w:t>and</w:t>
      </w:r>
      <w:r w:rsidR="76DCDB37" w:rsidRPr="3AF3CBA2">
        <w:rPr>
          <w:rFonts w:ascii="Times New Roman" w:hAnsi="Times New Roman"/>
          <w:color w:val="000000" w:themeColor="text1"/>
        </w:rPr>
        <w:t xml:space="preserve"> </w:t>
      </w:r>
      <w:r w:rsidR="62DA0234" w:rsidRPr="7783FD07">
        <w:rPr>
          <w:rFonts w:ascii="Times New Roman" w:hAnsi="Times New Roman"/>
          <w:color w:val="000000" w:themeColor="text1"/>
        </w:rPr>
        <w:t>integrity</w:t>
      </w:r>
      <w:r w:rsidR="76DCDB37" w:rsidRPr="3AF3CBA2">
        <w:rPr>
          <w:rFonts w:ascii="Times New Roman" w:hAnsi="Times New Roman"/>
          <w:color w:val="000000" w:themeColor="text1"/>
        </w:rPr>
        <w:t xml:space="preserve"> of </w:t>
      </w:r>
      <w:r w:rsidR="4BDA2377" w:rsidRPr="11179C03">
        <w:rPr>
          <w:rFonts w:ascii="Times New Roman" w:hAnsi="Times New Roman"/>
          <w:color w:val="000000" w:themeColor="text1"/>
        </w:rPr>
        <w:t>Environmental, Social and Governance (ESG) rating activities</w:t>
      </w:r>
      <w:r w:rsidR="3F9E7C41" w:rsidRPr="11179C03">
        <w:rPr>
          <w:rFonts w:ascii="Times New Roman" w:hAnsi="Times New Roman"/>
          <w:color w:val="000000" w:themeColor="text1"/>
        </w:rPr>
        <w:t xml:space="preserve"> </w:t>
      </w:r>
      <w:r w:rsidR="3F9E7C41" w:rsidRPr="3AF3CBA2">
        <w:rPr>
          <w:rFonts w:ascii="Times New Roman" w:hAnsi="Times New Roman"/>
          <w:i/>
          <w:iCs/>
          <w:color w:val="000000" w:themeColor="text1"/>
          <w:lang w:eastAsia="en-US"/>
        </w:rPr>
        <w:t>(paragraphs 30</w:t>
      </w:r>
      <w:r w:rsidR="00F44815">
        <w:rPr>
          <w:rFonts w:ascii="Times New Roman" w:hAnsi="Times New Roman"/>
          <w:i/>
          <w:iCs/>
          <w:color w:val="000000" w:themeColor="text1"/>
          <w:lang w:eastAsia="en-US"/>
        </w:rPr>
        <w:t xml:space="preserve"> and </w:t>
      </w:r>
      <w:r w:rsidR="3F9E7C41" w:rsidRPr="3AF3CBA2">
        <w:rPr>
          <w:rFonts w:ascii="Times New Roman" w:hAnsi="Times New Roman"/>
          <w:i/>
          <w:iCs/>
          <w:color w:val="000000" w:themeColor="text1"/>
          <w:lang w:eastAsia="en-US"/>
        </w:rPr>
        <w:t>31</w:t>
      </w:r>
      <w:r w:rsidR="3F9E7C41" w:rsidRPr="3AF3CBA2">
        <w:rPr>
          <w:rFonts w:ascii="Times New Roman" w:hAnsi="Times New Roman"/>
          <w:color w:val="000000" w:themeColor="text1"/>
          <w:lang w:eastAsia="en-US"/>
        </w:rPr>
        <w:t>)</w:t>
      </w:r>
      <w:r w:rsidR="76DCDB37" w:rsidRPr="3AF3CBA2">
        <w:rPr>
          <w:rFonts w:ascii="Times New Roman" w:hAnsi="Times New Roman"/>
          <w:color w:val="000000" w:themeColor="text1"/>
        </w:rPr>
        <w:t>.</w:t>
      </w:r>
    </w:p>
    <w:p w14:paraId="639B066D" w14:textId="524BABC7" w:rsidR="004C579F" w:rsidRPr="008569C5" w:rsidRDefault="004C579F" w:rsidP="535071D5">
      <w:pPr>
        <w:spacing w:after="120"/>
        <w:rPr>
          <w:rFonts w:ascii="Times New Roman" w:hAnsi="Times New Roman"/>
          <w:b/>
          <w:bCs/>
          <w:i/>
          <w:iCs/>
          <w:color w:val="000000" w:themeColor="text1"/>
          <w:lang w:val="en-IE" w:eastAsia="en-US"/>
        </w:rPr>
      </w:pPr>
      <w:r w:rsidRPr="008569C5">
        <w:rPr>
          <w:rFonts w:ascii="Times New Roman" w:hAnsi="Times New Roman"/>
          <w:b/>
          <w:bCs/>
          <w:i/>
          <w:iCs/>
          <w:color w:val="000000" w:themeColor="text1"/>
          <w:lang w:val="en-IE" w:eastAsia="en-US"/>
        </w:rPr>
        <w:t xml:space="preserve">On Resolution and deposit insurance </w:t>
      </w:r>
    </w:p>
    <w:p w14:paraId="3B32E31D" w14:textId="0270EDFA" w:rsidR="3AF3CBA2" w:rsidRDefault="701B901E" w:rsidP="3AF3CBA2">
      <w:pPr>
        <w:spacing w:after="120"/>
        <w:rPr>
          <w:rFonts w:ascii="Times New Roman" w:hAnsi="Times New Roman"/>
          <w:color w:val="000000" w:themeColor="text1"/>
          <w:lang w:eastAsia="en-US"/>
        </w:rPr>
      </w:pPr>
      <w:r w:rsidRPr="3AF3CBA2">
        <w:rPr>
          <w:rFonts w:ascii="Times New Roman" w:hAnsi="Times New Roman"/>
          <w:color w:val="000000" w:themeColor="text1"/>
          <w:lang w:eastAsia="en-US"/>
        </w:rPr>
        <w:t>In April 2023 t</w:t>
      </w:r>
      <w:r w:rsidR="5C17E815" w:rsidRPr="3AF3CBA2">
        <w:rPr>
          <w:rFonts w:ascii="Times New Roman" w:hAnsi="Times New Roman"/>
          <w:color w:val="000000" w:themeColor="text1"/>
          <w:lang w:eastAsia="en-US"/>
        </w:rPr>
        <w:t>he Commission put forward legislative proposals to review the existing framework</w:t>
      </w:r>
      <w:r w:rsidR="5F07516F" w:rsidRPr="3AF3CBA2">
        <w:rPr>
          <w:rFonts w:ascii="Times New Roman" w:hAnsi="Times New Roman"/>
          <w:color w:val="000000" w:themeColor="text1"/>
          <w:lang w:eastAsia="en-US"/>
        </w:rPr>
        <w:t xml:space="preserve"> for cris</w:t>
      </w:r>
      <w:r w:rsidR="00EC1781">
        <w:rPr>
          <w:rFonts w:ascii="Times New Roman" w:hAnsi="Times New Roman"/>
          <w:color w:val="000000" w:themeColor="text1"/>
          <w:lang w:eastAsia="en-US"/>
        </w:rPr>
        <w:t>i</w:t>
      </w:r>
      <w:r w:rsidR="5F07516F" w:rsidRPr="3AF3CBA2">
        <w:rPr>
          <w:rFonts w:ascii="Times New Roman" w:hAnsi="Times New Roman"/>
          <w:color w:val="000000" w:themeColor="text1"/>
          <w:lang w:eastAsia="en-US"/>
        </w:rPr>
        <w:t>s management and deposit protection</w:t>
      </w:r>
      <w:r w:rsidR="5C17E815" w:rsidRPr="3AF3CBA2">
        <w:rPr>
          <w:rFonts w:ascii="Times New Roman" w:hAnsi="Times New Roman"/>
          <w:color w:val="000000" w:themeColor="text1"/>
          <w:lang w:eastAsia="en-US"/>
        </w:rPr>
        <w:t xml:space="preserve">, </w:t>
      </w:r>
      <w:bookmarkStart w:id="1" w:name="_Hlk109174397"/>
      <w:r w:rsidR="5C17E815" w:rsidRPr="3AF3CBA2">
        <w:rPr>
          <w:rFonts w:ascii="Times New Roman" w:hAnsi="Times New Roman"/>
          <w:color w:val="000000" w:themeColor="text1"/>
          <w:lang w:eastAsia="en-US"/>
        </w:rPr>
        <w:t xml:space="preserve">with the goal of ensuring more consistent approaches across all </w:t>
      </w:r>
      <w:r w:rsidR="00F44815">
        <w:rPr>
          <w:rFonts w:ascii="Times New Roman" w:hAnsi="Times New Roman"/>
          <w:color w:val="000000" w:themeColor="text1"/>
          <w:lang w:eastAsia="en-US"/>
        </w:rPr>
        <w:t xml:space="preserve">the </w:t>
      </w:r>
      <w:r w:rsidR="5C17E815" w:rsidRPr="3AF3CBA2">
        <w:rPr>
          <w:rFonts w:ascii="Times New Roman" w:hAnsi="Times New Roman"/>
          <w:color w:val="000000" w:themeColor="text1"/>
          <w:lang w:eastAsia="en-US"/>
        </w:rPr>
        <w:t>Member States</w:t>
      </w:r>
      <w:r w:rsidR="5F07516F" w:rsidRPr="3AF3CBA2">
        <w:rPr>
          <w:rFonts w:ascii="Times New Roman" w:hAnsi="Times New Roman"/>
          <w:color w:val="000000" w:themeColor="text1"/>
          <w:lang w:eastAsia="en-US"/>
        </w:rPr>
        <w:t xml:space="preserve"> toward</w:t>
      </w:r>
      <w:r w:rsidR="00952B6F">
        <w:rPr>
          <w:rFonts w:ascii="Times New Roman" w:hAnsi="Times New Roman"/>
          <w:color w:val="000000" w:themeColor="text1"/>
          <w:lang w:eastAsia="en-US"/>
        </w:rPr>
        <w:t>s</w:t>
      </w:r>
      <w:r w:rsidR="5F07516F" w:rsidRPr="3AF3CBA2">
        <w:rPr>
          <w:rFonts w:ascii="Times New Roman" w:hAnsi="Times New Roman"/>
          <w:color w:val="000000" w:themeColor="text1"/>
          <w:lang w:eastAsia="en-US"/>
        </w:rPr>
        <w:t xml:space="preserve"> the application of resolution tools and deposit protection</w:t>
      </w:r>
      <w:r w:rsidR="5C17E815" w:rsidRPr="3AF3CBA2">
        <w:rPr>
          <w:rFonts w:ascii="Times New Roman" w:hAnsi="Times New Roman"/>
          <w:color w:val="000000" w:themeColor="text1"/>
          <w:lang w:eastAsia="en-US"/>
        </w:rPr>
        <w:t xml:space="preserve">, including facilitating </w:t>
      </w:r>
      <w:r w:rsidR="1D964A4E" w:rsidRPr="3AF3CBA2">
        <w:rPr>
          <w:rFonts w:ascii="Times New Roman" w:hAnsi="Times New Roman"/>
          <w:color w:val="000000" w:themeColor="text1"/>
          <w:lang w:eastAsia="en-US"/>
        </w:rPr>
        <w:t xml:space="preserve">a </w:t>
      </w:r>
      <w:r w:rsidR="5C17E815" w:rsidRPr="3AF3CBA2">
        <w:rPr>
          <w:rFonts w:ascii="Times New Roman" w:hAnsi="Times New Roman"/>
          <w:color w:val="000000" w:themeColor="text1"/>
          <w:lang w:eastAsia="en-US"/>
        </w:rPr>
        <w:t xml:space="preserve">market exit </w:t>
      </w:r>
      <w:r w:rsidR="00952B6F">
        <w:rPr>
          <w:rFonts w:ascii="Times New Roman" w:hAnsi="Times New Roman"/>
          <w:color w:val="000000" w:themeColor="text1"/>
          <w:lang w:eastAsia="en-US"/>
        </w:rPr>
        <w:t>for</w:t>
      </w:r>
      <w:r w:rsidR="5C17E815" w:rsidRPr="3AF3CBA2">
        <w:rPr>
          <w:rFonts w:ascii="Times New Roman" w:hAnsi="Times New Roman"/>
          <w:color w:val="000000" w:themeColor="text1"/>
          <w:lang w:eastAsia="en-US"/>
        </w:rPr>
        <w:t xml:space="preserve"> failing banks, to the benefit of financial stability, taxpayers’ </w:t>
      </w:r>
      <w:proofErr w:type="gramStart"/>
      <w:r w:rsidR="5C17E815" w:rsidRPr="3AF3CBA2">
        <w:rPr>
          <w:rFonts w:ascii="Times New Roman" w:hAnsi="Times New Roman"/>
          <w:color w:val="000000" w:themeColor="text1"/>
          <w:lang w:eastAsia="en-US"/>
        </w:rPr>
        <w:t>protection</w:t>
      </w:r>
      <w:proofErr w:type="gramEnd"/>
      <w:r w:rsidR="5C17E815" w:rsidRPr="3AF3CBA2">
        <w:rPr>
          <w:rFonts w:ascii="Times New Roman" w:hAnsi="Times New Roman"/>
          <w:color w:val="000000" w:themeColor="text1"/>
          <w:lang w:eastAsia="en-US"/>
        </w:rPr>
        <w:t xml:space="preserve"> and depositors’ confidence</w:t>
      </w:r>
      <w:bookmarkEnd w:id="1"/>
      <w:r w:rsidR="5C17E815" w:rsidRPr="3AF3CBA2">
        <w:rPr>
          <w:rFonts w:ascii="Times New Roman" w:hAnsi="Times New Roman"/>
          <w:color w:val="000000" w:themeColor="text1"/>
          <w:lang w:eastAsia="en-US"/>
        </w:rPr>
        <w:t>. The Commission remains committed to working closely with the European Parliament and the Council on these topics</w:t>
      </w:r>
      <w:r w:rsidR="7C4A0C52" w:rsidRPr="3AF3CBA2">
        <w:rPr>
          <w:rFonts w:ascii="Times New Roman" w:hAnsi="Times New Roman"/>
          <w:color w:val="000000" w:themeColor="text1"/>
          <w:lang w:eastAsia="en-US"/>
        </w:rPr>
        <w:t xml:space="preserve"> and welcomes the European Parliament’s willingness to reach an agreement on this reform promptly (</w:t>
      </w:r>
      <w:r w:rsidR="60896DE8" w:rsidRPr="3AF3CBA2">
        <w:rPr>
          <w:rFonts w:ascii="Times New Roman" w:hAnsi="Times New Roman"/>
          <w:i/>
          <w:iCs/>
          <w:color w:val="000000" w:themeColor="text1"/>
          <w:lang w:eastAsia="en-US"/>
        </w:rPr>
        <w:t>p</w:t>
      </w:r>
      <w:r w:rsidR="7C4A0C52" w:rsidRPr="3AF3CBA2">
        <w:rPr>
          <w:rFonts w:ascii="Times New Roman" w:hAnsi="Times New Roman"/>
          <w:i/>
          <w:iCs/>
          <w:color w:val="000000" w:themeColor="text1"/>
          <w:lang w:eastAsia="en-US"/>
        </w:rPr>
        <w:t>aragraph</w:t>
      </w:r>
      <w:r w:rsidR="60896DE8" w:rsidRPr="3AF3CBA2">
        <w:rPr>
          <w:rFonts w:ascii="Times New Roman" w:hAnsi="Times New Roman"/>
          <w:i/>
          <w:iCs/>
          <w:color w:val="000000" w:themeColor="text1"/>
          <w:lang w:eastAsia="en-US"/>
        </w:rPr>
        <w:t>s</w:t>
      </w:r>
      <w:r w:rsidR="7C4A0C52" w:rsidRPr="3AF3CBA2">
        <w:rPr>
          <w:rFonts w:ascii="Times New Roman" w:hAnsi="Times New Roman"/>
          <w:i/>
          <w:iCs/>
          <w:color w:val="000000" w:themeColor="text1"/>
          <w:lang w:eastAsia="en-US"/>
        </w:rPr>
        <w:t xml:space="preserve"> 37</w:t>
      </w:r>
      <w:r w:rsidR="60896DE8" w:rsidRPr="3AF3CBA2">
        <w:rPr>
          <w:rFonts w:ascii="Times New Roman" w:hAnsi="Times New Roman"/>
          <w:i/>
          <w:iCs/>
          <w:color w:val="000000" w:themeColor="text1"/>
          <w:lang w:eastAsia="en-US"/>
        </w:rPr>
        <w:t xml:space="preserve"> and 41</w:t>
      </w:r>
      <w:r w:rsidR="7C4A0C52" w:rsidRPr="3AF3CBA2">
        <w:rPr>
          <w:rFonts w:ascii="Times New Roman" w:hAnsi="Times New Roman"/>
          <w:color w:val="000000" w:themeColor="text1"/>
          <w:lang w:eastAsia="en-US"/>
        </w:rPr>
        <w:t>)</w:t>
      </w:r>
      <w:r w:rsidR="5C17E815" w:rsidRPr="3AF3CBA2">
        <w:rPr>
          <w:rFonts w:ascii="Times New Roman" w:hAnsi="Times New Roman"/>
          <w:color w:val="000000" w:themeColor="text1"/>
          <w:lang w:eastAsia="en-US"/>
        </w:rPr>
        <w:t xml:space="preserve">. </w:t>
      </w:r>
    </w:p>
    <w:p w14:paraId="2D5A59A7" w14:textId="6D580299" w:rsidR="00FE1F3F" w:rsidRPr="008569C5" w:rsidRDefault="5C17E815" w:rsidP="1B36DB7D">
      <w:pPr>
        <w:spacing w:after="120"/>
        <w:rPr>
          <w:rFonts w:ascii="Times New Roman" w:hAnsi="Times New Roman"/>
          <w:color w:val="000000" w:themeColor="text1"/>
          <w:lang w:eastAsia="en-US"/>
        </w:rPr>
      </w:pPr>
      <w:r w:rsidRPr="3AF3CBA2">
        <w:rPr>
          <w:rFonts w:ascii="Times New Roman" w:hAnsi="Times New Roman"/>
          <w:color w:val="000000" w:themeColor="text1"/>
          <w:lang w:eastAsia="en-US"/>
        </w:rPr>
        <w:t xml:space="preserve">The Commission shares the view of the European Parliament that </w:t>
      </w:r>
      <w:r w:rsidR="6F8CC116" w:rsidRPr="3AF3CBA2">
        <w:rPr>
          <w:rFonts w:ascii="Times New Roman" w:hAnsi="Times New Roman"/>
          <w:color w:val="000000" w:themeColor="text1"/>
          <w:lang w:eastAsia="en-US"/>
        </w:rPr>
        <w:t xml:space="preserve">a </w:t>
      </w:r>
      <w:r w:rsidR="50922922" w:rsidRPr="3AF3CBA2">
        <w:rPr>
          <w:rFonts w:ascii="Times New Roman" w:hAnsi="Times New Roman"/>
          <w:color w:val="000000" w:themeColor="text1"/>
          <w:lang w:eastAsia="en-US"/>
        </w:rPr>
        <w:t xml:space="preserve">loss sharing </w:t>
      </w:r>
      <w:r w:rsidR="79FDC32F" w:rsidRPr="3AF3CBA2">
        <w:rPr>
          <w:rFonts w:ascii="Times New Roman" w:hAnsi="Times New Roman"/>
          <w:color w:val="000000" w:themeColor="text1"/>
          <w:lang w:eastAsia="en-US"/>
        </w:rPr>
        <w:t>European Deposit Insurance Scheme</w:t>
      </w:r>
      <w:r w:rsidRPr="3AF3CBA2">
        <w:rPr>
          <w:rFonts w:ascii="Times New Roman" w:hAnsi="Times New Roman"/>
          <w:color w:val="000000" w:themeColor="text1"/>
          <w:lang w:eastAsia="en-US"/>
        </w:rPr>
        <w:t xml:space="preserve"> would improve protection for depositors in the EU, wherever their bank is located, and provide an additional safeguard to host Member States. It would mitigate potential risk of liquidity shortfall in national Deposit Guarantee Schemes (DGSs) and the risk of recourse to public funds. It takes note of the </w:t>
      </w:r>
      <w:r w:rsidR="50922922" w:rsidRPr="3AF3CBA2">
        <w:rPr>
          <w:rFonts w:ascii="Times New Roman" w:hAnsi="Times New Roman"/>
          <w:color w:val="000000" w:themeColor="text1"/>
          <w:lang w:eastAsia="en-US"/>
        </w:rPr>
        <w:t xml:space="preserve">work in </w:t>
      </w:r>
      <w:r w:rsidRPr="3AF3CBA2">
        <w:rPr>
          <w:rFonts w:ascii="Times New Roman" w:hAnsi="Times New Roman"/>
          <w:color w:val="000000" w:themeColor="text1"/>
          <w:lang w:eastAsia="en-US"/>
        </w:rPr>
        <w:t xml:space="preserve">the European Parliament </w:t>
      </w:r>
      <w:r w:rsidR="50922922" w:rsidRPr="3AF3CBA2">
        <w:rPr>
          <w:rFonts w:ascii="Times New Roman" w:hAnsi="Times New Roman"/>
          <w:color w:val="000000" w:themeColor="text1"/>
          <w:lang w:eastAsia="en-US"/>
        </w:rPr>
        <w:t xml:space="preserve">in view </w:t>
      </w:r>
      <w:r w:rsidR="498B9E75" w:rsidRPr="3AF3CBA2">
        <w:rPr>
          <w:rFonts w:ascii="Times New Roman" w:hAnsi="Times New Roman"/>
          <w:color w:val="000000" w:themeColor="text1"/>
          <w:lang w:eastAsia="en-US"/>
        </w:rPr>
        <w:t xml:space="preserve">of </w:t>
      </w:r>
      <w:r w:rsidRPr="3AF3CBA2">
        <w:rPr>
          <w:rFonts w:ascii="Times New Roman" w:hAnsi="Times New Roman"/>
          <w:color w:val="000000" w:themeColor="text1"/>
          <w:lang w:eastAsia="en-US"/>
        </w:rPr>
        <w:t>resum</w:t>
      </w:r>
      <w:r w:rsidR="74010E52" w:rsidRPr="3AF3CBA2">
        <w:rPr>
          <w:rFonts w:ascii="Times New Roman" w:hAnsi="Times New Roman"/>
          <w:color w:val="000000" w:themeColor="text1"/>
          <w:lang w:eastAsia="en-US"/>
        </w:rPr>
        <w:t xml:space="preserve">ing </w:t>
      </w:r>
      <w:r w:rsidRPr="3AF3CBA2">
        <w:rPr>
          <w:rFonts w:ascii="Times New Roman" w:hAnsi="Times New Roman"/>
          <w:color w:val="000000" w:themeColor="text1"/>
          <w:lang w:eastAsia="en-US"/>
        </w:rPr>
        <w:t>its work</w:t>
      </w:r>
      <w:r w:rsidR="59D25678" w:rsidRPr="3AF3CBA2">
        <w:rPr>
          <w:rFonts w:ascii="Times New Roman" w:hAnsi="Times New Roman"/>
          <w:color w:val="000000" w:themeColor="text1"/>
          <w:lang w:eastAsia="en-US"/>
        </w:rPr>
        <w:t xml:space="preserve"> </w:t>
      </w:r>
      <w:r w:rsidR="1290AB1C" w:rsidRPr="3AF3CBA2">
        <w:rPr>
          <w:rFonts w:ascii="Times New Roman" w:hAnsi="Times New Roman"/>
          <w:color w:val="000000" w:themeColor="text1"/>
          <w:lang w:eastAsia="en-US"/>
        </w:rPr>
        <w:t xml:space="preserve">on </w:t>
      </w:r>
      <w:r w:rsidR="50922922" w:rsidRPr="3AF3CBA2">
        <w:rPr>
          <w:rFonts w:ascii="Times New Roman" w:hAnsi="Times New Roman"/>
          <w:color w:val="000000" w:themeColor="text1"/>
          <w:lang w:eastAsia="en-US"/>
        </w:rPr>
        <w:t>the gradual process of pooling liquidity and building the E</w:t>
      </w:r>
      <w:r w:rsidR="59D25678" w:rsidRPr="3AF3CBA2">
        <w:rPr>
          <w:rFonts w:ascii="Times New Roman" w:hAnsi="Times New Roman"/>
          <w:color w:val="000000" w:themeColor="text1"/>
          <w:lang w:eastAsia="en-US"/>
        </w:rPr>
        <w:t>U</w:t>
      </w:r>
      <w:r w:rsidR="50922922" w:rsidRPr="3AF3CBA2">
        <w:rPr>
          <w:rFonts w:ascii="Times New Roman" w:hAnsi="Times New Roman"/>
          <w:color w:val="000000" w:themeColor="text1"/>
          <w:lang w:eastAsia="en-US"/>
        </w:rPr>
        <w:t xml:space="preserve"> fund</w:t>
      </w:r>
      <w:r w:rsidRPr="3AF3CBA2">
        <w:rPr>
          <w:rFonts w:ascii="Times New Roman" w:hAnsi="Times New Roman"/>
          <w:color w:val="000000" w:themeColor="text1"/>
          <w:lang w:eastAsia="en-US"/>
        </w:rPr>
        <w:t xml:space="preserve">. The Commission </w:t>
      </w:r>
      <w:r w:rsidR="0D82A5E4" w:rsidRPr="3AF3CBA2">
        <w:rPr>
          <w:rFonts w:ascii="Times New Roman" w:hAnsi="Times New Roman"/>
          <w:color w:val="000000" w:themeColor="text1"/>
          <w:lang w:eastAsia="en-US"/>
        </w:rPr>
        <w:t xml:space="preserve">also shares the </w:t>
      </w:r>
      <w:r w:rsidR="3BE9CBDD" w:rsidRPr="3AF3CBA2">
        <w:rPr>
          <w:rFonts w:ascii="Times New Roman" w:hAnsi="Times New Roman"/>
          <w:color w:val="000000" w:themeColor="text1"/>
          <w:lang w:eastAsia="en-US"/>
        </w:rPr>
        <w:t xml:space="preserve">expectation </w:t>
      </w:r>
      <w:r w:rsidRPr="3AF3CBA2">
        <w:rPr>
          <w:rFonts w:ascii="Times New Roman" w:hAnsi="Times New Roman"/>
          <w:color w:val="000000" w:themeColor="text1"/>
          <w:lang w:eastAsia="en-US"/>
        </w:rPr>
        <w:t xml:space="preserve">that the </w:t>
      </w:r>
      <w:r w:rsidR="00C925C0">
        <w:rPr>
          <w:rFonts w:ascii="Times New Roman" w:hAnsi="Times New Roman"/>
          <w:color w:val="000000" w:themeColor="text1"/>
          <w:lang w:eastAsia="en-US"/>
        </w:rPr>
        <w:t xml:space="preserve">prompt </w:t>
      </w:r>
      <w:r w:rsidRPr="3AF3CBA2">
        <w:rPr>
          <w:rFonts w:ascii="Times New Roman" w:hAnsi="Times New Roman"/>
          <w:color w:val="000000" w:themeColor="text1"/>
          <w:lang w:eastAsia="en-US"/>
        </w:rPr>
        <w:t xml:space="preserve">adoption of the Crisis Management and Deposit Insurance framework will pave the way for further progress on Banking Union completion </w:t>
      </w:r>
      <w:r w:rsidRPr="3AF3CBA2">
        <w:rPr>
          <w:rFonts w:ascii="Times New Roman" w:hAnsi="Times New Roman"/>
          <w:i/>
          <w:iCs/>
          <w:color w:val="000000" w:themeColor="text1"/>
          <w:lang w:eastAsia="en-US"/>
        </w:rPr>
        <w:t>(paragraphs 4</w:t>
      </w:r>
      <w:r w:rsidR="0D82A5E4" w:rsidRPr="3AF3CBA2">
        <w:rPr>
          <w:rFonts w:ascii="Times New Roman" w:hAnsi="Times New Roman"/>
          <w:i/>
          <w:iCs/>
          <w:color w:val="000000" w:themeColor="text1"/>
          <w:lang w:eastAsia="en-US"/>
        </w:rPr>
        <w:t>1</w:t>
      </w:r>
      <w:r w:rsidR="00E053E4">
        <w:rPr>
          <w:rFonts w:ascii="Times New Roman" w:hAnsi="Times New Roman"/>
          <w:i/>
          <w:iCs/>
          <w:color w:val="000000" w:themeColor="text1"/>
          <w:lang w:eastAsia="en-US"/>
        </w:rPr>
        <w:t xml:space="preserve"> to</w:t>
      </w:r>
      <w:r w:rsidR="0D82A5E4" w:rsidRPr="3AF3CBA2">
        <w:rPr>
          <w:rFonts w:ascii="Times New Roman" w:hAnsi="Times New Roman"/>
          <w:i/>
          <w:iCs/>
          <w:color w:val="000000" w:themeColor="text1"/>
          <w:lang w:eastAsia="en-US"/>
        </w:rPr>
        <w:t xml:space="preserve"> </w:t>
      </w:r>
      <w:r w:rsidRPr="3AF3CBA2">
        <w:rPr>
          <w:rFonts w:ascii="Times New Roman" w:hAnsi="Times New Roman"/>
          <w:i/>
          <w:iCs/>
          <w:color w:val="000000" w:themeColor="text1"/>
          <w:lang w:eastAsia="en-US"/>
        </w:rPr>
        <w:t>47</w:t>
      </w:r>
      <w:r w:rsidRPr="3AF3CBA2">
        <w:rPr>
          <w:rFonts w:ascii="Times New Roman" w:hAnsi="Times New Roman"/>
          <w:color w:val="000000" w:themeColor="text1"/>
          <w:lang w:eastAsia="en-US"/>
        </w:rPr>
        <w:t>).</w:t>
      </w:r>
    </w:p>
    <w:sectPr w:rsidR="00FE1F3F" w:rsidRPr="008569C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3682" w14:textId="77777777" w:rsidR="00873531" w:rsidRDefault="00873531" w:rsidP="007D7E81">
      <w:pPr>
        <w:spacing w:after="0"/>
      </w:pPr>
      <w:r>
        <w:separator/>
      </w:r>
    </w:p>
  </w:endnote>
  <w:endnote w:type="continuationSeparator" w:id="0">
    <w:p w14:paraId="0F797B77" w14:textId="77777777" w:rsidR="00873531" w:rsidRDefault="00873531" w:rsidP="007D7E81">
      <w:pPr>
        <w:spacing w:after="0"/>
      </w:pPr>
      <w:r>
        <w:continuationSeparator/>
      </w:r>
    </w:p>
  </w:endnote>
  <w:endnote w:type="continuationNotice" w:id="1">
    <w:p w14:paraId="1C2683D2" w14:textId="77777777" w:rsidR="00873531" w:rsidRDefault="008735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086750"/>
      <w:docPartObj>
        <w:docPartGallery w:val="Page Numbers (Bottom of Page)"/>
        <w:docPartUnique/>
      </w:docPartObj>
    </w:sdtPr>
    <w:sdtEndPr>
      <w:rPr>
        <w:noProof/>
      </w:rPr>
    </w:sdtEndPr>
    <w:sdtContent>
      <w:p w14:paraId="115BA7BA" w14:textId="2327A4E9" w:rsidR="00202E9F" w:rsidRDefault="00202E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2B84A0" w14:textId="77777777" w:rsidR="00202E9F" w:rsidRDefault="00202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55C4" w14:textId="77777777" w:rsidR="00873531" w:rsidRDefault="00873531" w:rsidP="007D7E81">
      <w:pPr>
        <w:spacing w:after="0"/>
      </w:pPr>
      <w:r>
        <w:separator/>
      </w:r>
    </w:p>
  </w:footnote>
  <w:footnote w:type="continuationSeparator" w:id="0">
    <w:p w14:paraId="60A1A333" w14:textId="77777777" w:rsidR="00873531" w:rsidRDefault="00873531" w:rsidP="007D7E81">
      <w:pPr>
        <w:spacing w:after="0"/>
      </w:pPr>
      <w:r>
        <w:continuationSeparator/>
      </w:r>
    </w:p>
  </w:footnote>
  <w:footnote w:type="continuationNotice" w:id="1">
    <w:p w14:paraId="510CFFF4" w14:textId="77777777" w:rsidR="00873531" w:rsidRDefault="00873531">
      <w:pPr>
        <w:spacing w:after="0"/>
      </w:pPr>
    </w:p>
  </w:footnote>
  <w:footnote w:id="2">
    <w:p w14:paraId="145367FC" w14:textId="08F02446" w:rsidR="009603D6" w:rsidRPr="002A50EF" w:rsidRDefault="009603D6" w:rsidP="006804E6">
      <w:pPr>
        <w:pStyle w:val="FootnoteText"/>
        <w:ind w:left="357" w:hanging="357"/>
        <w:jc w:val="left"/>
        <w:rPr>
          <w:rFonts w:ascii="Times New Roman" w:hAnsi="Times New Roman"/>
          <w:lang w:val="en-US"/>
        </w:rPr>
      </w:pPr>
      <w:r w:rsidRPr="002A50EF">
        <w:rPr>
          <w:rStyle w:val="FootnoteReference"/>
          <w:rFonts w:ascii="Times New Roman" w:hAnsi="Times New Roman"/>
        </w:rPr>
        <w:footnoteRef/>
      </w:r>
      <w:r w:rsidRPr="002A50EF">
        <w:rPr>
          <w:rFonts w:ascii="Times New Roman" w:hAnsi="Times New Roman"/>
        </w:rPr>
        <w:t xml:space="preserve"> </w:t>
      </w:r>
      <w:r w:rsidR="006804E6">
        <w:rPr>
          <w:rFonts w:ascii="Times New Roman" w:hAnsi="Times New Roman"/>
        </w:rPr>
        <w:tab/>
      </w:r>
      <w:hyperlink r:id="rId1" w:history="1">
        <w:r w:rsidR="006804E6" w:rsidRPr="00016B33">
          <w:rPr>
            <w:rStyle w:val="Hyperlink"/>
            <w:rFonts w:ascii="Times New Roman" w:hAnsi="Times New Roman"/>
          </w:rPr>
          <w:t>https://www.eba.europa.eu/sites/default/files/2024-01/8039a4ea-6e61-45a9-a746-058fd070c34a/EBA%20Dashboard%20-%20Q3%202023.pdf</w:t>
        </w:r>
      </w:hyperlink>
      <w:r w:rsidR="002E2D92">
        <w:rPr>
          <w:rFonts w:ascii="Times New Roman" w:hAnsi="Times New Roman"/>
        </w:rPr>
        <w:t xml:space="preserve"> </w:t>
      </w:r>
    </w:p>
  </w:footnote>
  <w:footnote w:id="3">
    <w:p w14:paraId="196160A8" w14:textId="7FAC5982" w:rsidR="3182E897" w:rsidRPr="002A50EF" w:rsidRDefault="3182E897" w:rsidP="006804E6">
      <w:pPr>
        <w:pStyle w:val="FootnoteText"/>
        <w:ind w:left="357" w:hanging="357"/>
        <w:rPr>
          <w:lang w:val="fr-BE"/>
        </w:rPr>
      </w:pPr>
      <w:r w:rsidRPr="3182E897">
        <w:rPr>
          <w:rStyle w:val="FootnoteReference"/>
        </w:rPr>
        <w:footnoteRef/>
      </w:r>
      <w:r w:rsidRPr="002A50EF">
        <w:rPr>
          <w:lang w:val="fr-BE"/>
        </w:rPr>
        <w:t xml:space="preserve"> </w:t>
      </w:r>
      <w:r w:rsidR="006804E6">
        <w:rPr>
          <w:lang w:val="fr-BE"/>
        </w:rPr>
        <w:tab/>
      </w:r>
      <w:hyperlink r:id="rId2" w:history="1">
        <w:r w:rsidRPr="002A50EF">
          <w:rPr>
            <w:rStyle w:val="Hyperlink"/>
            <w:rFonts w:ascii="Segoe UI" w:eastAsia="Segoe UI" w:hAnsi="Segoe UI" w:cs="Segoe UI"/>
            <w:sz w:val="18"/>
            <w:szCs w:val="18"/>
            <w:lang w:val="fr-BE"/>
          </w:rPr>
          <w:t>eur-lex.europa.eu/legal-content/EN/TXT/PDF/?uri=CELEX:52024DC0021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496"/>
    <w:multiLevelType w:val="hybridMultilevel"/>
    <w:tmpl w:val="F6665C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F9015B4"/>
    <w:multiLevelType w:val="hybridMultilevel"/>
    <w:tmpl w:val="E13AFBE6"/>
    <w:lvl w:ilvl="0" w:tplc="7E32D224">
      <w:start w:val="1"/>
      <w:numFmt w:val="decimal"/>
      <w:lvlText w:val="%1."/>
      <w:lvlJc w:val="left"/>
      <w:pPr>
        <w:ind w:left="720" w:hanging="360"/>
      </w:pPr>
      <w:rPr>
        <w:b/>
      </w:rPr>
    </w:lvl>
    <w:lvl w:ilvl="1" w:tplc="5EAECAA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844B3"/>
    <w:multiLevelType w:val="hybridMultilevel"/>
    <w:tmpl w:val="B77EE222"/>
    <w:lvl w:ilvl="0" w:tplc="C55A9DFA">
      <w:start w:val="1"/>
      <w:numFmt w:val="decimal"/>
      <w:lvlText w:val="%1."/>
      <w:lvlJc w:val="left"/>
      <w:pPr>
        <w:ind w:left="720" w:hanging="360"/>
      </w:pPr>
    </w:lvl>
    <w:lvl w:ilvl="1" w:tplc="F14EEF2C">
      <w:start w:val="1"/>
      <w:numFmt w:val="decimal"/>
      <w:lvlText w:val="%2."/>
      <w:lvlJc w:val="left"/>
      <w:pPr>
        <w:ind w:left="720" w:hanging="360"/>
      </w:pPr>
    </w:lvl>
    <w:lvl w:ilvl="2" w:tplc="20BC3664">
      <w:start w:val="1"/>
      <w:numFmt w:val="decimal"/>
      <w:lvlText w:val="%3."/>
      <w:lvlJc w:val="left"/>
      <w:pPr>
        <w:ind w:left="720" w:hanging="360"/>
      </w:pPr>
    </w:lvl>
    <w:lvl w:ilvl="3" w:tplc="291EB64C">
      <w:start w:val="1"/>
      <w:numFmt w:val="decimal"/>
      <w:lvlText w:val="%4."/>
      <w:lvlJc w:val="left"/>
      <w:pPr>
        <w:ind w:left="720" w:hanging="360"/>
      </w:pPr>
    </w:lvl>
    <w:lvl w:ilvl="4" w:tplc="1F765F80">
      <w:start w:val="1"/>
      <w:numFmt w:val="decimal"/>
      <w:lvlText w:val="%5."/>
      <w:lvlJc w:val="left"/>
      <w:pPr>
        <w:ind w:left="720" w:hanging="360"/>
      </w:pPr>
    </w:lvl>
    <w:lvl w:ilvl="5" w:tplc="22BCEEDC">
      <w:start w:val="1"/>
      <w:numFmt w:val="decimal"/>
      <w:lvlText w:val="%6."/>
      <w:lvlJc w:val="left"/>
      <w:pPr>
        <w:ind w:left="720" w:hanging="360"/>
      </w:pPr>
    </w:lvl>
    <w:lvl w:ilvl="6" w:tplc="2DA8FA7E">
      <w:start w:val="1"/>
      <w:numFmt w:val="decimal"/>
      <w:lvlText w:val="%7."/>
      <w:lvlJc w:val="left"/>
      <w:pPr>
        <w:ind w:left="720" w:hanging="360"/>
      </w:pPr>
    </w:lvl>
    <w:lvl w:ilvl="7" w:tplc="5B1CD118">
      <w:start w:val="1"/>
      <w:numFmt w:val="decimal"/>
      <w:lvlText w:val="%8."/>
      <w:lvlJc w:val="left"/>
      <w:pPr>
        <w:ind w:left="720" w:hanging="360"/>
      </w:pPr>
    </w:lvl>
    <w:lvl w:ilvl="8" w:tplc="39C4718A">
      <w:start w:val="1"/>
      <w:numFmt w:val="decimal"/>
      <w:lvlText w:val="%9."/>
      <w:lvlJc w:val="left"/>
      <w:pPr>
        <w:ind w:left="720" w:hanging="360"/>
      </w:pPr>
    </w:lvl>
  </w:abstractNum>
  <w:num w:numId="1" w16cid:durableId="433980961">
    <w:abstractNumId w:val="1"/>
  </w:num>
  <w:num w:numId="2" w16cid:durableId="574171070">
    <w:abstractNumId w:val="2"/>
  </w:num>
  <w:num w:numId="3" w16cid:durableId="111637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4C579F"/>
    <w:rsid w:val="00000B44"/>
    <w:rsid w:val="00001711"/>
    <w:rsid w:val="0000767C"/>
    <w:rsid w:val="00007B52"/>
    <w:rsid w:val="00014E4C"/>
    <w:rsid w:val="000151C0"/>
    <w:rsid w:val="00016509"/>
    <w:rsid w:val="00020CDC"/>
    <w:rsid w:val="00023685"/>
    <w:rsid w:val="00023CD3"/>
    <w:rsid w:val="000266F4"/>
    <w:rsid w:val="00031F84"/>
    <w:rsid w:val="000356C8"/>
    <w:rsid w:val="00036716"/>
    <w:rsid w:val="0003757D"/>
    <w:rsid w:val="0004515A"/>
    <w:rsid w:val="00045310"/>
    <w:rsid w:val="000454A7"/>
    <w:rsid w:val="0004619E"/>
    <w:rsid w:val="000509D7"/>
    <w:rsid w:val="00053E9F"/>
    <w:rsid w:val="0005566C"/>
    <w:rsid w:val="000557F7"/>
    <w:rsid w:val="00055AE2"/>
    <w:rsid w:val="00060D27"/>
    <w:rsid w:val="00062A88"/>
    <w:rsid w:val="0006318F"/>
    <w:rsid w:val="000643C8"/>
    <w:rsid w:val="000653DE"/>
    <w:rsid w:val="000664AB"/>
    <w:rsid w:val="00067749"/>
    <w:rsid w:val="00067D60"/>
    <w:rsid w:val="00071926"/>
    <w:rsid w:val="000743BE"/>
    <w:rsid w:val="00080743"/>
    <w:rsid w:val="00081CAB"/>
    <w:rsid w:val="00085738"/>
    <w:rsid w:val="00086DB6"/>
    <w:rsid w:val="00090934"/>
    <w:rsid w:val="00090FA7"/>
    <w:rsid w:val="00092054"/>
    <w:rsid w:val="00092201"/>
    <w:rsid w:val="0009263E"/>
    <w:rsid w:val="000928B6"/>
    <w:rsid w:val="00094612"/>
    <w:rsid w:val="0009601B"/>
    <w:rsid w:val="000972BC"/>
    <w:rsid w:val="000A1253"/>
    <w:rsid w:val="000A3483"/>
    <w:rsid w:val="000A3DA8"/>
    <w:rsid w:val="000A5747"/>
    <w:rsid w:val="000A7204"/>
    <w:rsid w:val="000B2EC5"/>
    <w:rsid w:val="000B3067"/>
    <w:rsid w:val="000B4B93"/>
    <w:rsid w:val="000C066A"/>
    <w:rsid w:val="000C0A98"/>
    <w:rsid w:val="000C1974"/>
    <w:rsid w:val="000C2830"/>
    <w:rsid w:val="000C322D"/>
    <w:rsid w:val="000C3559"/>
    <w:rsid w:val="000C5568"/>
    <w:rsid w:val="000C6545"/>
    <w:rsid w:val="000C678D"/>
    <w:rsid w:val="000D03DF"/>
    <w:rsid w:val="000D10F6"/>
    <w:rsid w:val="000D1763"/>
    <w:rsid w:val="000D2080"/>
    <w:rsid w:val="000D35EB"/>
    <w:rsid w:val="000D54E3"/>
    <w:rsid w:val="000D6466"/>
    <w:rsid w:val="000D64FA"/>
    <w:rsid w:val="000E0BCE"/>
    <w:rsid w:val="000E0E01"/>
    <w:rsid w:val="000E23D1"/>
    <w:rsid w:val="000E276C"/>
    <w:rsid w:val="000E41EB"/>
    <w:rsid w:val="000E5B45"/>
    <w:rsid w:val="000E7E81"/>
    <w:rsid w:val="000F0580"/>
    <w:rsid w:val="000F06B9"/>
    <w:rsid w:val="000F113E"/>
    <w:rsid w:val="000F22AB"/>
    <w:rsid w:val="000F23B7"/>
    <w:rsid w:val="000F307E"/>
    <w:rsid w:val="000F4C9D"/>
    <w:rsid w:val="000F6E1B"/>
    <w:rsid w:val="000F6F6E"/>
    <w:rsid w:val="000F7451"/>
    <w:rsid w:val="000F7F23"/>
    <w:rsid w:val="001003B5"/>
    <w:rsid w:val="0010047C"/>
    <w:rsid w:val="00101A61"/>
    <w:rsid w:val="00102E19"/>
    <w:rsid w:val="00103302"/>
    <w:rsid w:val="00103A9E"/>
    <w:rsid w:val="001049CD"/>
    <w:rsid w:val="00106C67"/>
    <w:rsid w:val="00111900"/>
    <w:rsid w:val="0011268F"/>
    <w:rsid w:val="00114EB0"/>
    <w:rsid w:val="001151A9"/>
    <w:rsid w:val="001205AA"/>
    <w:rsid w:val="00120A62"/>
    <w:rsid w:val="001217C1"/>
    <w:rsid w:val="001247BC"/>
    <w:rsid w:val="00125E86"/>
    <w:rsid w:val="0012698C"/>
    <w:rsid w:val="0012767B"/>
    <w:rsid w:val="00132B72"/>
    <w:rsid w:val="001331C2"/>
    <w:rsid w:val="00134A75"/>
    <w:rsid w:val="00134EEC"/>
    <w:rsid w:val="00135BD1"/>
    <w:rsid w:val="001408F0"/>
    <w:rsid w:val="00141FAD"/>
    <w:rsid w:val="00143A15"/>
    <w:rsid w:val="001444D8"/>
    <w:rsid w:val="0014737C"/>
    <w:rsid w:val="00150A94"/>
    <w:rsid w:val="00150D7C"/>
    <w:rsid w:val="001528BE"/>
    <w:rsid w:val="001541E1"/>
    <w:rsid w:val="001559C9"/>
    <w:rsid w:val="00157243"/>
    <w:rsid w:val="00157741"/>
    <w:rsid w:val="001658E4"/>
    <w:rsid w:val="00167132"/>
    <w:rsid w:val="00171EE0"/>
    <w:rsid w:val="0017352B"/>
    <w:rsid w:val="00175084"/>
    <w:rsid w:val="001801C0"/>
    <w:rsid w:val="00180294"/>
    <w:rsid w:val="00181DF1"/>
    <w:rsid w:val="0018368A"/>
    <w:rsid w:val="001846F5"/>
    <w:rsid w:val="001904BE"/>
    <w:rsid w:val="00190C3E"/>
    <w:rsid w:val="00190FCF"/>
    <w:rsid w:val="001918F3"/>
    <w:rsid w:val="00191A26"/>
    <w:rsid w:val="001928A3"/>
    <w:rsid w:val="00195B52"/>
    <w:rsid w:val="001A31E7"/>
    <w:rsid w:val="001A62F1"/>
    <w:rsid w:val="001A7081"/>
    <w:rsid w:val="001B0AC2"/>
    <w:rsid w:val="001B2DC1"/>
    <w:rsid w:val="001B4155"/>
    <w:rsid w:val="001B46E8"/>
    <w:rsid w:val="001B6CAC"/>
    <w:rsid w:val="001B6CD3"/>
    <w:rsid w:val="001B7877"/>
    <w:rsid w:val="001C155D"/>
    <w:rsid w:val="001C1F44"/>
    <w:rsid w:val="001C3B5A"/>
    <w:rsid w:val="001C48E7"/>
    <w:rsid w:val="001C673A"/>
    <w:rsid w:val="001D20DF"/>
    <w:rsid w:val="001D3075"/>
    <w:rsid w:val="001D3C18"/>
    <w:rsid w:val="001D4928"/>
    <w:rsid w:val="001D5574"/>
    <w:rsid w:val="001D5FEE"/>
    <w:rsid w:val="001D7380"/>
    <w:rsid w:val="001E2957"/>
    <w:rsid w:val="001E39A8"/>
    <w:rsid w:val="001E5709"/>
    <w:rsid w:val="001F10B7"/>
    <w:rsid w:val="001F318A"/>
    <w:rsid w:val="001F3880"/>
    <w:rsid w:val="001F6081"/>
    <w:rsid w:val="001F64E0"/>
    <w:rsid w:val="00201B3D"/>
    <w:rsid w:val="00202E9F"/>
    <w:rsid w:val="00203197"/>
    <w:rsid w:val="00203D93"/>
    <w:rsid w:val="00207400"/>
    <w:rsid w:val="00212220"/>
    <w:rsid w:val="0021433E"/>
    <w:rsid w:val="002173A7"/>
    <w:rsid w:val="00220C44"/>
    <w:rsid w:val="00224ECD"/>
    <w:rsid w:val="00225B3B"/>
    <w:rsid w:val="00234520"/>
    <w:rsid w:val="002350A0"/>
    <w:rsid w:val="0023542F"/>
    <w:rsid w:val="00235DB3"/>
    <w:rsid w:val="00235F45"/>
    <w:rsid w:val="00236A2C"/>
    <w:rsid w:val="00240220"/>
    <w:rsid w:val="00241DED"/>
    <w:rsid w:val="0024317F"/>
    <w:rsid w:val="00244519"/>
    <w:rsid w:val="00245EA4"/>
    <w:rsid w:val="002502CF"/>
    <w:rsid w:val="00252687"/>
    <w:rsid w:val="00255E8B"/>
    <w:rsid w:val="00256037"/>
    <w:rsid w:val="002602EA"/>
    <w:rsid w:val="002607C6"/>
    <w:rsid w:val="00260B73"/>
    <w:rsid w:val="00260DC1"/>
    <w:rsid w:val="00262456"/>
    <w:rsid w:val="002625DC"/>
    <w:rsid w:val="00263947"/>
    <w:rsid w:val="002639B0"/>
    <w:rsid w:val="002641F7"/>
    <w:rsid w:val="0027238E"/>
    <w:rsid w:val="00272C2D"/>
    <w:rsid w:val="002736A3"/>
    <w:rsid w:val="0027425A"/>
    <w:rsid w:val="00275815"/>
    <w:rsid w:val="0027671A"/>
    <w:rsid w:val="0027682D"/>
    <w:rsid w:val="00277518"/>
    <w:rsid w:val="00277947"/>
    <w:rsid w:val="00281658"/>
    <w:rsid w:val="002837A8"/>
    <w:rsid w:val="0028398F"/>
    <w:rsid w:val="002847ED"/>
    <w:rsid w:val="00286DC9"/>
    <w:rsid w:val="002908F5"/>
    <w:rsid w:val="00294598"/>
    <w:rsid w:val="002948FF"/>
    <w:rsid w:val="00295489"/>
    <w:rsid w:val="00296C71"/>
    <w:rsid w:val="00296F06"/>
    <w:rsid w:val="002977FC"/>
    <w:rsid w:val="002A14A0"/>
    <w:rsid w:val="002A2228"/>
    <w:rsid w:val="002A22D7"/>
    <w:rsid w:val="002A3594"/>
    <w:rsid w:val="002A4D17"/>
    <w:rsid w:val="002A50EF"/>
    <w:rsid w:val="002B0A17"/>
    <w:rsid w:val="002B11C0"/>
    <w:rsid w:val="002B2470"/>
    <w:rsid w:val="002B3B2E"/>
    <w:rsid w:val="002B423E"/>
    <w:rsid w:val="002B437E"/>
    <w:rsid w:val="002B4E08"/>
    <w:rsid w:val="002B5DBC"/>
    <w:rsid w:val="002B7595"/>
    <w:rsid w:val="002B795F"/>
    <w:rsid w:val="002B7E85"/>
    <w:rsid w:val="002C0E8F"/>
    <w:rsid w:val="002C1D6D"/>
    <w:rsid w:val="002C24FA"/>
    <w:rsid w:val="002D47AC"/>
    <w:rsid w:val="002D55BC"/>
    <w:rsid w:val="002D5E7F"/>
    <w:rsid w:val="002D6B05"/>
    <w:rsid w:val="002DEF1C"/>
    <w:rsid w:val="002E00C1"/>
    <w:rsid w:val="002E02D7"/>
    <w:rsid w:val="002E1FA1"/>
    <w:rsid w:val="002E26C9"/>
    <w:rsid w:val="002E292A"/>
    <w:rsid w:val="002E2D09"/>
    <w:rsid w:val="002E2D92"/>
    <w:rsid w:val="002E2F1C"/>
    <w:rsid w:val="002E3E67"/>
    <w:rsid w:val="002E4C3D"/>
    <w:rsid w:val="002E4D50"/>
    <w:rsid w:val="002E54F0"/>
    <w:rsid w:val="002E6629"/>
    <w:rsid w:val="002E677F"/>
    <w:rsid w:val="002E7499"/>
    <w:rsid w:val="002F13E2"/>
    <w:rsid w:val="002F1C27"/>
    <w:rsid w:val="002F5490"/>
    <w:rsid w:val="00304BA0"/>
    <w:rsid w:val="00313741"/>
    <w:rsid w:val="003148A0"/>
    <w:rsid w:val="00321407"/>
    <w:rsid w:val="003216A5"/>
    <w:rsid w:val="003243B4"/>
    <w:rsid w:val="00325A0C"/>
    <w:rsid w:val="00327269"/>
    <w:rsid w:val="0033069A"/>
    <w:rsid w:val="0033249B"/>
    <w:rsid w:val="003330B7"/>
    <w:rsid w:val="00334050"/>
    <w:rsid w:val="00337251"/>
    <w:rsid w:val="00340A7B"/>
    <w:rsid w:val="00342CBD"/>
    <w:rsid w:val="00346406"/>
    <w:rsid w:val="00347386"/>
    <w:rsid w:val="00347412"/>
    <w:rsid w:val="00347C95"/>
    <w:rsid w:val="003510BD"/>
    <w:rsid w:val="003518D1"/>
    <w:rsid w:val="0035356F"/>
    <w:rsid w:val="00353DF1"/>
    <w:rsid w:val="00354709"/>
    <w:rsid w:val="003550FA"/>
    <w:rsid w:val="003557A6"/>
    <w:rsid w:val="00356970"/>
    <w:rsid w:val="0035785F"/>
    <w:rsid w:val="00361637"/>
    <w:rsid w:val="0036395B"/>
    <w:rsid w:val="00363A08"/>
    <w:rsid w:val="00364F53"/>
    <w:rsid w:val="00365C0B"/>
    <w:rsid w:val="00366CA4"/>
    <w:rsid w:val="003671B5"/>
    <w:rsid w:val="00371B37"/>
    <w:rsid w:val="00373458"/>
    <w:rsid w:val="00376811"/>
    <w:rsid w:val="0037701A"/>
    <w:rsid w:val="00380086"/>
    <w:rsid w:val="003808FD"/>
    <w:rsid w:val="00381DB7"/>
    <w:rsid w:val="00387CD2"/>
    <w:rsid w:val="00390C16"/>
    <w:rsid w:val="00394768"/>
    <w:rsid w:val="00394C62"/>
    <w:rsid w:val="00395BE7"/>
    <w:rsid w:val="00395C76"/>
    <w:rsid w:val="00396C70"/>
    <w:rsid w:val="003974F0"/>
    <w:rsid w:val="00397D1E"/>
    <w:rsid w:val="003A0842"/>
    <w:rsid w:val="003A330A"/>
    <w:rsid w:val="003A37F6"/>
    <w:rsid w:val="003A56A6"/>
    <w:rsid w:val="003B0885"/>
    <w:rsid w:val="003B091B"/>
    <w:rsid w:val="003B26D0"/>
    <w:rsid w:val="003B389A"/>
    <w:rsid w:val="003B5DE4"/>
    <w:rsid w:val="003B72E4"/>
    <w:rsid w:val="003C3AF4"/>
    <w:rsid w:val="003C55C7"/>
    <w:rsid w:val="003C75A7"/>
    <w:rsid w:val="003D039D"/>
    <w:rsid w:val="003D1D46"/>
    <w:rsid w:val="003D2736"/>
    <w:rsid w:val="003D2828"/>
    <w:rsid w:val="003D3DBF"/>
    <w:rsid w:val="003D3F91"/>
    <w:rsid w:val="003E0679"/>
    <w:rsid w:val="003E2179"/>
    <w:rsid w:val="003E5A6E"/>
    <w:rsid w:val="003E7566"/>
    <w:rsid w:val="003F016A"/>
    <w:rsid w:val="003F028C"/>
    <w:rsid w:val="003F12A5"/>
    <w:rsid w:val="003F1675"/>
    <w:rsid w:val="003F34CA"/>
    <w:rsid w:val="003F65D2"/>
    <w:rsid w:val="00400308"/>
    <w:rsid w:val="004027B5"/>
    <w:rsid w:val="00406405"/>
    <w:rsid w:val="00411538"/>
    <w:rsid w:val="00411F07"/>
    <w:rsid w:val="00411F9C"/>
    <w:rsid w:val="004143BA"/>
    <w:rsid w:val="0041516E"/>
    <w:rsid w:val="004156A1"/>
    <w:rsid w:val="00416C95"/>
    <w:rsid w:val="0041788C"/>
    <w:rsid w:val="00421A4F"/>
    <w:rsid w:val="00422AF3"/>
    <w:rsid w:val="00423E09"/>
    <w:rsid w:val="00424A94"/>
    <w:rsid w:val="004250BF"/>
    <w:rsid w:val="00425D47"/>
    <w:rsid w:val="004270E3"/>
    <w:rsid w:val="00427E2C"/>
    <w:rsid w:val="00427E78"/>
    <w:rsid w:val="0043044E"/>
    <w:rsid w:val="00430AD0"/>
    <w:rsid w:val="00432387"/>
    <w:rsid w:val="004331AB"/>
    <w:rsid w:val="00433938"/>
    <w:rsid w:val="00435EF1"/>
    <w:rsid w:val="0043625E"/>
    <w:rsid w:val="00437F62"/>
    <w:rsid w:val="00440B08"/>
    <w:rsid w:val="00441838"/>
    <w:rsid w:val="00441FD1"/>
    <w:rsid w:val="00442065"/>
    <w:rsid w:val="004429B2"/>
    <w:rsid w:val="00443BAB"/>
    <w:rsid w:val="00446719"/>
    <w:rsid w:val="00447997"/>
    <w:rsid w:val="0045134F"/>
    <w:rsid w:val="00451D2C"/>
    <w:rsid w:val="00451E60"/>
    <w:rsid w:val="00452257"/>
    <w:rsid w:val="00453201"/>
    <w:rsid w:val="0045346B"/>
    <w:rsid w:val="00453B69"/>
    <w:rsid w:val="00454408"/>
    <w:rsid w:val="00454644"/>
    <w:rsid w:val="0045519A"/>
    <w:rsid w:val="00456BD6"/>
    <w:rsid w:val="00456C7B"/>
    <w:rsid w:val="00461D13"/>
    <w:rsid w:val="004621CF"/>
    <w:rsid w:val="004627F8"/>
    <w:rsid w:val="00462987"/>
    <w:rsid w:val="00463C52"/>
    <w:rsid w:val="00463FAE"/>
    <w:rsid w:val="0046534C"/>
    <w:rsid w:val="004658B6"/>
    <w:rsid w:val="00466412"/>
    <w:rsid w:val="0046645F"/>
    <w:rsid w:val="0046707A"/>
    <w:rsid w:val="0047026C"/>
    <w:rsid w:val="004717F8"/>
    <w:rsid w:val="00483877"/>
    <w:rsid w:val="00484AFE"/>
    <w:rsid w:val="004851FA"/>
    <w:rsid w:val="00487691"/>
    <w:rsid w:val="00490BAF"/>
    <w:rsid w:val="00491308"/>
    <w:rsid w:val="00493F8E"/>
    <w:rsid w:val="004A0495"/>
    <w:rsid w:val="004A04C0"/>
    <w:rsid w:val="004A085B"/>
    <w:rsid w:val="004A1631"/>
    <w:rsid w:val="004A22A1"/>
    <w:rsid w:val="004A34CC"/>
    <w:rsid w:val="004A4B4D"/>
    <w:rsid w:val="004A4E6E"/>
    <w:rsid w:val="004A5230"/>
    <w:rsid w:val="004A6750"/>
    <w:rsid w:val="004B00B6"/>
    <w:rsid w:val="004B057F"/>
    <w:rsid w:val="004B1F17"/>
    <w:rsid w:val="004B3249"/>
    <w:rsid w:val="004B5450"/>
    <w:rsid w:val="004B6C70"/>
    <w:rsid w:val="004C1C11"/>
    <w:rsid w:val="004C1C23"/>
    <w:rsid w:val="004C1EB4"/>
    <w:rsid w:val="004C349A"/>
    <w:rsid w:val="004C4444"/>
    <w:rsid w:val="004C464B"/>
    <w:rsid w:val="004C4A03"/>
    <w:rsid w:val="004C4C6F"/>
    <w:rsid w:val="004C4F28"/>
    <w:rsid w:val="004C4F3A"/>
    <w:rsid w:val="004C5687"/>
    <w:rsid w:val="004C579F"/>
    <w:rsid w:val="004C64A7"/>
    <w:rsid w:val="004C6C4F"/>
    <w:rsid w:val="004D0B00"/>
    <w:rsid w:val="004D1417"/>
    <w:rsid w:val="004D442C"/>
    <w:rsid w:val="004D44BA"/>
    <w:rsid w:val="004D7AC3"/>
    <w:rsid w:val="004E07C2"/>
    <w:rsid w:val="004E361D"/>
    <w:rsid w:val="004E458A"/>
    <w:rsid w:val="004E5075"/>
    <w:rsid w:val="004E5F53"/>
    <w:rsid w:val="004E6884"/>
    <w:rsid w:val="004F174D"/>
    <w:rsid w:val="004F21A0"/>
    <w:rsid w:val="004F397A"/>
    <w:rsid w:val="004F478E"/>
    <w:rsid w:val="004F59D7"/>
    <w:rsid w:val="004FB956"/>
    <w:rsid w:val="005001ED"/>
    <w:rsid w:val="00502D17"/>
    <w:rsid w:val="005071F7"/>
    <w:rsid w:val="00507203"/>
    <w:rsid w:val="005076A9"/>
    <w:rsid w:val="0051124E"/>
    <w:rsid w:val="0051181D"/>
    <w:rsid w:val="0051283C"/>
    <w:rsid w:val="005130BA"/>
    <w:rsid w:val="005144FA"/>
    <w:rsid w:val="00515BA0"/>
    <w:rsid w:val="00516517"/>
    <w:rsid w:val="00516DFE"/>
    <w:rsid w:val="00517841"/>
    <w:rsid w:val="005178C7"/>
    <w:rsid w:val="00517DF9"/>
    <w:rsid w:val="005218FB"/>
    <w:rsid w:val="00522571"/>
    <w:rsid w:val="00524DD7"/>
    <w:rsid w:val="0052500F"/>
    <w:rsid w:val="00525185"/>
    <w:rsid w:val="005260D0"/>
    <w:rsid w:val="005261B5"/>
    <w:rsid w:val="00527207"/>
    <w:rsid w:val="00530880"/>
    <w:rsid w:val="005313B2"/>
    <w:rsid w:val="0053162C"/>
    <w:rsid w:val="00535879"/>
    <w:rsid w:val="00541330"/>
    <w:rsid w:val="005418F1"/>
    <w:rsid w:val="00543118"/>
    <w:rsid w:val="00544394"/>
    <w:rsid w:val="00551483"/>
    <w:rsid w:val="00554724"/>
    <w:rsid w:val="00554DA1"/>
    <w:rsid w:val="00554DF8"/>
    <w:rsid w:val="005552F7"/>
    <w:rsid w:val="0055716A"/>
    <w:rsid w:val="00557F00"/>
    <w:rsid w:val="00560547"/>
    <w:rsid w:val="00561170"/>
    <w:rsid w:val="00565599"/>
    <w:rsid w:val="00565BE8"/>
    <w:rsid w:val="00566185"/>
    <w:rsid w:val="00566806"/>
    <w:rsid w:val="00566EC4"/>
    <w:rsid w:val="0056712D"/>
    <w:rsid w:val="0057104B"/>
    <w:rsid w:val="0057301C"/>
    <w:rsid w:val="00573B5D"/>
    <w:rsid w:val="00573F8E"/>
    <w:rsid w:val="00574A8F"/>
    <w:rsid w:val="005754C0"/>
    <w:rsid w:val="00575DE0"/>
    <w:rsid w:val="005761BC"/>
    <w:rsid w:val="005762D0"/>
    <w:rsid w:val="005765FD"/>
    <w:rsid w:val="005768F7"/>
    <w:rsid w:val="00577AFC"/>
    <w:rsid w:val="00577D57"/>
    <w:rsid w:val="00583D56"/>
    <w:rsid w:val="005874F5"/>
    <w:rsid w:val="005902B7"/>
    <w:rsid w:val="0059232D"/>
    <w:rsid w:val="00592A99"/>
    <w:rsid w:val="00592BF9"/>
    <w:rsid w:val="0059369D"/>
    <w:rsid w:val="00595714"/>
    <w:rsid w:val="005967B3"/>
    <w:rsid w:val="005A1234"/>
    <w:rsid w:val="005A22C5"/>
    <w:rsid w:val="005A2F34"/>
    <w:rsid w:val="005A4061"/>
    <w:rsid w:val="005A4B78"/>
    <w:rsid w:val="005A4C50"/>
    <w:rsid w:val="005A63B8"/>
    <w:rsid w:val="005A7F0B"/>
    <w:rsid w:val="005B025C"/>
    <w:rsid w:val="005B0816"/>
    <w:rsid w:val="005B5B50"/>
    <w:rsid w:val="005B7057"/>
    <w:rsid w:val="005C02A0"/>
    <w:rsid w:val="005C0880"/>
    <w:rsid w:val="005C2A7C"/>
    <w:rsid w:val="005C4191"/>
    <w:rsid w:val="005C45D7"/>
    <w:rsid w:val="005C7017"/>
    <w:rsid w:val="005C732F"/>
    <w:rsid w:val="005D17E6"/>
    <w:rsid w:val="005D1826"/>
    <w:rsid w:val="005D5707"/>
    <w:rsid w:val="005D6610"/>
    <w:rsid w:val="005D7719"/>
    <w:rsid w:val="005D7FA0"/>
    <w:rsid w:val="005E0874"/>
    <w:rsid w:val="005E1430"/>
    <w:rsid w:val="005E29A3"/>
    <w:rsid w:val="005E3F6B"/>
    <w:rsid w:val="005E4712"/>
    <w:rsid w:val="005E48E7"/>
    <w:rsid w:val="005E4AB0"/>
    <w:rsid w:val="005E5223"/>
    <w:rsid w:val="005E60E4"/>
    <w:rsid w:val="005E7DBB"/>
    <w:rsid w:val="005F204B"/>
    <w:rsid w:val="005F32F3"/>
    <w:rsid w:val="005F3355"/>
    <w:rsid w:val="005F4062"/>
    <w:rsid w:val="005F57D6"/>
    <w:rsid w:val="005F6A8E"/>
    <w:rsid w:val="005F6FA4"/>
    <w:rsid w:val="005F7F1A"/>
    <w:rsid w:val="00600A3B"/>
    <w:rsid w:val="00600DE2"/>
    <w:rsid w:val="00602610"/>
    <w:rsid w:val="00603E76"/>
    <w:rsid w:val="00611728"/>
    <w:rsid w:val="00611F75"/>
    <w:rsid w:val="006130C6"/>
    <w:rsid w:val="00613F3B"/>
    <w:rsid w:val="00614275"/>
    <w:rsid w:val="00620372"/>
    <w:rsid w:val="00621729"/>
    <w:rsid w:val="00625C3D"/>
    <w:rsid w:val="0063175C"/>
    <w:rsid w:val="0063617D"/>
    <w:rsid w:val="006436BC"/>
    <w:rsid w:val="00643B1F"/>
    <w:rsid w:val="00647652"/>
    <w:rsid w:val="00652A47"/>
    <w:rsid w:val="00655867"/>
    <w:rsid w:val="006558DB"/>
    <w:rsid w:val="00655C8C"/>
    <w:rsid w:val="0065614C"/>
    <w:rsid w:val="00656728"/>
    <w:rsid w:val="006601E5"/>
    <w:rsid w:val="006611CB"/>
    <w:rsid w:val="00662106"/>
    <w:rsid w:val="006621C0"/>
    <w:rsid w:val="00662DAF"/>
    <w:rsid w:val="00664045"/>
    <w:rsid w:val="006645CE"/>
    <w:rsid w:val="00664E26"/>
    <w:rsid w:val="00665111"/>
    <w:rsid w:val="0067003A"/>
    <w:rsid w:val="006708BE"/>
    <w:rsid w:val="00672AD6"/>
    <w:rsid w:val="00672DE3"/>
    <w:rsid w:val="0067360D"/>
    <w:rsid w:val="0067511F"/>
    <w:rsid w:val="00675255"/>
    <w:rsid w:val="00675A2D"/>
    <w:rsid w:val="00675B0D"/>
    <w:rsid w:val="006763BA"/>
    <w:rsid w:val="006766A4"/>
    <w:rsid w:val="0068031A"/>
    <w:rsid w:val="006804E6"/>
    <w:rsid w:val="00681573"/>
    <w:rsid w:val="00681600"/>
    <w:rsid w:val="006840D9"/>
    <w:rsid w:val="006847A8"/>
    <w:rsid w:val="00690224"/>
    <w:rsid w:val="00692845"/>
    <w:rsid w:val="00692A58"/>
    <w:rsid w:val="00693817"/>
    <w:rsid w:val="00696A32"/>
    <w:rsid w:val="006A0D17"/>
    <w:rsid w:val="006A2E2A"/>
    <w:rsid w:val="006A4791"/>
    <w:rsid w:val="006A5074"/>
    <w:rsid w:val="006A5474"/>
    <w:rsid w:val="006A76BE"/>
    <w:rsid w:val="006B170B"/>
    <w:rsid w:val="006B1BB6"/>
    <w:rsid w:val="006B3D43"/>
    <w:rsid w:val="006B695D"/>
    <w:rsid w:val="006B6A48"/>
    <w:rsid w:val="006B74D6"/>
    <w:rsid w:val="006C04E3"/>
    <w:rsid w:val="006C4BC7"/>
    <w:rsid w:val="006C54A2"/>
    <w:rsid w:val="006C5C36"/>
    <w:rsid w:val="006C656D"/>
    <w:rsid w:val="006D079D"/>
    <w:rsid w:val="006D086E"/>
    <w:rsid w:val="006D195F"/>
    <w:rsid w:val="006D1BD5"/>
    <w:rsid w:val="006D251D"/>
    <w:rsid w:val="006D28D8"/>
    <w:rsid w:val="006D5C06"/>
    <w:rsid w:val="006D61D2"/>
    <w:rsid w:val="006D6AA1"/>
    <w:rsid w:val="006E13D1"/>
    <w:rsid w:val="006E1447"/>
    <w:rsid w:val="006E304B"/>
    <w:rsid w:val="006E33B0"/>
    <w:rsid w:val="006E6B50"/>
    <w:rsid w:val="006E7145"/>
    <w:rsid w:val="006E7411"/>
    <w:rsid w:val="006E7F32"/>
    <w:rsid w:val="006F2708"/>
    <w:rsid w:val="006F41C9"/>
    <w:rsid w:val="006F73EF"/>
    <w:rsid w:val="006F77EE"/>
    <w:rsid w:val="006FB774"/>
    <w:rsid w:val="00701BFB"/>
    <w:rsid w:val="007064B9"/>
    <w:rsid w:val="0071047E"/>
    <w:rsid w:val="00710D5B"/>
    <w:rsid w:val="007116B4"/>
    <w:rsid w:val="00711D37"/>
    <w:rsid w:val="007120F0"/>
    <w:rsid w:val="00714850"/>
    <w:rsid w:val="0071622E"/>
    <w:rsid w:val="00716A51"/>
    <w:rsid w:val="007238D5"/>
    <w:rsid w:val="00724AF8"/>
    <w:rsid w:val="00730FCD"/>
    <w:rsid w:val="00735500"/>
    <w:rsid w:val="0074097E"/>
    <w:rsid w:val="00742970"/>
    <w:rsid w:val="007437D9"/>
    <w:rsid w:val="00743A84"/>
    <w:rsid w:val="00743AEA"/>
    <w:rsid w:val="00744082"/>
    <w:rsid w:val="007456F7"/>
    <w:rsid w:val="00745933"/>
    <w:rsid w:val="00746EBD"/>
    <w:rsid w:val="00746F01"/>
    <w:rsid w:val="00751FE9"/>
    <w:rsid w:val="0075228A"/>
    <w:rsid w:val="00752BB3"/>
    <w:rsid w:val="0075352E"/>
    <w:rsid w:val="0075384C"/>
    <w:rsid w:val="00757A5C"/>
    <w:rsid w:val="007610C2"/>
    <w:rsid w:val="00761302"/>
    <w:rsid w:val="00761F55"/>
    <w:rsid w:val="00765B2A"/>
    <w:rsid w:val="00767473"/>
    <w:rsid w:val="00771150"/>
    <w:rsid w:val="007712F4"/>
    <w:rsid w:val="00771AF0"/>
    <w:rsid w:val="00772623"/>
    <w:rsid w:val="00773A98"/>
    <w:rsid w:val="0077422B"/>
    <w:rsid w:val="007744B1"/>
    <w:rsid w:val="0077490C"/>
    <w:rsid w:val="00775E09"/>
    <w:rsid w:val="00775F28"/>
    <w:rsid w:val="007820A7"/>
    <w:rsid w:val="007867B0"/>
    <w:rsid w:val="007867E8"/>
    <w:rsid w:val="00786DB4"/>
    <w:rsid w:val="0079056F"/>
    <w:rsid w:val="00790E3B"/>
    <w:rsid w:val="007939AB"/>
    <w:rsid w:val="00794013"/>
    <w:rsid w:val="00794475"/>
    <w:rsid w:val="007944AB"/>
    <w:rsid w:val="00794588"/>
    <w:rsid w:val="00794C00"/>
    <w:rsid w:val="00795E79"/>
    <w:rsid w:val="00796A96"/>
    <w:rsid w:val="007970E6"/>
    <w:rsid w:val="007A04E8"/>
    <w:rsid w:val="007A3972"/>
    <w:rsid w:val="007A415E"/>
    <w:rsid w:val="007A4EB3"/>
    <w:rsid w:val="007A52C2"/>
    <w:rsid w:val="007A644C"/>
    <w:rsid w:val="007A6AAB"/>
    <w:rsid w:val="007A72B0"/>
    <w:rsid w:val="007A73EB"/>
    <w:rsid w:val="007A7C8C"/>
    <w:rsid w:val="007A7EDF"/>
    <w:rsid w:val="007B04CD"/>
    <w:rsid w:val="007B10D7"/>
    <w:rsid w:val="007B4304"/>
    <w:rsid w:val="007B482B"/>
    <w:rsid w:val="007B534D"/>
    <w:rsid w:val="007B6531"/>
    <w:rsid w:val="007B7466"/>
    <w:rsid w:val="007C2BF1"/>
    <w:rsid w:val="007C353A"/>
    <w:rsid w:val="007D16D4"/>
    <w:rsid w:val="007D3A25"/>
    <w:rsid w:val="007D43CD"/>
    <w:rsid w:val="007D469F"/>
    <w:rsid w:val="007D493D"/>
    <w:rsid w:val="007D4ACE"/>
    <w:rsid w:val="007D57C0"/>
    <w:rsid w:val="007D5AC7"/>
    <w:rsid w:val="007D6741"/>
    <w:rsid w:val="007D6B44"/>
    <w:rsid w:val="007D6BFA"/>
    <w:rsid w:val="007D7B40"/>
    <w:rsid w:val="007D7E81"/>
    <w:rsid w:val="007E5D7A"/>
    <w:rsid w:val="007F0EAC"/>
    <w:rsid w:val="007F10C4"/>
    <w:rsid w:val="007F2D24"/>
    <w:rsid w:val="007F3CE5"/>
    <w:rsid w:val="007F4DD9"/>
    <w:rsid w:val="007F55AC"/>
    <w:rsid w:val="007F62FE"/>
    <w:rsid w:val="007F7A90"/>
    <w:rsid w:val="008001AF"/>
    <w:rsid w:val="00801420"/>
    <w:rsid w:val="0080287F"/>
    <w:rsid w:val="00803335"/>
    <w:rsid w:val="0080526E"/>
    <w:rsid w:val="008056CA"/>
    <w:rsid w:val="00812B5F"/>
    <w:rsid w:val="00812D38"/>
    <w:rsid w:val="008201E6"/>
    <w:rsid w:val="008279EC"/>
    <w:rsid w:val="008324D6"/>
    <w:rsid w:val="008370CE"/>
    <w:rsid w:val="00837AFF"/>
    <w:rsid w:val="00837D59"/>
    <w:rsid w:val="0084186A"/>
    <w:rsid w:val="00841E51"/>
    <w:rsid w:val="00842E69"/>
    <w:rsid w:val="00844A73"/>
    <w:rsid w:val="008458F4"/>
    <w:rsid w:val="00845C02"/>
    <w:rsid w:val="0084756F"/>
    <w:rsid w:val="00851B50"/>
    <w:rsid w:val="00854237"/>
    <w:rsid w:val="00854448"/>
    <w:rsid w:val="00855549"/>
    <w:rsid w:val="00856569"/>
    <w:rsid w:val="008569C5"/>
    <w:rsid w:val="00856DEC"/>
    <w:rsid w:val="00857CF0"/>
    <w:rsid w:val="008602F6"/>
    <w:rsid w:val="0086161C"/>
    <w:rsid w:val="008634AC"/>
    <w:rsid w:val="00863678"/>
    <w:rsid w:val="00864BFE"/>
    <w:rsid w:val="00865A95"/>
    <w:rsid w:val="008714D6"/>
    <w:rsid w:val="00872BE6"/>
    <w:rsid w:val="00873531"/>
    <w:rsid w:val="0087625D"/>
    <w:rsid w:val="00881AC6"/>
    <w:rsid w:val="008832AC"/>
    <w:rsid w:val="0088544B"/>
    <w:rsid w:val="00886593"/>
    <w:rsid w:val="0088678D"/>
    <w:rsid w:val="008869F9"/>
    <w:rsid w:val="008902B5"/>
    <w:rsid w:val="00890E14"/>
    <w:rsid w:val="00895B85"/>
    <w:rsid w:val="00897036"/>
    <w:rsid w:val="008A0418"/>
    <w:rsid w:val="008A53C0"/>
    <w:rsid w:val="008A6882"/>
    <w:rsid w:val="008A76EE"/>
    <w:rsid w:val="008A7E5D"/>
    <w:rsid w:val="008B01D0"/>
    <w:rsid w:val="008B059A"/>
    <w:rsid w:val="008B2113"/>
    <w:rsid w:val="008B2E60"/>
    <w:rsid w:val="008B4C28"/>
    <w:rsid w:val="008B59FF"/>
    <w:rsid w:val="008C00E5"/>
    <w:rsid w:val="008C01F7"/>
    <w:rsid w:val="008C1207"/>
    <w:rsid w:val="008C2FF3"/>
    <w:rsid w:val="008C44FC"/>
    <w:rsid w:val="008C4BB8"/>
    <w:rsid w:val="008C673A"/>
    <w:rsid w:val="008C7694"/>
    <w:rsid w:val="008D10BA"/>
    <w:rsid w:val="008D13A5"/>
    <w:rsid w:val="008D4503"/>
    <w:rsid w:val="008D58E9"/>
    <w:rsid w:val="008E0EA3"/>
    <w:rsid w:val="008E1195"/>
    <w:rsid w:val="008E58A6"/>
    <w:rsid w:val="008E7569"/>
    <w:rsid w:val="008E795D"/>
    <w:rsid w:val="008F1B4C"/>
    <w:rsid w:val="008F2356"/>
    <w:rsid w:val="008F2F2C"/>
    <w:rsid w:val="008F5A2F"/>
    <w:rsid w:val="008F7A82"/>
    <w:rsid w:val="00902C92"/>
    <w:rsid w:val="00903A17"/>
    <w:rsid w:val="00906FE6"/>
    <w:rsid w:val="009107DB"/>
    <w:rsid w:val="009121ED"/>
    <w:rsid w:val="009137C5"/>
    <w:rsid w:val="0091625D"/>
    <w:rsid w:val="00916D6E"/>
    <w:rsid w:val="00920558"/>
    <w:rsid w:val="00921F55"/>
    <w:rsid w:val="00922785"/>
    <w:rsid w:val="00922CF7"/>
    <w:rsid w:val="009310C6"/>
    <w:rsid w:val="009322E0"/>
    <w:rsid w:val="00936718"/>
    <w:rsid w:val="00937898"/>
    <w:rsid w:val="009402EE"/>
    <w:rsid w:val="009429AD"/>
    <w:rsid w:val="009441F2"/>
    <w:rsid w:val="009452B3"/>
    <w:rsid w:val="0095148D"/>
    <w:rsid w:val="00952139"/>
    <w:rsid w:val="00952B6F"/>
    <w:rsid w:val="00953AE0"/>
    <w:rsid w:val="00953CEF"/>
    <w:rsid w:val="00953D1A"/>
    <w:rsid w:val="00956F72"/>
    <w:rsid w:val="00957071"/>
    <w:rsid w:val="009603D6"/>
    <w:rsid w:val="009606FB"/>
    <w:rsid w:val="00960C08"/>
    <w:rsid w:val="00961538"/>
    <w:rsid w:val="00961ED6"/>
    <w:rsid w:val="00964ECB"/>
    <w:rsid w:val="009702FC"/>
    <w:rsid w:val="00970B3D"/>
    <w:rsid w:val="00971165"/>
    <w:rsid w:val="009773A2"/>
    <w:rsid w:val="009808E7"/>
    <w:rsid w:val="0098177B"/>
    <w:rsid w:val="00982C45"/>
    <w:rsid w:val="0098365C"/>
    <w:rsid w:val="00984991"/>
    <w:rsid w:val="009857D4"/>
    <w:rsid w:val="0098632A"/>
    <w:rsid w:val="0098718B"/>
    <w:rsid w:val="0098742B"/>
    <w:rsid w:val="00990126"/>
    <w:rsid w:val="009939E6"/>
    <w:rsid w:val="00993A77"/>
    <w:rsid w:val="00993C38"/>
    <w:rsid w:val="00994C89"/>
    <w:rsid w:val="0099574F"/>
    <w:rsid w:val="00995EDC"/>
    <w:rsid w:val="00996316"/>
    <w:rsid w:val="00997F5F"/>
    <w:rsid w:val="009A214B"/>
    <w:rsid w:val="009A222F"/>
    <w:rsid w:val="009A299E"/>
    <w:rsid w:val="009A3327"/>
    <w:rsid w:val="009A395A"/>
    <w:rsid w:val="009A547C"/>
    <w:rsid w:val="009A549B"/>
    <w:rsid w:val="009A5A47"/>
    <w:rsid w:val="009A5CE5"/>
    <w:rsid w:val="009A5E6F"/>
    <w:rsid w:val="009A6503"/>
    <w:rsid w:val="009A6BBC"/>
    <w:rsid w:val="009A6F51"/>
    <w:rsid w:val="009B061D"/>
    <w:rsid w:val="009B11BC"/>
    <w:rsid w:val="009B386B"/>
    <w:rsid w:val="009B6276"/>
    <w:rsid w:val="009B6DC4"/>
    <w:rsid w:val="009B7167"/>
    <w:rsid w:val="009B79A4"/>
    <w:rsid w:val="009C0396"/>
    <w:rsid w:val="009C1151"/>
    <w:rsid w:val="009C13E1"/>
    <w:rsid w:val="009C155A"/>
    <w:rsid w:val="009C404E"/>
    <w:rsid w:val="009C56A2"/>
    <w:rsid w:val="009C6519"/>
    <w:rsid w:val="009C69BD"/>
    <w:rsid w:val="009D082E"/>
    <w:rsid w:val="009D11D4"/>
    <w:rsid w:val="009D172E"/>
    <w:rsid w:val="009D23AA"/>
    <w:rsid w:val="009D521C"/>
    <w:rsid w:val="009D57BB"/>
    <w:rsid w:val="009D5D07"/>
    <w:rsid w:val="009E14EC"/>
    <w:rsid w:val="009E72C9"/>
    <w:rsid w:val="009F371E"/>
    <w:rsid w:val="009F600F"/>
    <w:rsid w:val="009F7583"/>
    <w:rsid w:val="00A0113C"/>
    <w:rsid w:val="00A01836"/>
    <w:rsid w:val="00A02A30"/>
    <w:rsid w:val="00A0337D"/>
    <w:rsid w:val="00A03C28"/>
    <w:rsid w:val="00A062E9"/>
    <w:rsid w:val="00A07E5B"/>
    <w:rsid w:val="00A07E89"/>
    <w:rsid w:val="00A11059"/>
    <w:rsid w:val="00A12CDE"/>
    <w:rsid w:val="00A15085"/>
    <w:rsid w:val="00A15CF1"/>
    <w:rsid w:val="00A164E0"/>
    <w:rsid w:val="00A2066A"/>
    <w:rsid w:val="00A2442D"/>
    <w:rsid w:val="00A24676"/>
    <w:rsid w:val="00A2467B"/>
    <w:rsid w:val="00A253E3"/>
    <w:rsid w:val="00A25974"/>
    <w:rsid w:val="00A27C0D"/>
    <w:rsid w:val="00A31A5A"/>
    <w:rsid w:val="00A32F06"/>
    <w:rsid w:val="00A34211"/>
    <w:rsid w:val="00A3599E"/>
    <w:rsid w:val="00A365DA"/>
    <w:rsid w:val="00A372D5"/>
    <w:rsid w:val="00A37762"/>
    <w:rsid w:val="00A40D68"/>
    <w:rsid w:val="00A42F8B"/>
    <w:rsid w:val="00A43E15"/>
    <w:rsid w:val="00A44138"/>
    <w:rsid w:val="00A50489"/>
    <w:rsid w:val="00A5106A"/>
    <w:rsid w:val="00A51C0D"/>
    <w:rsid w:val="00A521C1"/>
    <w:rsid w:val="00A5240C"/>
    <w:rsid w:val="00A5315F"/>
    <w:rsid w:val="00A54717"/>
    <w:rsid w:val="00A5475F"/>
    <w:rsid w:val="00A5662B"/>
    <w:rsid w:val="00A578A1"/>
    <w:rsid w:val="00A6069E"/>
    <w:rsid w:val="00A61BC6"/>
    <w:rsid w:val="00A649D4"/>
    <w:rsid w:val="00A6582D"/>
    <w:rsid w:val="00A67812"/>
    <w:rsid w:val="00A71BA2"/>
    <w:rsid w:val="00A72845"/>
    <w:rsid w:val="00A72BF6"/>
    <w:rsid w:val="00A732E0"/>
    <w:rsid w:val="00A74FC0"/>
    <w:rsid w:val="00A7588F"/>
    <w:rsid w:val="00A75BA5"/>
    <w:rsid w:val="00A77441"/>
    <w:rsid w:val="00A80EBF"/>
    <w:rsid w:val="00A8101D"/>
    <w:rsid w:val="00A81660"/>
    <w:rsid w:val="00A83660"/>
    <w:rsid w:val="00A8424D"/>
    <w:rsid w:val="00A85736"/>
    <w:rsid w:val="00A85799"/>
    <w:rsid w:val="00A85F2B"/>
    <w:rsid w:val="00A87E3A"/>
    <w:rsid w:val="00A92896"/>
    <w:rsid w:val="00A93DC8"/>
    <w:rsid w:val="00A9451A"/>
    <w:rsid w:val="00A97A33"/>
    <w:rsid w:val="00AA0B1C"/>
    <w:rsid w:val="00AA1385"/>
    <w:rsid w:val="00AA2896"/>
    <w:rsid w:val="00AA4261"/>
    <w:rsid w:val="00AA5281"/>
    <w:rsid w:val="00AA58E2"/>
    <w:rsid w:val="00AA68E5"/>
    <w:rsid w:val="00AA6954"/>
    <w:rsid w:val="00AB03AA"/>
    <w:rsid w:val="00AB191A"/>
    <w:rsid w:val="00AB1E2D"/>
    <w:rsid w:val="00AB26B6"/>
    <w:rsid w:val="00AB4680"/>
    <w:rsid w:val="00AB5A03"/>
    <w:rsid w:val="00AB61FA"/>
    <w:rsid w:val="00AB66BB"/>
    <w:rsid w:val="00AB7E4F"/>
    <w:rsid w:val="00AC1268"/>
    <w:rsid w:val="00AC3F95"/>
    <w:rsid w:val="00AC4DCA"/>
    <w:rsid w:val="00AC506A"/>
    <w:rsid w:val="00AC68C6"/>
    <w:rsid w:val="00AC6DB7"/>
    <w:rsid w:val="00AD028A"/>
    <w:rsid w:val="00AD0536"/>
    <w:rsid w:val="00AD1E5E"/>
    <w:rsid w:val="00AD1EB7"/>
    <w:rsid w:val="00AE012A"/>
    <w:rsid w:val="00AE1649"/>
    <w:rsid w:val="00AE3415"/>
    <w:rsid w:val="00AE7373"/>
    <w:rsid w:val="00AE759B"/>
    <w:rsid w:val="00AF044F"/>
    <w:rsid w:val="00AF0701"/>
    <w:rsid w:val="00AF0C12"/>
    <w:rsid w:val="00AF2299"/>
    <w:rsid w:val="00AF42E1"/>
    <w:rsid w:val="00AF4625"/>
    <w:rsid w:val="00AF5558"/>
    <w:rsid w:val="00AF6354"/>
    <w:rsid w:val="00AF6A03"/>
    <w:rsid w:val="00B01FD6"/>
    <w:rsid w:val="00B03F04"/>
    <w:rsid w:val="00B0508E"/>
    <w:rsid w:val="00B0609D"/>
    <w:rsid w:val="00B07687"/>
    <w:rsid w:val="00B119B7"/>
    <w:rsid w:val="00B13865"/>
    <w:rsid w:val="00B146E8"/>
    <w:rsid w:val="00B14998"/>
    <w:rsid w:val="00B14B1A"/>
    <w:rsid w:val="00B15E7F"/>
    <w:rsid w:val="00B1725A"/>
    <w:rsid w:val="00B17D32"/>
    <w:rsid w:val="00B2039E"/>
    <w:rsid w:val="00B20FF2"/>
    <w:rsid w:val="00B241D5"/>
    <w:rsid w:val="00B31B18"/>
    <w:rsid w:val="00B33755"/>
    <w:rsid w:val="00B363B7"/>
    <w:rsid w:val="00B4009F"/>
    <w:rsid w:val="00B41B36"/>
    <w:rsid w:val="00B43DC3"/>
    <w:rsid w:val="00B4426E"/>
    <w:rsid w:val="00B45070"/>
    <w:rsid w:val="00B501EB"/>
    <w:rsid w:val="00B51664"/>
    <w:rsid w:val="00B5188C"/>
    <w:rsid w:val="00B52138"/>
    <w:rsid w:val="00B65203"/>
    <w:rsid w:val="00B65385"/>
    <w:rsid w:val="00B70587"/>
    <w:rsid w:val="00B721A0"/>
    <w:rsid w:val="00B73395"/>
    <w:rsid w:val="00B76B9F"/>
    <w:rsid w:val="00B80FE5"/>
    <w:rsid w:val="00B8388C"/>
    <w:rsid w:val="00B8485D"/>
    <w:rsid w:val="00B84AC4"/>
    <w:rsid w:val="00B84EA1"/>
    <w:rsid w:val="00B86938"/>
    <w:rsid w:val="00B92113"/>
    <w:rsid w:val="00B927B9"/>
    <w:rsid w:val="00B947AD"/>
    <w:rsid w:val="00BA03BF"/>
    <w:rsid w:val="00BA23DA"/>
    <w:rsid w:val="00BA2C7C"/>
    <w:rsid w:val="00BA4207"/>
    <w:rsid w:val="00BA5874"/>
    <w:rsid w:val="00BB16C8"/>
    <w:rsid w:val="00BB19CC"/>
    <w:rsid w:val="00BB4369"/>
    <w:rsid w:val="00BB47CB"/>
    <w:rsid w:val="00BB48A9"/>
    <w:rsid w:val="00BB54F4"/>
    <w:rsid w:val="00BB6205"/>
    <w:rsid w:val="00BB675B"/>
    <w:rsid w:val="00BC3232"/>
    <w:rsid w:val="00BC362A"/>
    <w:rsid w:val="00BC701C"/>
    <w:rsid w:val="00BC7788"/>
    <w:rsid w:val="00BC7ACE"/>
    <w:rsid w:val="00BD322C"/>
    <w:rsid w:val="00BD3264"/>
    <w:rsid w:val="00BD62AC"/>
    <w:rsid w:val="00BD7CE2"/>
    <w:rsid w:val="00BD7F32"/>
    <w:rsid w:val="00BD7FC8"/>
    <w:rsid w:val="00BE15FE"/>
    <w:rsid w:val="00BE169B"/>
    <w:rsid w:val="00BE3246"/>
    <w:rsid w:val="00BE515F"/>
    <w:rsid w:val="00BE5346"/>
    <w:rsid w:val="00BE6ADA"/>
    <w:rsid w:val="00BF004C"/>
    <w:rsid w:val="00BF2428"/>
    <w:rsid w:val="00BF5262"/>
    <w:rsid w:val="00BF5350"/>
    <w:rsid w:val="00BF6165"/>
    <w:rsid w:val="00BF7E59"/>
    <w:rsid w:val="00C0255A"/>
    <w:rsid w:val="00C03076"/>
    <w:rsid w:val="00C05ABC"/>
    <w:rsid w:val="00C05FFF"/>
    <w:rsid w:val="00C06000"/>
    <w:rsid w:val="00C060B8"/>
    <w:rsid w:val="00C06DB1"/>
    <w:rsid w:val="00C076C1"/>
    <w:rsid w:val="00C1396F"/>
    <w:rsid w:val="00C1497C"/>
    <w:rsid w:val="00C1571A"/>
    <w:rsid w:val="00C158D1"/>
    <w:rsid w:val="00C1672D"/>
    <w:rsid w:val="00C1797A"/>
    <w:rsid w:val="00C212D3"/>
    <w:rsid w:val="00C24295"/>
    <w:rsid w:val="00C25568"/>
    <w:rsid w:val="00C25C6E"/>
    <w:rsid w:val="00C304F5"/>
    <w:rsid w:val="00C3056A"/>
    <w:rsid w:val="00C31B35"/>
    <w:rsid w:val="00C31F7C"/>
    <w:rsid w:val="00C3247A"/>
    <w:rsid w:val="00C33374"/>
    <w:rsid w:val="00C33788"/>
    <w:rsid w:val="00C34551"/>
    <w:rsid w:val="00C34DD1"/>
    <w:rsid w:val="00C35759"/>
    <w:rsid w:val="00C407FB"/>
    <w:rsid w:val="00C40BB5"/>
    <w:rsid w:val="00C42DF6"/>
    <w:rsid w:val="00C45285"/>
    <w:rsid w:val="00C46AA3"/>
    <w:rsid w:val="00C46B18"/>
    <w:rsid w:val="00C512D4"/>
    <w:rsid w:val="00C521F0"/>
    <w:rsid w:val="00C5238A"/>
    <w:rsid w:val="00C547BE"/>
    <w:rsid w:val="00C55D49"/>
    <w:rsid w:val="00C578FE"/>
    <w:rsid w:val="00C600BE"/>
    <w:rsid w:val="00C626CD"/>
    <w:rsid w:val="00C641E7"/>
    <w:rsid w:val="00C6488C"/>
    <w:rsid w:val="00C66CD0"/>
    <w:rsid w:val="00C707CE"/>
    <w:rsid w:val="00C71323"/>
    <w:rsid w:val="00C715F5"/>
    <w:rsid w:val="00C7182C"/>
    <w:rsid w:val="00C71E40"/>
    <w:rsid w:val="00C73D4C"/>
    <w:rsid w:val="00C754A1"/>
    <w:rsid w:val="00C76ED2"/>
    <w:rsid w:val="00C77F63"/>
    <w:rsid w:val="00C81294"/>
    <w:rsid w:val="00C81511"/>
    <w:rsid w:val="00C81774"/>
    <w:rsid w:val="00C82B1F"/>
    <w:rsid w:val="00C82F31"/>
    <w:rsid w:val="00C84019"/>
    <w:rsid w:val="00C86090"/>
    <w:rsid w:val="00C86BF9"/>
    <w:rsid w:val="00C86C8D"/>
    <w:rsid w:val="00C87704"/>
    <w:rsid w:val="00C87819"/>
    <w:rsid w:val="00C87D4C"/>
    <w:rsid w:val="00C91329"/>
    <w:rsid w:val="00C925C0"/>
    <w:rsid w:val="00C93D8C"/>
    <w:rsid w:val="00C963A9"/>
    <w:rsid w:val="00C96638"/>
    <w:rsid w:val="00C96C21"/>
    <w:rsid w:val="00CA0220"/>
    <w:rsid w:val="00CA1D82"/>
    <w:rsid w:val="00CA4558"/>
    <w:rsid w:val="00CA45B7"/>
    <w:rsid w:val="00CA5672"/>
    <w:rsid w:val="00CA56C0"/>
    <w:rsid w:val="00CA71DF"/>
    <w:rsid w:val="00CB1B34"/>
    <w:rsid w:val="00CB33CA"/>
    <w:rsid w:val="00CB349F"/>
    <w:rsid w:val="00CB34A4"/>
    <w:rsid w:val="00CB3E17"/>
    <w:rsid w:val="00CB7BD6"/>
    <w:rsid w:val="00CB949B"/>
    <w:rsid w:val="00CC388C"/>
    <w:rsid w:val="00CC48DD"/>
    <w:rsid w:val="00CC4B8C"/>
    <w:rsid w:val="00CC5D68"/>
    <w:rsid w:val="00CC6CD3"/>
    <w:rsid w:val="00CC7138"/>
    <w:rsid w:val="00CD1ECB"/>
    <w:rsid w:val="00CD4F49"/>
    <w:rsid w:val="00CE0DC3"/>
    <w:rsid w:val="00CE178A"/>
    <w:rsid w:val="00CE2714"/>
    <w:rsid w:val="00CE39F8"/>
    <w:rsid w:val="00CE4356"/>
    <w:rsid w:val="00CE465D"/>
    <w:rsid w:val="00CE668F"/>
    <w:rsid w:val="00CF0668"/>
    <w:rsid w:val="00CF1BC2"/>
    <w:rsid w:val="00CF6640"/>
    <w:rsid w:val="00D004DB"/>
    <w:rsid w:val="00D00842"/>
    <w:rsid w:val="00D0189D"/>
    <w:rsid w:val="00D02038"/>
    <w:rsid w:val="00D06113"/>
    <w:rsid w:val="00D0773D"/>
    <w:rsid w:val="00D1012C"/>
    <w:rsid w:val="00D1071F"/>
    <w:rsid w:val="00D119DD"/>
    <w:rsid w:val="00D127E9"/>
    <w:rsid w:val="00D1457B"/>
    <w:rsid w:val="00D152D7"/>
    <w:rsid w:val="00D1542D"/>
    <w:rsid w:val="00D1588C"/>
    <w:rsid w:val="00D24689"/>
    <w:rsid w:val="00D2557E"/>
    <w:rsid w:val="00D257CF"/>
    <w:rsid w:val="00D3056A"/>
    <w:rsid w:val="00D32E00"/>
    <w:rsid w:val="00D32F29"/>
    <w:rsid w:val="00D32F68"/>
    <w:rsid w:val="00D35986"/>
    <w:rsid w:val="00D36CD7"/>
    <w:rsid w:val="00D3733B"/>
    <w:rsid w:val="00D37B6F"/>
    <w:rsid w:val="00D37E5B"/>
    <w:rsid w:val="00D42CC0"/>
    <w:rsid w:val="00D43BA2"/>
    <w:rsid w:val="00D452AC"/>
    <w:rsid w:val="00D479AE"/>
    <w:rsid w:val="00D52051"/>
    <w:rsid w:val="00D52825"/>
    <w:rsid w:val="00D5421B"/>
    <w:rsid w:val="00D5475B"/>
    <w:rsid w:val="00D556A6"/>
    <w:rsid w:val="00D575D0"/>
    <w:rsid w:val="00D62500"/>
    <w:rsid w:val="00D6312A"/>
    <w:rsid w:val="00D648AF"/>
    <w:rsid w:val="00D66D89"/>
    <w:rsid w:val="00D679B1"/>
    <w:rsid w:val="00D71300"/>
    <w:rsid w:val="00D7230F"/>
    <w:rsid w:val="00D7587B"/>
    <w:rsid w:val="00D76068"/>
    <w:rsid w:val="00D765F8"/>
    <w:rsid w:val="00D83C03"/>
    <w:rsid w:val="00D843E2"/>
    <w:rsid w:val="00D8455C"/>
    <w:rsid w:val="00D8466D"/>
    <w:rsid w:val="00D85B23"/>
    <w:rsid w:val="00D86568"/>
    <w:rsid w:val="00D87312"/>
    <w:rsid w:val="00D87931"/>
    <w:rsid w:val="00D91392"/>
    <w:rsid w:val="00D920B5"/>
    <w:rsid w:val="00D930EF"/>
    <w:rsid w:val="00D9384C"/>
    <w:rsid w:val="00D941FC"/>
    <w:rsid w:val="00D9763D"/>
    <w:rsid w:val="00DA7562"/>
    <w:rsid w:val="00DA771D"/>
    <w:rsid w:val="00DB05B5"/>
    <w:rsid w:val="00DB2F2D"/>
    <w:rsid w:val="00DB39F7"/>
    <w:rsid w:val="00DB46AC"/>
    <w:rsid w:val="00DB55CE"/>
    <w:rsid w:val="00DC0E4F"/>
    <w:rsid w:val="00DC0F87"/>
    <w:rsid w:val="00DC3E88"/>
    <w:rsid w:val="00DC3F39"/>
    <w:rsid w:val="00DC4466"/>
    <w:rsid w:val="00DC7351"/>
    <w:rsid w:val="00DD0308"/>
    <w:rsid w:val="00DD253F"/>
    <w:rsid w:val="00DD3438"/>
    <w:rsid w:val="00DD37C3"/>
    <w:rsid w:val="00DD3F4E"/>
    <w:rsid w:val="00DD6F69"/>
    <w:rsid w:val="00DD7C18"/>
    <w:rsid w:val="00DE1A8A"/>
    <w:rsid w:val="00DE1CD4"/>
    <w:rsid w:val="00DE2428"/>
    <w:rsid w:val="00DE3CA5"/>
    <w:rsid w:val="00DE6775"/>
    <w:rsid w:val="00DF06EE"/>
    <w:rsid w:val="00DF1B62"/>
    <w:rsid w:val="00DF23D4"/>
    <w:rsid w:val="00DF3566"/>
    <w:rsid w:val="00DF396C"/>
    <w:rsid w:val="00DF5AC0"/>
    <w:rsid w:val="00DF61CD"/>
    <w:rsid w:val="00DF74F2"/>
    <w:rsid w:val="00DF7EA9"/>
    <w:rsid w:val="00E00265"/>
    <w:rsid w:val="00E00D74"/>
    <w:rsid w:val="00E045FF"/>
    <w:rsid w:val="00E05347"/>
    <w:rsid w:val="00E053E4"/>
    <w:rsid w:val="00E059AA"/>
    <w:rsid w:val="00E05E18"/>
    <w:rsid w:val="00E125EF"/>
    <w:rsid w:val="00E12795"/>
    <w:rsid w:val="00E12C5A"/>
    <w:rsid w:val="00E13746"/>
    <w:rsid w:val="00E15100"/>
    <w:rsid w:val="00E1554B"/>
    <w:rsid w:val="00E200E8"/>
    <w:rsid w:val="00E20878"/>
    <w:rsid w:val="00E2199D"/>
    <w:rsid w:val="00E24390"/>
    <w:rsid w:val="00E268CF"/>
    <w:rsid w:val="00E26CC6"/>
    <w:rsid w:val="00E30F85"/>
    <w:rsid w:val="00E31AF9"/>
    <w:rsid w:val="00E32154"/>
    <w:rsid w:val="00E34370"/>
    <w:rsid w:val="00E34B21"/>
    <w:rsid w:val="00E35D08"/>
    <w:rsid w:val="00E4498E"/>
    <w:rsid w:val="00E45883"/>
    <w:rsid w:val="00E46B9C"/>
    <w:rsid w:val="00E50C18"/>
    <w:rsid w:val="00E51763"/>
    <w:rsid w:val="00E52DFC"/>
    <w:rsid w:val="00E54DE0"/>
    <w:rsid w:val="00E562BE"/>
    <w:rsid w:val="00E60148"/>
    <w:rsid w:val="00E619BF"/>
    <w:rsid w:val="00E640CA"/>
    <w:rsid w:val="00E652C6"/>
    <w:rsid w:val="00E679F7"/>
    <w:rsid w:val="00E712C5"/>
    <w:rsid w:val="00E713E5"/>
    <w:rsid w:val="00E71AA3"/>
    <w:rsid w:val="00E73500"/>
    <w:rsid w:val="00E74DFC"/>
    <w:rsid w:val="00E77625"/>
    <w:rsid w:val="00E803F2"/>
    <w:rsid w:val="00E834C3"/>
    <w:rsid w:val="00E84538"/>
    <w:rsid w:val="00E84887"/>
    <w:rsid w:val="00E92F8B"/>
    <w:rsid w:val="00E93095"/>
    <w:rsid w:val="00E94C37"/>
    <w:rsid w:val="00E96CCA"/>
    <w:rsid w:val="00EA0236"/>
    <w:rsid w:val="00EA02B4"/>
    <w:rsid w:val="00EA1638"/>
    <w:rsid w:val="00EA27C4"/>
    <w:rsid w:val="00EA54FF"/>
    <w:rsid w:val="00EA5DDD"/>
    <w:rsid w:val="00EA651C"/>
    <w:rsid w:val="00EA68C2"/>
    <w:rsid w:val="00EA71D4"/>
    <w:rsid w:val="00EB00C9"/>
    <w:rsid w:val="00EB1C9F"/>
    <w:rsid w:val="00EB660F"/>
    <w:rsid w:val="00EB6CDD"/>
    <w:rsid w:val="00EC169E"/>
    <w:rsid w:val="00EC1781"/>
    <w:rsid w:val="00EC35F5"/>
    <w:rsid w:val="00EC4ABC"/>
    <w:rsid w:val="00ED1BFC"/>
    <w:rsid w:val="00ED5791"/>
    <w:rsid w:val="00ED71CE"/>
    <w:rsid w:val="00EE0529"/>
    <w:rsid w:val="00EE152C"/>
    <w:rsid w:val="00EE34C9"/>
    <w:rsid w:val="00EE46A5"/>
    <w:rsid w:val="00EE4E7D"/>
    <w:rsid w:val="00EE4FC1"/>
    <w:rsid w:val="00EE682E"/>
    <w:rsid w:val="00EF09F1"/>
    <w:rsid w:val="00EF216C"/>
    <w:rsid w:val="00EF69C6"/>
    <w:rsid w:val="00EF6FD3"/>
    <w:rsid w:val="00EF6FFD"/>
    <w:rsid w:val="00F0174F"/>
    <w:rsid w:val="00F033AF"/>
    <w:rsid w:val="00F044F4"/>
    <w:rsid w:val="00F064B9"/>
    <w:rsid w:val="00F070DF"/>
    <w:rsid w:val="00F10F96"/>
    <w:rsid w:val="00F11552"/>
    <w:rsid w:val="00F122C9"/>
    <w:rsid w:val="00F1419E"/>
    <w:rsid w:val="00F15C35"/>
    <w:rsid w:val="00F16831"/>
    <w:rsid w:val="00F16B98"/>
    <w:rsid w:val="00F16C92"/>
    <w:rsid w:val="00F173BF"/>
    <w:rsid w:val="00F211E2"/>
    <w:rsid w:val="00F23629"/>
    <w:rsid w:val="00F23B8D"/>
    <w:rsid w:val="00F24C95"/>
    <w:rsid w:val="00F24D53"/>
    <w:rsid w:val="00F25A6C"/>
    <w:rsid w:val="00F3115B"/>
    <w:rsid w:val="00F3138C"/>
    <w:rsid w:val="00F31522"/>
    <w:rsid w:val="00F37C72"/>
    <w:rsid w:val="00F405C8"/>
    <w:rsid w:val="00F40EF6"/>
    <w:rsid w:val="00F41364"/>
    <w:rsid w:val="00F41826"/>
    <w:rsid w:val="00F41C35"/>
    <w:rsid w:val="00F42F70"/>
    <w:rsid w:val="00F44815"/>
    <w:rsid w:val="00F4500F"/>
    <w:rsid w:val="00F45AA8"/>
    <w:rsid w:val="00F47D8B"/>
    <w:rsid w:val="00F47E5F"/>
    <w:rsid w:val="00F51FED"/>
    <w:rsid w:val="00F536A2"/>
    <w:rsid w:val="00F55101"/>
    <w:rsid w:val="00F622B2"/>
    <w:rsid w:val="00F643BE"/>
    <w:rsid w:val="00F667A6"/>
    <w:rsid w:val="00F72C9E"/>
    <w:rsid w:val="00F749FD"/>
    <w:rsid w:val="00F74AAF"/>
    <w:rsid w:val="00F75FD1"/>
    <w:rsid w:val="00F7633B"/>
    <w:rsid w:val="00F76A0B"/>
    <w:rsid w:val="00F76BB4"/>
    <w:rsid w:val="00F833A0"/>
    <w:rsid w:val="00F85607"/>
    <w:rsid w:val="00F85B1F"/>
    <w:rsid w:val="00F86BFF"/>
    <w:rsid w:val="00F86FFA"/>
    <w:rsid w:val="00F87E0E"/>
    <w:rsid w:val="00F9090B"/>
    <w:rsid w:val="00F92395"/>
    <w:rsid w:val="00F9600C"/>
    <w:rsid w:val="00F965B5"/>
    <w:rsid w:val="00F97AFC"/>
    <w:rsid w:val="00FA00DA"/>
    <w:rsid w:val="00FA14BD"/>
    <w:rsid w:val="00FA1595"/>
    <w:rsid w:val="00FA42E2"/>
    <w:rsid w:val="00FA5C45"/>
    <w:rsid w:val="00FA728E"/>
    <w:rsid w:val="00FA7475"/>
    <w:rsid w:val="00FA7832"/>
    <w:rsid w:val="00FB32BB"/>
    <w:rsid w:val="00FB4979"/>
    <w:rsid w:val="00FC0958"/>
    <w:rsid w:val="00FC297C"/>
    <w:rsid w:val="00FC29C0"/>
    <w:rsid w:val="00FC2D9D"/>
    <w:rsid w:val="00FC7E31"/>
    <w:rsid w:val="00FD0453"/>
    <w:rsid w:val="00FD0DA9"/>
    <w:rsid w:val="00FD1DCA"/>
    <w:rsid w:val="00FD2C6C"/>
    <w:rsid w:val="00FD2D27"/>
    <w:rsid w:val="00FD4A97"/>
    <w:rsid w:val="00FE1F3F"/>
    <w:rsid w:val="00FE260C"/>
    <w:rsid w:val="00FE412A"/>
    <w:rsid w:val="00FE5673"/>
    <w:rsid w:val="00FE5F99"/>
    <w:rsid w:val="00FE61E0"/>
    <w:rsid w:val="00FF062E"/>
    <w:rsid w:val="00FF40C4"/>
    <w:rsid w:val="00FF4AB4"/>
    <w:rsid w:val="00FF672B"/>
    <w:rsid w:val="00FF72C5"/>
    <w:rsid w:val="0115459F"/>
    <w:rsid w:val="0129EF5F"/>
    <w:rsid w:val="012E5514"/>
    <w:rsid w:val="016BB57E"/>
    <w:rsid w:val="01D69F93"/>
    <w:rsid w:val="0226B8F8"/>
    <w:rsid w:val="023D0DA7"/>
    <w:rsid w:val="024B494C"/>
    <w:rsid w:val="02DAEB83"/>
    <w:rsid w:val="030085E2"/>
    <w:rsid w:val="0318C5DC"/>
    <w:rsid w:val="032457D8"/>
    <w:rsid w:val="0326208E"/>
    <w:rsid w:val="03782730"/>
    <w:rsid w:val="03F4C6D7"/>
    <w:rsid w:val="03FD5CE8"/>
    <w:rsid w:val="04071CD7"/>
    <w:rsid w:val="0413FAE7"/>
    <w:rsid w:val="044899CF"/>
    <w:rsid w:val="044CCD79"/>
    <w:rsid w:val="04D007B2"/>
    <w:rsid w:val="0534888B"/>
    <w:rsid w:val="05AB6739"/>
    <w:rsid w:val="05F2A1C0"/>
    <w:rsid w:val="060355F4"/>
    <w:rsid w:val="060AD5F1"/>
    <w:rsid w:val="060B67E0"/>
    <w:rsid w:val="06BCCBC8"/>
    <w:rsid w:val="06E3ED15"/>
    <w:rsid w:val="06EB42F3"/>
    <w:rsid w:val="07247A1D"/>
    <w:rsid w:val="07297B3C"/>
    <w:rsid w:val="075412FB"/>
    <w:rsid w:val="077BEA91"/>
    <w:rsid w:val="0795B8C6"/>
    <w:rsid w:val="07C3EF6B"/>
    <w:rsid w:val="07E8F032"/>
    <w:rsid w:val="07F3F118"/>
    <w:rsid w:val="07FDE785"/>
    <w:rsid w:val="0801C8C8"/>
    <w:rsid w:val="083BDC94"/>
    <w:rsid w:val="08532C3B"/>
    <w:rsid w:val="085D42F4"/>
    <w:rsid w:val="0865CB0E"/>
    <w:rsid w:val="088B9FA7"/>
    <w:rsid w:val="08E6281B"/>
    <w:rsid w:val="08EAC9A6"/>
    <w:rsid w:val="08ED7F9E"/>
    <w:rsid w:val="0929824A"/>
    <w:rsid w:val="095180B3"/>
    <w:rsid w:val="095891ED"/>
    <w:rsid w:val="09795A77"/>
    <w:rsid w:val="0AE20A6C"/>
    <w:rsid w:val="0B576C2F"/>
    <w:rsid w:val="0B77FE46"/>
    <w:rsid w:val="0BAD7EB5"/>
    <w:rsid w:val="0BD96CB6"/>
    <w:rsid w:val="0BDA10A7"/>
    <w:rsid w:val="0BFABA6B"/>
    <w:rsid w:val="0C078327"/>
    <w:rsid w:val="0C1D84C6"/>
    <w:rsid w:val="0C483AC1"/>
    <w:rsid w:val="0C839A3C"/>
    <w:rsid w:val="0C93E389"/>
    <w:rsid w:val="0CB56732"/>
    <w:rsid w:val="0CC470D3"/>
    <w:rsid w:val="0CC98D4A"/>
    <w:rsid w:val="0D3B583B"/>
    <w:rsid w:val="0D41AEE4"/>
    <w:rsid w:val="0D53A29A"/>
    <w:rsid w:val="0D5CAFFA"/>
    <w:rsid w:val="0D7140AE"/>
    <w:rsid w:val="0D727A5B"/>
    <w:rsid w:val="0D7A663B"/>
    <w:rsid w:val="0D82A5E4"/>
    <w:rsid w:val="0D8ECD6F"/>
    <w:rsid w:val="0D99A675"/>
    <w:rsid w:val="0DA1B4D0"/>
    <w:rsid w:val="0DBE0AA4"/>
    <w:rsid w:val="0DC4C594"/>
    <w:rsid w:val="0E0C465E"/>
    <w:rsid w:val="0E12BA41"/>
    <w:rsid w:val="0E1363E1"/>
    <w:rsid w:val="0E171158"/>
    <w:rsid w:val="0E2B8F24"/>
    <w:rsid w:val="0E31E8D0"/>
    <w:rsid w:val="0E364417"/>
    <w:rsid w:val="0E5884B4"/>
    <w:rsid w:val="0E9BB818"/>
    <w:rsid w:val="0EE5B343"/>
    <w:rsid w:val="0EE7EB2D"/>
    <w:rsid w:val="0F33F185"/>
    <w:rsid w:val="0F7850FC"/>
    <w:rsid w:val="0F88F113"/>
    <w:rsid w:val="0F9C4009"/>
    <w:rsid w:val="0FB79065"/>
    <w:rsid w:val="0FD98A0B"/>
    <w:rsid w:val="0FDF4C74"/>
    <w:rsid w:val="0FFB0CFC"/>
    <w:rsid w:val="1017A177"/>
    <w:rsid w:val="10668FFC"/>
    <w:rsid w:val="106D8E79"/>
    <w:rsid w:val="106F49D7"/>
    <w:rsid w:val="10C47BB5"/>
    <w:rsid w:val="10D465F4"/>
    <w:rsid w:val="10EFC980"/>
    <w:rsid w:val="11179C03"/>
    <w:rsid w:val="11445254"/>
    <w:rsid w:val="11584E03"/>
    <w:rsid w:val="1177F384"/>
    <w:rsid w:val="11984C7C"/>
    <w:rsid w:val="11AB7306"/>
    <w:rsid w:val="120D0118"/>
    <w:rsid w:val="1222C277"/>
    <w:rsid w:val="122D0FF0"/>
    <w:rsid w:val="122E1659"/>
    <w:rsid w:val="1290AB1C"/>
    <w:rsid w:val="12D400E4"/>
    <w:rsid w:val="1303226F"/>
    <w:rsid w:val="130BACED"/>
    <w:rsid w:val="1344E226"/>
    <w:rsid w:val="134DFE4B"/>
    <w:rsid w:val="135CA6A7"/>
    <w:rsid w:val="13A037C2"/>
    <w:rsid w:val="140282F1"/>
    <w:rsid w:val="14918C9A"/>
    <w:rsid w:val="1498066D"/>
    <w:rsid w:val="14B68460"/>
    <w:rsid w:val="14BC84D1"/>
    <w:rsid w:val="14C82F3F"/>
    <w:rsid w:val="15234B5A"/>
    <w:rsid w:val="1547719D"/>
    <w:rsid w:val="154FDFFF"/>
    <w:rsid w:val="15617FAE"/>
    <w:rsid w:val="1575DB2A"/>
    <w:rsid w:val="1575E7AC"/>
    <w:rsid w:val="159E9F29"/>
    <w:rsid w:val="15AE56EF"/>
    <w:rsid w:val="15DBA9E6"/>
    <w:rsid w:val="15DFFD10"/>
    <w:rsid w:val="15E0F307"/>
    <w:rsid w:val="15FAEF55"/>
    <w:rsid w:val="15FCDC3F"/>
    <w:rsid w:val="1617B730"/>
    <w:rsid w:val="161F5E31"/>
    <w:rsid w:val="1622D14B"/>
    <w:rsid w:val="1639B6CC"/>
    <w:rsid w:val="1668FFDA"/>
    <w:rsid w:val="1689E963"/>
    <w:rsid w:val="16C5B9E6"/>
    <w:rsid w:val="16D1E3D2"/>
    <w:rsid w:val="1773C0D6"/>
    <w:rsid w:val="1782517D"/>
    <w:rsid w:val="17A27F8B"/>
    <w:rsid w:val="17B1F3FA"/>
    <w:rsid w:val="17BB7517"/>
    <w:rsid w:val="17CF5B1A"/>
    <w:rsid w:val="17E6C170"/>
    <w:rsid w:val="183A11CF"/>
    <w:rsid w:val="18594755"/>
    <w:rsid w:val="18686604"/>
    <w:rsid w:val="186FDB2C"/>
    <w:rsid w:val="1879B1B0"/>
    <w:rsid w:val="1895241E"/>
    <w:rsid w:val="18A57F34"/>
    <w:rsid w:val="190BC2C4"/>
    <w:rsid w:val="197AABB9"/>
    <w:rsid w:val="19A4FD3B"/>
    <w:rsid w:val="19B6AD2B"/>
    <w:rsid w:val="19B7768F"/>
    <w:rsid w:val="19BDDDE9"/>
    <w:rsid w:val="19C3019C"/>
    <w:rsid w:val="19DD74E8"/>
    <w:rsid w:val="1A024BBC"/>
    <w:rsid w:val="1A593A36"/>
    <w:rsid w:val="1A8BDCE9"/>
    <w:rsid w:val="1AEBECF8"/>
    <w:rsid w:val="1B018C90"/>
    <w:rsid w:val="1B36DB7D"/>
    <w:rsid w:val="1B428371"/>
    <w:rsid w:val="1B8BE36E"/>
    <w:rsid w:val="1BC9B1B5"/>
    <w:rsid w:val="1BD225AD"/>
    <w:rsid w:val="1BE28650"/>
    <w:rsid w:val="1C3AD78B"/>
    <w:rsid w:val="1C713A91"/>
    <w:rsid w:val="1CBAFD02"/>
    <w:rsid w:val="1CD9FA30"/>
    <w:rsid w:val="1D0D239C"/>
    <w:rsid w:val="1D1A1DF7"/>
    <w:rsid w:val="1D814DB3"/>
    <w:rsid w:val="1D964A4E"/>
    <w:rsid w:val="1DAB1087"/>
    <w:rsid w:val="1DC399F6"/>
    <w:rsid w:val="1E1CCBAC"/>
    <w:rsid w:val="1E2A83CA"/>
    <w:rsid w:val="1E2B2B18"/>
    <w:rsid w:val="1E56B7FE"/>
    <w:rsid w:val="1E688A4D"/>
    <w:rsid w:val="1E93D762"/>
    <w:rsid w:val="1EBFF2DB"/>
    <w:rsid w:val="1F2072AD"/>
    <w:rsid w:val="1F20F815"/>
    <w:rsid w:val="1FF9DD72"/>
    <w:rsid w:val="203FD5D9"/>
    <w:rsid w:val="204023B2"/>
    <w:rsid w:val="207BDAC5"/>
    <w:rsid w:val="20B83B8A"/>
    <w:rsid w:val="20F315F2"/>
    <w:rsid w:val="211C4C83"/>
    <w:rsid w:val="212E69B9"/>
    <w:rsid w:val="213F64B7"/>
    <w:rsid w:val="2158911A"/>
    <w:rsid w:val="21600B68"/>
    <w:rsid w:val="21990B39"/>
    <w:rsid w:val="21A944E6"/>
    <w:rsid w:val="21C01B9F"/>
    <w:rsid w:val="21F51FB6"/>
    <w:rsid w:val="22003C20"/>
    <w:rsid w:val="221A1B5F"/>
    <w:rsid w:val="22658EBF"/>
    <w:rsid w:val="226E3B8F"/>
    <w:rsid w:val="22EED63F"/>
    <w:rsid w:val="22FD5D75"/>
    <w:rsid w:val="2324CD4D"/>
    <w:rsid w:val="23656603"/>
    <w:rsid w:val="23848EA2"/>
    <w:rsid w:val="23887345"/>
    <w:rsid w:val="23D98BA2"/>
    <w:rsid w:val="24038BBC"/>
    <w:rsid w:val="2411D05B"/>
    <w:rsid w:val="246BDCC3"/>
    <w:rsid w:val="247CE8F2"/>
    <w:rsid w:val="248CC4C7"/>
    <w:rsid w:val="249CFBFB"/>
    <w:rsid w:val="24C506A6"/>
    <w:rsid w:val="250125D1"/>
    <w:rsid w:val="25268C0C"/>
    <w:rsid w:val="256A292B"/>
    <w:rsid w:val="257E1D24"/>
    <w:rsid w:val="258BAE19"/>
    <w:rsid w:val="25B38F9A"/>
    <w:rsid w:val="261BC285"/>
    <w:rsid w:val="2630CD2B"/>
    <w:rsid w:val="26798AD6"/>
    <w:rsid w:val="267EF0C9"/>
    <w:rsid w:val="26A2A89D"/>
    <w:rsid w:val="26E49B0A"/>
    <w:rsid w:val="26F4BAAD"/>
    <w:rsid w:val="2707BA14"/>
    <w:rsid w:val="270EEC16"/>
    <w:rsid w:val="271D73D7"/>
    <w:rsid w:val="273CBA7F"/>
    <w:rsid w:val="27609BC6"/>
    <w:rsid w:val="27A1DEFE"/>
    <w:rsid w:val="27AAE324"/>
    <w:rsid w:val="27AB60AE"/>
    <w:rsid w:val="27AEACF9"/>
    <w:rsid w:val="27DAB373"/>
    <w:rsid w:val="28041E30"/>
    <w:rsid w:val="28064A27"/>
    <w:rsid w:val="2823491A"/>
    <w:rsid w:val="2869A45E"/>
    <w:rsid w:val="28751D60"/>
    <w:rsid w:val="28964A7B"/>
    <w:rsid w:val="289A53EC"/>
    <w:rsid w:val="28A14D0B"/>
    <w:rsid w:val="28CAFCAE"/>
    <w:rsid w:val="291CEAD5"/>
    <w:rsid w:val="295D8F31"/>
    <w:rsid w:val="2972860D"/>
    <w:rsid w:val="29B51E49"/>
    <w:rsid w:val="29BCC15C"/>
    <w:rsid w:val="29CF6E58"/>
    <w:rsid w:val="2A00E265"/>
    <w:rsid w:val="2A1B0EE9"/>
    <w:rsid w:val="2A5902C2"/>
    <w:rsid w:val="2AB96EB8"/>
    <w:rsid w:val="2AE8EE09"/>
    <w:rsid w:val="2B0A3296"/>
    <w:rsid w:val="2B0D241F"/>
    <w:rsid w:val="2B2B18D5"/>
    <w:rsid w:val="2B3EE8FA"/>
    <w:rsid w:val="2B3F3DC7"/>
    <w:rsid w:val="2B7C23FB"/>
    <w:rsid w:val="2B7C6C73"/>
    <w:rsid w:val="2BB43FE7"/>
    <w:rsid w:val="2BF99709"/>
    <w:rsid w:val="2C6DC33A"/>
    <w:rsid w:val="2C6FA1BE"/>
    <w:rsid w:val="2C9990A9"/>
    <w:rsid w:val="2CA72DA3"/>
    <w:rsid w:val="2D0CCCA3"/>
    <w:rsid w:val="2D18778F"/>
    <w:rsid w:val="2D3BFE69"/>
    <w:rsid w:val="2D3D1581"/>
    <w:rsid w:val="2D50297C"/>
    <w:rsid w:val="2D5943B5"/>
    <w:rsid w:val="2D78426E"/>
    <w:rsid w:val="2D7BD8CB"/>
    <w:rsid w:val="2DAC4704"/>
    <w:rsid w:val="2E162D66"/>
    <w:rsid w:val="2E5107EE"/>
    <w:rsid w:val="2E987789"/>
    <w:rsid w:val="2EB26A73"/>
    <w:rsid w:val="2ED28C95"/>
    <w:rsid w:val="2EF06D13"/>
    <w:rsid w:val="2F186128"/>
    <w:rsid w:val="2F1A2152"/>
    <w:rsid w:val="2F282A27"/>
    <w:rsid w:val="2F764931"/>
    <w:rsid w:val="2FAAE5C6"/>
    <w:rsid w:val="301C6A01"/>
    <w:rsid w:val="302DA6C7"/>
    <w:rsid w:val="3052F440"/>
    <w:rsid w:val="306B5C1A"/>
    <w:rsid w:val="307972C2"/>
    <w:rsid w:val="30B6CF29"/>
    <w:rsid w:val="312027CB"/>
    <w:rsid w:val="317BACED"/>
    <w:rsid w:val="3182E897"/>
    <w:rsid w:val="31B906F1"/>
    <w:rsid w:val="31D7F730"/>
    <w:rsid w:val="31DC8FE4"/>
    <w:rsid w:val="31E66F80"/>
    <w:rsid w:val="320A45F1"/>
    <w:rsid w:val="325CAD9C"/>
    <w:rsid w:val="32B15004"/>
    <w:rsid w:val="32C56A0C"/>
    <w:rsid w:val="32DB2C04"/>
    <w:rsid w:val="33281409"/>
    <w:rsid w:val="334A4F23"/>
    <w:rsid w:val="3358D778"/>
    <w:rsid w:val="3366F569"/>
    <w:rsid w:val="33743738"/>
    <w:rsid w:val="33ACBCD9"/>
    <w:rsid w:val="33EC2397"/>
    <w:rsid w:val="3416CFFE"/>
    <w:rsid w:val="341A0D49"/>
    <w:rsid w:val="341AE781"/>
    <w:rsid w:val="3420DA4E"/>
    <w:rsid w:val="34284042"/>
    <w:rsid w:val="342EAF6D"/>
    <w:rsid w:val="346B29A2"/>
    <w:rsid w:val="347C6508"/>
    <w:rsid w:val="348D2635"/>
    <w:rsid w:val="3490A5F9"/>
    <w:rsid w:val="34A019F8"/>
    <w:rsid w:val="34C51119"/>
    <w:rsid w:val="350A3368"/>
    <w:rsid w:val="352E7F3D"/>
    <w:rsid w:val="354FD3E8"/>
    <w:rsid w:val="356A4E04"/>
    <w:rsid w:val="3584C13B"/>
    <w:rsid w:val="3593BCD2"/>
    <w:rsid w:val="35CDB8D8"/>
    <w:rsid w:val="35D81DBD"/>
    <w:rsid w:val="35FE9FAA"/>
    <w:rsid w:val="36072876"/>
    <w:rsid w:val="3621EC43"/>
    <w:rsid w:val="3688396C"/>
    <w:rsid w:val="368CD5CC"/>
    <w:rsid w:val="369AB4ED"/>
    <w:rsid w:val="369C59D7"/>
    <w:rsid w:val="36BA2215"/>
    <w:rsid w:val="36DBEF1C"/>
    <w:rsid w:val="36E8F843"/>
    <w:rsid w:val="36EBE54D"/>
    <w:rsid w:val="36FAA71F"/>
    <w:rsid w:val="3703B513"/>
    <w:rsid w:val="376BC1BD"/>
    <w:rsid w:val="37805E79"/>
    <w:rsid w:val="3791E8B4"/>
    <w:rsid w:val="37A09F22"/>
    <w:rsid w:val="37BDF187"/>
    <w:rsid w:val="37C67FE3"/>
    <w:rsid w:val="38217BD9"/>
    <w:rsid w:val="382A74EC"/>
    <w:rsid w:val="382F070F"/>
    <w:rsid w:val="38423DF8"/>
    <w:rsid w:val="38E8AFFF"/>
    <w:rsid w:val="393A9E03"/>
    <w:rsid w:val="396B010D"/>
    <w:rsid w:val="397E8D35"/>
    <w:rsid w:val="3993FF9B"/>
    <w:rsid w:val="3A124EBC"/>
    <w:rsid w:val="3A3E41AA"/>
    <w:rsid w:val="3A456B61"/>
    <w:rsid w:val="3A512278"/>
    <w:rsid w:val="3A8A36DC"/>
    <w:rsid w:val="3AA1431E"/>
    <w:rsid w:val="3AE73C96"/>
    <w:rsid w:val="3AF38B14"/>
    <w:rsid w:val="3AF3CBA2"/>
    <w:rsid w:val="3BE9CBDD"/>
    <w:rsid w:val="3BFAB899"/>
    <w:rsid w:val="3C03FF39"/>
    <w:rsid w:val="3C10BEA6"/>
    <w:rsid w:val="3C301CB1"/>
    <w:rsid w:val="3C44B18E"/>
    <w:rsid w:val="3C60AF09"/>
    <w:rsid w:val="3CF24D82"/>
    <w:rsid w:val="3D283AD5"/>
    <w:rsid w:val="3D28A030"/>
    <w:rsid w:val="3D6E6F9D"/>
    <w:rsid w:val="3DD1DE41"/>
    <w:rsid w:val="3E3C6CD9"/>
    <w:rsid w:val="3E9E4C82"/>
    <w:rsid w:val="3F33A8B7"/>
    <w:rsid w:val="3F3BA71D"/>
    <w:rsid w:val="3F40B37E"/>
    <w:rsid w:val="3F5FD067"/>
    <w:rsid w:val="3F9E7C41"/>
    <w:rsid w:val="3FBA74A2"/>
    <w:rsid w:val="3FF17358"/>
    <w:rsid w:val="4001542D"/>
    <w:rsid w:val="401F92B7"/>
    <w:rsid w:val="403F990C"/>
    <w:rsid w:val="406080DE"/>
    <w:rsid w:val="4076C00F"/>
    <w:rsid w:val="40800DC0"/>
    <w:rsid w:val="409408FF"/>
    <w:rsid w:val="40BFACA5"/>
    <w:rsid w:val="40D39E8E"/>
    <w:rsid w:val="40E456EE"/>
    <w:rsid w:val="40F1AD0F"/>
    <w:rsid w:val="410DC32A"/>
    <w:rsid w:val="41224936"/>
    <w:rsid w:val="4126680B"/>
    <w:rsid w:val="41332D9C"/>
    <w:rsid w:val="41AEF925"/>
    <w:rsid w:val="41D5F504"/>
    <w:rsid w:val="41FEEC53"/>
    <w:rsid w:val="420A0AE7"/>
    <w:rsid w:val="420DC7EC"/>
    <w:rsid w:val="42633CF6"/>
    <w:rsid w:val="42665F1B"/>
    <w:rsid w:val="426C325D"/>
    <w:rsid w:val="434CAC93"/>
    <w:rsid w:val="435BFE33"/>
    <w:rsid w:val="436AF14D"/>
    <w:rsid w:val="43832A37"/>
    <w:rsid w:val="4392E002"/>
    <w:rsid w:val="43CA6855"/>
    <w:rsid w:val="441654CF"/>
    <w:rsid w:val="446AA111"/>
    <w:rsid w:val="448B73A8"/>
    <w:rsid w:val="44A0A1DC"/>
    <w:rsid w:val="44A238D6"/>
    <w:rsid w:val="44E06EC7"/>
    <w:rsid w:val="456C4D62"/>
    <w:rsid w:val="45D3B348"/>
    <w:rsid w:val="45FCEED6"/>
    <w:rsid w:val="4619C6B4"/>
    <w:rsid w:val="462450FF"/>
    <w:rsid w:val="4643FA21"/>
    <w:rsid w:val="46570AA5"/>
    <w:rsid w:val="46B7DC3D"/>
    <w:rsid w:val="46D2A472"/>
    <w:rsid w:val="46EC9720"/>
    <w:rsid w:val="46F6A89B"/>
    <w:rsid w:val="4711D1C1"/>
    <w:rsid w:val="472E3C25"/>
    <w:rsid w:val="474CFEDB"/>
    <w:rsid w:val="474F7F7D"/>
    <w:rsid w:val="47548F84"/>
    <w:rsid w:val="475EB0F3"/>
    <w:rsid w:val="478B1B18"/>
    <w:rsid w:val="47A6ECF9"/>
    <w:rsid w:val="47F35D01"/>
    <w:rsid w:val="4812E4B2"/>
    <w:rsid w:val="481CA215"/>
    <w:rsid w:val="4839799D"/>
    <w:rsid w:val="483CF79B"/>
    <w:rsid w:val="48460A55"/>
    <w:rsid w:val="4877A177"/>
    <w:rsid w:val="487E8385"/>
    <w:rsid w:val="48A80C84"/>
    <w:rsid w:val="48D48AB6"/>
    <w:rsid w:val="48D5DD97"/>
    <w:rsid w:val="492A17C8"/>
    <w:rsid w:val="498B9E75"/>
    <w:rsid w:val="499CF992"/>
    <w:rsid w:val="49AFD32C"/>
    <w:rsid w:val="49EB183C"/>
    <w:rsid w:val="4A64F7A4"/>
    <w:rsid w:val="4A9F8686"/>
    <w:rsid w:val="4AA76A9F"/>
    <w:rsid w:val="4AC36DE7"/>
    <w:rsid w:val="4AD2EA7F"/>
    <w:rsid w:val="4AFCF92B"/>
    <w:rsid w:val="4B48B76F"/>
    <w:rsid w:val="4B56E3F1"/>
    <w:rsid w:val="4BDA2377"/>
    <w:rsid w:val="4BFBEF95"/>
    <w:rsid w:val="4C2205AF"/>
    <w:rsid w:val="4C437243"/>
    <w:rsid w:val="4C503485"/>
    <w:rsid w:val="4C801800"/>
    <w:rsid w:val="4C839E77"/>
    <w:rsid w:val="4CC93D2D"/>
    <w:rsid w:val="4CE06EA5"/>
    <w:rsid w:val="4CE6A8E0"/>
    <w:rsid w:val="4D3EE4ED"/>
    <w:rsid w:val="4D510F74"/>
    <w:rsid w:val="4D51A4FD"/>
    <w:rsid w:val="4D76C918"/>
    <w:rsid w:val="4D81EB4E"/>
    <w:rsid w:val="4DC550F9"/>
    <w:rsid w:val="4E37B66D"/>
    <w:rsid w:val="4E721A27"/>
    <w:rsid w:val="4E99A9A5"/>
    <w:rsid w:val="4E9E1178"/>
    <w:rsid w:val="4E9E9F10"/>
    <w:rsid w:val="4EADF919"/>
    <w:rsid w:val="4EF809AF"/>
    <w:rsid w:val="4F248F6B"/>
    <w:rsid w:val="4F267FC7"/>
    <w:rsid w:val="4F39F02F"/>
    <w:rsid w:val="4F728F02"/>
    <w:rsid w:val="4F90DF64"/>
    <w:rsid w:val="4FB3FF2D"/>
    <w:rsid w:val="4FB8D588"/>
    <w:rsid w:val="4FD46FCC"/>
    <w:rsid w:val="4FE244B0"/>
    <w:rsid w:val="4FFA32AB"/>
    <w:rsid w:val="502FF273"/>
    <w:rsid w:val="5050F0D1"/>
    <w:rsid w:val="50922922"/>
    <w:rsid w:val="50A617AD"/>
    <w:rsid w:val="5109A4F7"/>
    <w:rsid w:val="516158CC"/>
    <w:rsid w:val="5191C17C"/>
    <w:rsid w:val="519A5E63"/>
    <w:rsid w:val="51AD4027"/>
    <w:rsid w:val="521F96BA"/>
    <w:rsid w:val="52648A3A"/>
    <w:rsid w:val="531F5654"/>
    <w:rsid w:val="53227C13"/>
    <w:rsid w:val="535071D5"/>
    <w:rsid w:val="53630D17"/>
    <w:rsid w:val="53643CD3"/>
    <w:rsid w:val="537D0FB8"/>
    <w:rsid w:val="538A24FC"/>
    <w:rsid w:val="5393C527"/>
    <w:rsid w:val="53E429EE"/>
    <w:rsid w:val="53EA6F87"/>
    <w:rsid w:val="5438CC8B"/>
    <w:rsid w:val="5449919F"/>
    <w:rsid w:val="5473F9C6"/>
    <w:rsid w:val="547D555B"/>
    <w:rsid w:val="54FCDA05"/>
    <w:rsid w:val="54FCDD37"/>
    <w:rsid w:val="5507494D"/>
    <w:rsid w:val="5527B108"/>
    <w:rsid w:val="552EC1D5"/>
    <w:rsid w:val="552F96CF"/>
    <w:rsid w:val="55607212"/>
    <w:rsid w:val="55ADF0C4"/>
    <w:rsid w:val="55CBD078"/>
    <w:rsid w:val="55CFEDBF"/>
    <w:rsid w:val="55E0CC21"/>
    <w:rsid w:val="5610CFD4"/>
    <w:rsid w:val="5610E7E8"/>
    <w:rsid w:val="563A4344"/>
    <w:rsid w:val="56513986"/>
    <w:rsid w:val="567618E7"/>
    <w:rsid w:val="568E1B7B"/>
    <w:rsid w:val="56A6DECA"/>
    <w:rsid w:val="56B80567"/>
    <w:rsid w:val="56CEDDC5"/>
    <w:rsid w:val="56DB3A91"/>
    <w:rsid w:val="5721C034"/>
    <w:rsid w:val="57439673"/>
    <w:rsid w:val="57ABC404"/>
    <w:rsid w:val="57CF17E8"/>
    <w:rsid w:val="57FA6EF3"/>
    <w:rsid w:val="57FC54BB"/>
    <w:rsid w:val="58086CEB"/>
    <w:rsid w:val="5887E47F"/>
    <w:rsid w:val="589DAABE"/>
    <w:rsid w:val="58F1F4CB"/>
    <w:rsid w:val="591F5F5D"/>
    <w:rsid w:val="59626270"/>
    <w:rsid w:val="598650FF"/>
    <w:rsid w:val="5996DC70"/>
    <w:rsid w:val="59CB0866"/>
    <w:rsid w:val="59D25678"/>
    <w:rsid w:val="5A287839"/>
    <w:rsid w:val="5A6B4970"/>
    <w:rsid w:val="5A70B45C"/>
    <w:rsid w:val="5AA49E4A"/>
    <w:rsid w:val="5AABBCB2"/>
    <w:rsid w:val="5AFDFC21"/>
    <w:rsid w:val="5B10130F"/>
    <w:rsid w:val="5B37AC5A"/>
    <w:rsid w:val="5B6388EE"/>
    <w:rsid w:val="5B8B768A"/>
    <w:rsid w:val="5BD7F424"/>
    <w:rsid w:val="5C17E815"/>
    <w:rsid w:val="5C50B854"/>
    <w:rsid w:val="5C71F01D"/>
    <w:rsid w:val="5C94A833"/>
    <w:rsid w:val="5CA75DDE"/>
    <w:rsid w:val="5CBD7492"/>
    <w:rsid w:val="5CE828EB"/>
    <w:rsid w:val="5D0AA31D"/>
    <w:rsid w:val="5D2ABA0B"/>
    <w:rsid w:val="5D6C16BC"/>
    <w:rsid w:val="5D797E93"/>
    <w:rsid w:val="5DA8B678"/>
    <w:rsid w:val="5DC0A780"/>
    <w:rsid w:val="5DCEFFA2"/>
    <w:rsid w:val="5E37362F"/>
    <w:rsid w:val="5E38894F"/>
    <w:rsid w:val="5E391E39"/>
    <w:rsid w:val="5E5B4217"/>
    <w:rsid w:val="5E8CFBEB"/>
    <w:rsid w:val="5EBD8A86"/>
    <w:rsid w:val="5EC027EE"/>
    <w:rsid w:val="5ED6777A"/>
    <w:rsid w:val="5EE1B507"/>
    <w:rsid w:val="5EFC9B6F"/>
    <w:rsid w:val="5F07516F"/>
    <w:rsid w:val="5F52C937"/>
    <w:rsid w:val="5F654DF5"/>
    <w:rsid w:val="5F7ECD08"/>
    <w:rsid w:val="5FAAEAE6"/>
    <w:rsid w:val="5FDEAD9F"/>
    <w:rsid w:val="5FE1D821"/>
    <w:rsid w:val="5FEA0696"/>
    <w:rsid w:val="60209FE8"/>
    <w:rsid w:val="60433356"/>
    <w:rsid w:val="60771004"/>
    <w:rsid w:val="60896DE8"/>
    <w:rsid w:val="6091BAEF"/>
    <w:rsid w:val="609F0FB8"/>
    <w:rsid w:val="60D7F5B9"/>
    <w:rsid w:val="60DDC796"/>
    <w:rsid w:val="60DF37D7"/>
    <w:rsid w:val="60F80E02"/>
    <w:rsid w:val="6103F48E"/>
    <w:rsid w:val="610885FE"/>
    <w:rsid w:val="612AAFB9"/>
    <w:rsid w:val="61504CCA"/>
    <w:rsid w:val="6160B278"/>
    <w:rsid w:val="6161F55C"/>
    <w:rsid w:val="616424B6"/>
    <w:rsid w:val="616910CC"/>
    <w:rsid w:val="6188DE97"/>
    <w:rsid w:val="61AA3C25"/>
    <w:rsid w:val="61F2D879"/>
    <w:rsid w:val="61FBBECF"/>
    <w:rsid w:val="61FFDEE4"/>
    <w:rsid w:val="623E5685"/>
    <w:rsid w:val="62542194"/>
    <w:rsid w:val="62566AC5"/>
    <w:rsid w:val="62C32AB0"/>
    <w:rsid w:val="62DA0234"/>
    <w:rsid w:val="62E72691"/>
    <w:rsid w:val="632FB849"/>
    <w:rsid w:val="634D014F"/>
    <w:rsid w:val="63D11BE8"/>
    <w:rsid w:val="64017E9D"/>
    <w:rsid w:val="6401F0BB"/>
    <w:rsid w:val="6426E25B"/>
    <w:rsid w:val="644ADA7C"/>
    <w:rsid w:val="64533B45"/>
    <w:rsid w:val="646B8A4C"/>
    <w:rsid w:val="64762032"/>
    <w:rsid w:val="649F74A8"/>
    <w:rsid w:val="64BF405A"/>
    <w:rsid w:val="64C1C737"/>
    <w:rsid w:val="64F470B1"/>
    <w:rsid w:val="651E525C"/>
    <w:rsid w:val="652951AB"/>
    <w:rsid w:val="654F6B3C"/>
    <w:rsid w:val="656F1265"/>
    <w:rsid w:val="6579D45E"/>
    <w:rsid w:val="657AB955"/>
    <w:rsid w:val="659AFAD8"/>
    <w:rsid w:val="65BA0D64"/>
    <w:rsid w:val="65E2D84D"/>
    <w:rsid w:val="65FA75EB"/>
    <w:rsid w:val="66374B77"/>
    <w:rsid w:val="663BE012"/>
    <w:rsid w:val="664DA596"/>
    <w:rsid w:val="6676BE56"/>
    <w:rsid w:val="66A0D2CD"/>
    <w:rsid w:val="66DD5F9A"/>
    <w:rsid w:val="6707DCB8"/>
    <w:rsid w:val="6788FA16"/>
    <w:rsid w:val="6792187B"/>
    <w:rsid w:val="67C8D060"/>
    <w:rsid w:val="680AB2E0"/>
    <w:rsid w:val="6848DAFC"/>
    <w:rsid w:val="687E9871"/>
    <w:rsid w:val="68BE6C44"/>
    <w:rsid w:val="68E90B87"/>
    <w:rsid w:val="6912DCF5"/>
    <w:rsid w:val="6925AE7D"/>
    <w:rsid w:val="692732B1"/>
    <w:rsid w:val="69374126"/>
    <w:rsid w:val="694C3E5D"/>
    <w:rsid w:val="69659D73"/>
    <w:rsid w:val="697C59A9"/>
    <w:rsid w:val="697F75C9"/>
    <w:rsid w:val="697F969E"/>
    <w:rsid w:val="69911D55"/>
    <w:rsid w:val="69FBEA29"/>
    <w:rsid w:val="6A6EFEE9"/>
    <w:rsid w:val="6AAFAD60"/>
    <w:rsid w:val="6AB62DA0"/>
    <w:rsid w:val="6ACAC77D"/>
    <w:rsid w:val="6B5161DA"/>
    <w:rsid w:val="6B73326A"/>
    <w:rsid w:val="6B8247C8"/>
    <w:rsid w:val="6BE6B7E4"/>
    <w:rsid w:val="6BF3E09D"/>
    <w:rsid w:val="6C053FA4"/>
    <w:rsid w:val="6C3F3420"/>
    <w:rsid w:val="6C540792"/>
    <w:rsid w:val="6C85238E"/>
    <w:rsid w:val="6CA37589"/>
    <w:rsid w:val="6CA60EF1"/>
    <w:rsid w:val="6D09AA42"/>
    <w:rsid w:val="6D3BD301"/>
    <w:rsid w:val="6DA1E616"/>
    <w:rsid w:val="6DBC3E66"/>
    <w:rsid w:val="6DCB3CC8"/>
    <w:rsid w:val="6DF74787"/>
    <w:rsid w:val="6DFA40C0"/>
    <w:rsid w:val="6E0CBAF7"/>
    <w:rsid w:val="6E2AB0F9"/>
    <w:rsid w:val="6E5C2898"/>
    <w:rsid w:val="6E69D4E1"/>
    <w:rsid w:val="6E75C160"/>
    <w:rsid w:val="6E8F36B4"/>
    <w:rsid w:val="6EA088C1"/>
    <w:rsid w:val="6EEE6C93"/>
    <w:rsid w:val="6F19496E"/>
    <w:rsid w:val="6F295650"/>
    <w:rsid w:val="6F7E7004"/>
    <w:rsid w:val="6F8017FE"/>
    <w:rsid w:val="6F8CC116"/>
    <w:rsid w:val="6FA4663C"/>
    <w:rsid w:val="700B0B74"/>
    <w:rsid w:val="701752F2"/>
    <w:rsid w:val="701B901E"/>
    <w:rsid w:val="702B5EC2"/>
    <w:rsid w:val="70D0940D"/>
    <w:rsid w:val="7137ABDB"/>
    <w:rsid w:val="717B9E1E"/>
    <w:rsid w:val="719E2FEE"/>
    <w:rsid w:val="71BDB7F5"/>
    <w:rsid w:val="71F89208"/>
    <w:rsid w:val="71FA9895"/>
    <w:rsid w:val="72005D13"/>
    <w:rsid w:val="7227F904"/>
    <w:rsid w:val="72306535"/>
    <w:rsid w:val="7262D56F"/>
    <w:rsid w:val="72BA223B"/>
    <w:rsid w:val="72CBFB17"/>
    <w:rsid w:val="731ED2DE"/>
    <w:rsid w:val="731F659F"/>
    <w:rsid w:val="732753B1"/>
    <w:rsid w:val="73419CFF"/>
    <w:rsid w:val="734793DA"/>
    <w:rsid w:val="736BF96E"/>
    <w:rsid w:val="738D86E8"/>
    <w:rsid w:val="73A0A490"/>
    <w:rsid w:val="73A306D8"/>
    <w:rsid w:val="73B82230"/>
    <w:rsid w:val="73D1B913"/>
    <w:rsid w:val="74010E52"/>
    <w:rsid w:val="742F8F62"/>
    <w:rsid w:val="744C2048"/>
    <w:rsid w:val="74893272"/>
    <w:rsid w:val="748FB618"/>
    <w:rsid w:val="74C25776"/>
    <w:rsid w:val="74C31693"/>
    <w:rsid w:val="74D4BE9F"/>
    <w:rsid w:val="74DAEDDE"/>
    <w:rsid w:val="74E9C5FD"/>
    <w:rsid w:val="7500D68C"/>
    <w:rsid w:val="7553ADD9"/>
    <w:rsid w:val="755F9FC9"/>
    <w:rsid w:val="75B6874F"/>
    <w:rsid w:val="75BEA4EA"/>
    <w:rsid w:val="75CCB893"/>
    <w:rsid w:val="75FDD2DE"/>
    <w:rsid w:val="761576BB"/>
    <w:rsid w:val="76286411"/>
    <w:rsid w:val="76DCDB37"/>
    <w:rsid w:val="7783FD07"/>
    <w:rsid w:val="77E1B9E0"/>
    <w:rsid w:val="780B3304"/>
    <w:rsid w:val="7829828D"/>
    <w:rsid w:val="784B4A3F"/>
    <w:rsid w:val="788323D5"/>
    <w:rsid w:val="78A15DAB"/>
    <w:rsid w:val="78F38876"/>
    <w:rsid w:val="79008176"/>
    <w:rsid w:val="795195D3"/>
    <w:rsid w:val="79B38A00"/>
    <w:rsid w:val="79FDC32F"/>
    <w:rsid w:val="7A82092B"/>
    <w:rsid w:val="7A8DA366"/>
    <w:rsid w:val="7A96AE66"/>
    <w:rsid w:val="7AC59F67"/>
    <w:rsid w:val="7B02A109"/>
    <w:rsid w:val="7B2DAE5A"/>
    <w:rsid w:val="7B323662"/>
    <w:rsid w:val="7B32EA38"/>
    <w:rsid w:val="7B40AF40"/>
    <w:rsid w:val="7B67EB46"/>
    <w:rsid w:val="7B7700A6"/>
    <w:rsid w:val="7B82D014"/>
    <w:rsid w:val="7B909E69"/>
    <w:rsid w:val="7B98E7C6"/>
    <w:rsid w:val="7C203392"/>
    <w:rsid w:val="7C35DDBD"/>
    <w:rsid w:val="7C3E6F8B"/>
    <w:rsid w:val="7C4870D8"/>
    <w:rsid w:val="7C4A0C52"/>
    <w:rsid w:val="7C83C58D"/>
    <w:rsid w:val="7CAF70F0"/>
    <w:rsid w:val="7D0BEA5E"/>
    <w:rsid w:val="7D66C7AA"/>
    <w:rsid w:val="7D8D4009"/>
    <w:rsid w:val="7D8D975B"/>
    <w:rsid w:val="7DA8DC44"/>
    <w:rsid w:val="7DC72F37"/>
    <w:rsid w:val="7E3453F0"/>
    <w:rsid w:val="7E436882"/>
    <w:rsid w:val="7E44CB23"/>
    <w:rsid w:val="7E620AAB"/>
    <w:rsid w:val="7E995649"/>
    <w:rsid w:val="7EBB1CF5"/>
    <w:rsid w:val="7EF7C9DA"/>
    <w:rsid w:val="7F074CF0"/>
    <w:rsid w:val="7F29E97E"/>
    <w:rsid w:val="7F2D72EF"/>
    <w:rsid w:val="7F2EA3EA"/>
    <w:rsid w:val="7F6D0D17"/>
    <w:rsid w:val="7F70D8AB"/>
    <w:rsid w:val="7F7C7E66"/>
    <w:rsid w:val="7F7DE8CE"/>
    <w:rsid w:val="7F9EF283"/>
    <w:rsid w:val="7FB2C218"/>
    <w:rsid w:val="7FF31408"/>
    <w:rsid w:val="7FFEA5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5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9F"/>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4C579F"/>
    <w:rPr>
      <w:sz w:val="20"/>
    </w:rPr>
  </w:style>
  <w:style w:type="character" w:customStyle="1" w:styleId="CommentTextChar">
    <w:name w:val="Comment Text Char"/>
    <w:basedOn w:val="DefaultParagraphFont"/>
    <w:link w:val="CommentText"/>
    <w:rsid w:val="004C579F"/>
    <w:rPr>
      <w:rFonts w:ascii="Courier New" w:eastAsia="Times New Roman" w:hAnsi="Courier New" w:cs="Times New Roman"/>
      <w:sz w:val="20"/>
      <w:szCs w:val="20"/>
      <w:lang w:eastAsia="en-GB"/>
    </w:rPr>
  </w:style>
  <w:style w:type="character" w:styleId="CommentReference">
    <w:name w:val="annotation reference"/>
    <w:uiPriority w:val="99"/>
    <w:rsid w:val="004C579F"/>
    <w:rPr>
      <w:sz w:val="16"/>
    </w:rPr>
  </w:style>
  <w:style w:type="paragraph" w:styleId="CommentSubject">
    <w:name w:val="annotation subject"/>
    <w:basedOn w:val="CommentText"/>
    <w:next w:val="CommentText"/>
    <w:link w:val="CommentSubjectChar"/>
    <w:uiPriority w:val="99"/>
    <w:semiHidden/>
    <w:unhideWhenUsed/>
    <w:rsid w:val="0067360D"/>
    <w:rPr>
      <w:b/>
      <w:bCs/>
    </w:rPr>
  </w:style>
  <w:style w:type="character" w:customStyle="1" w:styleId="CommentSubjectChar">
    <w:name w:val="Comment Subject Char"/>
    <w:basedOn w:val="CommentTextChar"/>
    <w:link w:val="CommentSubject"/>
    <w:uiPriority w:val="99"/>
    <w:semiHidden/>
    <w:rsid w:val="0067360D"/>
    <w:rPr>
      <w:rFonts w:ascii="Courier New" w:eastAsia="Times New Roman" w:hAnsi="Courier New" w:cs="Times New Roman"/>
      <w:b/>
      <w:bCs/>
      <w:sz w:val="20"/>
      <w:szCs w:val="20"/>
      <w:lang w:eastAsia="en-GB"/>
    </w:rPr>
  </w:style>
  <w:style w:type="paragraph" w:styleId="Revision">
    <w:name w:val="Revision"/>
    <w:hidden/>
    <w:uiPriority w:val="99"/>
    <w:semiHidden/>
    <w:rsid w:val="00A3599E"/>
    <w:pPr>
      <w:spacing w:after="0" w:line="240" w:lineRule="auto"/>
    </w:pPr>
    <w:rPr>
      <w:rFonts w:ascii="Courier New" w:eastAsia="Times New Roman" w:hAnsi="Courier New" w:cs="Times New Roman"/>
      <w:sz w:val="24"/>
      <w:szCs w:val="20"/>
      <w:lang w:eastAsia="en-GB"/>
    </w:rPr>
  </w:style>
  <w:style w:type="paragraph" w:styleId="Header">
    <w:name w:val="header"/>
    <w:basedOn w:val="Normal"/>
    <w:link w:val="HeaderChar"/>
    <w:uiPriority w:val="99"/>
    <w:unhideWhenUsed/>
    <w:rsid w:val="00F25A6C"/>
    <w:pPr>
      <w:tabs>
        <w:tab w:val="center" w:pos="4513"/>
        <w:tab w:val="right" w:pos="9026"/>
      </w:tabs>
      <w:spacing w:after="0"/>
    </w:pPr>
  </w:style>
  <w:style w:type="character" w:customStyle="1" w:styleId="HeaderChar">
    <w:name w:val="Header Char"/>
    <w:basedOn w:val="DefaultParagraphFont"/>
    <w:link w:val="Header"/>
    <w:uiPriority w:val="99"/>
    <w:rsid w:val="00F25A6C"/>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F25A6C"/>
    <w:pPr>
      <w:tabs>
        <w:tab w:val="center" w:pos="4513"/>
        <w:tab w:val="right" w:pos="9026"/>
      </w:tabs>
      <w:spacing w:after="0"/>
    </w:pPr>
  </w:style>
  <w:style w:type="character" w:customStyle="1" w:styleId="FooterChar">
    <w:name w:val="Footer Char"/>
    <w:basedOn w:val="DefaultParagraphFont"/>
    <w:link w:val="Footer"/>
    <w:uiPriority w:val="99"/>
    <w:rsid w:val="00F25A6C"/>
    <w:rPr>
      <w:rFonts w:ascii="Courier New" w:eastAsia="Times New Roman" w:hAnsi="Courier New" w:cs="Times New Roman"/>
      <w:sz w:val="24"/>
      <w:szCs w:val="20"/>
      <w:lang w:eastAsia="en-GB"/>
    </w:rPr>
  </w:style>
  <w:style w:type="paragraph" w:styleId="FootnoteText">
    <w:name w:val="footnote text"/>
    <w:basedOn w:val="Normal"/>
    <w:link w:val="FootnoteTextChar"/>
    <w:uiPriority w:val="99"/>
    <w:semiHidden/>
    <w:unhideWhenUsed/>
    <w:rsid w:val="009603D6"/>
    <w:pPr>
      <w:spacing w:after="0"/>
    </w:pPr>
    <w:rPr>
      <w:sz w:val="20"/>
    </w:rPr>
  </w:style>
  <w:style w:type="character" w:customStyle="1" w:styleId="FootnoteTextChar">
    <w:name w:val="Footnote Text Char"/>
    <w:basedOn w:val="DefaultParagraphFont"/>
    <w:link w:val="FootnoteText"/>
    <w:uiPriority w:val="99"/>
    <w:semiHidden/>
    <w:rsid w:val="009603D6"/>
    <w:rPr>
      <w:rFonts w:ascii="Courier New" w:eastAsia="Times New Roman" w:hAnsi="Courier New" w:cs="Times New Roman"/>
      <w:sz w:val="20"/>
      <w:szCs w:val="20"/>
      <w:lang w:eastAsia="en-GB"/>
    </w:rPr>
  </w:style>
  <w:style w:type="character" w:styleId="FootnoteReference">
    <w:name w:val="footnote reference"/>
    <w:basedOn w:val="DefaultParagraphFont"/>
    <w:uiPriority w:val="99"/>
    <w:semiHidden/>
    <w:unhideWhenUsed/>
    <w:rsid w:val="009603D6"/>
    <w:rPr>
      <w:vertAlign w:val="superscript"/>
    </w:rPr>
  </w:style>
  <w:style w:type="character" w:styleId="Mention">
    <w:name w:val="Mention"/>
    <w:basedOn w:val="DefaultParagraphFont"/>
    <w:uiPriority w:val="99"/>
    <w:unhideWhenUsed/>
    <w:rsid w:val="008B059A"/>
    <w:rPr>
      <w:color w:val="2B579A"/>
      <w:shd w:val="clear" w:color="auto" w:fill="E1DFDD"/>
    </w:rPr>
  </w:style>
  <w:style w:type="character" w:styleId="Hyperlink">
    <w:name w:val="Hyperlink"/>
    <w:basedOn w:val="DefaultParagraphFont"/>
    <w:uiPriority w:val="99"/>
    <w:unhideWhenUsed/>
    <w:rsid w:val="002E2D92"/>
    <w:rPr>
      <w:color w:val="0563C1" w:themeColor="hyperlink"/>
      <w:u w:val="single"/>
    </w:rPr>
  </w:style>
  <w:style w:type="character" w:styleId="UnresolvedMention">
    <w:name w:val="Unresolved Mention"/>
    <w:basedOn w:val="DefaultParagraphFont"/>
    <w:uiPriority w:val="99"/>
    <w:semiHidden/>
    <w:unhideWhenUsed/>
    <w:rsid w:val="002E2D92"/>
    <w:rPr>
      <w:color w:val="605E5C"/>
      <w:shd w:val="clear" w:color="auto" w:fill="E1DFDD"/>
    </w:rPr>
  </w:style>
  <w:style w:type="character" w:styleId="FollowedHyperlink">
    <w:name w:val="FollowedHyperlink"/>
    <w:basedOn w:val="DefaultParagraphFont"/>
    <w:uiPriority w:val="99"/>
    <w:semiHidden/>
    <w:unhideWhenUsed/>
    <w:rsid w:val="002E2D92"/>
    <w:rPr>
      <w:color w:val="954F72" w:themeColor="followedHyperlink"/>
      <w:u w:val="single"/>
    </w:rPr>
  </w:style>
  <w:style w:type="character" w:customStyle="1" w:styleId="sup">
    <w:name w:val="sup"/>
    <w:basedOn w:val="DefaultParagraphFont"/>
    <w:rsid w:val="00CD1ECB"/>
  </w:style>
  <w:style w:type="paragraph" w:customStyle="1" w:styleId="Briefingheading1">
    <w:name w:val="Briefing heading 1"/>
    <w:basedOn w:val="Normal"/>
    <w:next w:val="Normal"/>
    <w:qFormat/>
    <w:rsid w:val="00790E3B"/>
    <w:pPr>
      <w:keepNext/>
      <w:spacing w:before="120" w:after="120"/>
      <w:jc w:val="left"/>
    </w:pPr>
    <w:rPr>
      <w:rFonts w:ascii="Arial" w:hAnsi="Arial"/>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PDF/?uri=CELEX:52024DC0021" TargetMode="External"/><Relationship Id="rId1" Type="http://schemas.openxmlformats.org/officeDocument/2006/relationships/hyperlink" Target="https://www.eba.europa.eu/sites/default/files/2024-01/8039a4ea-6e61-45a9-a746-058fd070c34a/EBA%20Dashboard%20-%20Q3%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72634d-5da9-4e9f-98c3-3013ce1d07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13aa35d-30e5-41d1-9a7b-1c862c539650" xsi:nil="true"/>
    <Date xmlns="6f72634d-5da9-4e9f-98c3-3013ce1d074f" xsi:nil="true"/>
    <a748822c573043839fa7ab8b42cedc90 xmlns="6f72634d-5da9-4e9f-98c3-3013ce1d07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748822c573043839fa7ab8b42cedc90>
    <Permission xmlns="6f72634d-5da9-4e9f-98c3-3013ce1d074f">FISMA A2 only</Permission>
    <_Flow_SignoffStatus xmlns="6f72634d-5da9-4e9f-98c3-3013ce1d07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8946F0AA494C4BB25CCD4EAB82602F" ma:contentTypeVersion="17" ma:contentTypeDescription="Create a new document." ma:contentTypeScope="" ma:versionID="c4afaad0d03cff5a18e579eec2728de4">
  <xsd:schema xmlns:xsd="http://www.w3.org/2001/XMLSchema" xmlns:xs="http://www.w3.org/2001/XMLSchema" xmlns:p="http://schemas.microsoft.com/office/2006/metadata/properties" xmlns:ns2="6f72634d-5da9-4e9f-98c3-3013ce1d074f" xmlns:ns3="013aa35d-30e5-41d1-9a7b-1c862c539650" targetNamespace="http://schemas.microsoft.com/office/2006/metadata/properties" ma:root="true" ma:fieldsID="8cc4737aaf3d8b08aa2024c3e11f1907" ns2:_="" ns3:_="">
    <xsd:import namespace="6f72634d-5da9-4e9f-98c3-3013ce1d074f"/>
    <xsd:import namespace="013aa35d-30e5-41d1-9a7b-1c862c539650"/>
    <xsd:element name="properties">
      <xsd:complexType>
        <xsd:sequence>
          <xsd:element name="documentManagement">
            <xsd:complexType>
              <xsd:all>
                <xsd:element ref="ns2:Permission" minOccurs="0"/>
                <xsd:element ref="ns2:MediaServiceMetadata" minOccurs="0"/>
                <xsd:element ref="ns2:MediaServiceFastMetadata" minOccurs="0"/>
                <xsd:element ref="ns2:_Flow_SignoffStatus" minOccurs="0"/>
                <xsd:element ref="ns2:a748822c573043839fa7ab8b42cedc90" minOccurs="0"/>
                <xsd:element ref="ns3:TaxCatchAll"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634d-5da9-4e9f-98c3-3013ce1d074f" elementFormDefault="qualified">
    <xsd:import namespace="http://schemas.microsoft.com/office/2006/documentManagement/types"/>
    <xsd:import namespace="http://schemas.microsoft.com/office/infopath/2007/PartnerControls"/>
    <xsd:element name="Permission" ma:index="8" nillable="true" ma:displayName="Permission" ma:default="FISMA A2 only" ma:format="Dropdown" ma:internalName="Permiss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_Flow_SignoffStatus" ma:index="11" nillable="true" ma:displayName="Sign-off status" ma:internalName="Sign_x002d_off_x0020_status">
      <xsd:simpleType>
        <xsd:restriction base="dms:Text"/>
      </xsd:simpleType>
    </xsd:element>
    <xsd:element name="a748822c573043839fa7ab8b42cedc90" ma:index="13" nillable="true" ma:taxonomy="true" ma:internalName="a748822c573043839fa7ab8b42cedc90" ma:taxonomyFieldName="Doc_x0020_Status" ma:displayName="Doc Status" ma:default="" ma:fieldId="{a748822c-5730-4383-9fa7-ab8b42cedc90}" ma:sspId="22b2fad6-9d2c-441c-a321-3f5f1e9bd928" ma:termSetId="ed292b5c-f70b-45a5-b497-91902792a28c" ma:anchorId="00000000-0000-0000-0000-000000000000" ma:open="fals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ce17c-9498-44a9-84ac-9d8956980c39}" ma:internalName="TaxCatchAll" ma:showField="CatchAllData" ma:web="013aa35d-30e5-41d1-9a7b-1c862c53965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2204B-0F3D-44E4-9220-7E81A8248F1B}">
  <ds:schemaRefs>
    <ds:schemaRef ds:uri="http://schemas.openxmlformats.org/officeDocument/2006/bibliography"/>
  </ds:schemaRefs>
</ds:datastoreItem>
</file>

<file path=customXml/itemProps2.xml><?xml version="1.0" encoding="utf-8"?>
<ds:datastoreItem xmlns:ds="http://schemas.openxmlformats.org/officeDocument/2006/customXml" ds:itemID="{86B12DBE-639F-407B-BB84-732F5580E86A}">
  <ds:schemaRefs>
    <ds:schemaRef ds:uri="http://schemas.microsoft.com/office/2006/metadata/properties"/>
    <ds:schemaRef ds:uri="http://purl.org/dc/elements/1.1/"/>
    <ds:schemaRef ds:uri="http://purl.org/dc/dcmitype/"/>
    <ds:schemaRef ds:uri="http://purl.org/dc/terms/"/>
    <ds:schemaRef ds:uri="013aa35d-30e5-41d1-9a7b-1c862c539650"/>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f72634d-5da9-4e9f-98c3-3013ce1d074f"/>
  </ds:schemaRefs>
</ds:datastoreItem>
</file>

<file path=customXml/itemProps3.xml><?xml version="1.0" encoding="utf-8"?>
<ds:datastoreItem xmlns:ds="http://schemas.openxmlformats.org/officeDocument/2006/customXml" ds:itemID="{0574D9FB-F68F-468B-8419-55B341E86B3E}">
  <ds:schemaRefs>
    <ds:schemaRef ds:uri="http://schemas.microsoft.com/sharepoint/v3/contenttype/forms"/>
  </ds:schemaRefs>
</ds:datastoreItem>
</file>

<file path=customXml/itemProps4.xml><?xml version="1.0" encoding="utf-8"?>
<ds:datastoreItem xmlns:ds="http://schemas.openxmlformats.org/officeDocument/2006/customXml" ds:itemID="{CF1D8507-D276-4B83-A06B-17663E4D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634d-5da9-4e9f-98c3-3013ce1d074f"/>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3078</Words>
  <Characters>17118</Characters>
  <Application>Microsoft Office Word</Application>
  <DocSecurity>0</DocSecurity>
  <Lines>244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2024-04-18T12:37:00Z</dcterms:created>
  <dcterms:modified xsi:type="dcterms:W3CDTF">2024-04-18T13:38:00Z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0x010100F08946F0AA494C4BB25CCD4EAB82602F</vt:lpwstr>
  </property>
  <property fmtid="{D5CDD505-2E9C-101B-9397-08002B2CF9AE}" pid="3" name="MediaServiceImageTags">
    <vt:lpwstr/>
  </property>
  <property fmtid="{D5CDD505-2E9C-101B-9397-08002B2CF9AE}" pid="4" name="Doc Status">
    <vt:lpwstr/>
  </property>
  <property fmtid="{D5CDD505-2E9C-101B-9397-08002B2CF9AE}" pid="5" name="MSIP_Label_6bd9ddd1-4d20-43f6-abfa-fc3c07406f94_Enabled">
    <vt:lpwstr>true</vt:lpwstr>
  </property>
  <property fmtid="{D5CDD505-2E9C-101B-9397-08002B2CF9AE}" pid="6" name="MSIP_Label_6bd9ddd1-4d20-43f6-abfa-fc3c07406f94_SetDate">
    <vt:lpwstr>2024-03-21T17:14:23Z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404cf7a4-a926-4305-9994-f78ae999a2a8</vt:lpwstr>
  </property>
  <property fmtid="{D5CDD505-2E9C-101B-9397-08002B2CF9AE}" pid="11" name="MSIP_Label_6bd9ddd1-4d20-43f6-abfa-fc3c07406f94_ContentBits">
    <vt:lpwstr>0</vt:lpwstr>
  </property>
</Properties>
</file>