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55685" w14:textId="55606F6E" w:rsidR="004C579F" w:rsidRPr="008569C5" w:rsidRDefault="591F5F5D" w:rsidP="50A617AD">
      <w:pPr>
        <w:spacing w:after="600"/>
        <w:jc w:val="center"/>
        <w:rPr>
          <w:rFonts w:ascii="Times New Roman" w:hAnsi="Times New Roman"/>
          <w:b/>
          <w:bCs/>
          <w:color w:val="000000" w:themeColor="text1"/>
        </w:rPr>
      </w:pPr>
      <w:bookmarkStart w:id="0" w:name="Banking"/>
      <w:r>
        <w:rPr>
          <w:rFonts w:ascii="Times New Roman" w:hAnsi="Times New Roman"/>
          <w:b/>
          <w:color w:val="000000" w:themeColor="text1"/>
        </w:rPr>
        <w:t xml:space="preserve">Suite donnée à la résolution non législative du Parlement européen sur l’union bancaire </w:t>
      </w:r>
      <w:r w:rsidR="007E7A45">
        <w:rPr>
          <w:rFonts w:ascii="Times New Roman" w:hAnsi="Times New Roman"/>
          <w:b/>
          <w:color w:val="000000" w:themeColor="text1"/>
        </w:rPr>
        <w:t>-</w:t>
      </w:r>
      <w:r>
        <w:rPr>
          <w:rFonts w:ascii="Times New Roman" w:hAnsi="Times New Roman"/>
          <w:b/>
          <w:color w:val="000000" w:themeColor="text1"/>
        </w:rPr>
        <w:t xml:space="preserve"> rapport annuel 2023</w:t>
      </w:r>
    </w:p>
    <w:bookmarkEnd w:id="0"/>
    <w:p w14:paraId="4B0B97A9" w14:textId="3F2CA505" w:rsidR="008458F4" w:rsidRPr="006804E6" w:rsidRDefault="004C579F" w:rsidP="008458F4">
      <w:pPr>
        <w:numPr>
          <w:ilvl w:val="0"/>
          <w:numId w:val="1"/>
        </w:numPr>
        <w:ind w:left="567" w:hanging="567"/>
        <w:jc w:val="left"/>
        <w:rPr>
          <w:rFonts w:ascii="Times New Roman" w:hAnsi="Times New Roman"/>
          <w:color w:val="000000" w:themeColor="text1"/>
          <w:szCs w:val="24"/>
        </w:rPr>
      </w:pPr>
      <w:r>
        <w:rPr>
          <w:rFonts w:ascii="Times New Roman" w:hAnsi="Times New Roman"/>
          <w:b/>
          <w:color w:val="000000" w:themeColor="text1"/>
        </w:rPr>
        <w:t xml:space="preserve">Rapporteur: </w:t>
      </w:r>
      <w:r>
        <w:rPr>
          <w:rFonts w:ascii="Times New Roman" w:hAnsi="Times New Roman"/>
          <w:color w:val="000000" w:themeColor="text1"/>
        </w:rPr>
        <w:t>Ivars IJABS (Renew / LV)</w:t>
      </w:r>
    </w:p>
    <w:p w14:paraId="01E8B495" w14:textId="2BFE19C1" w:rsidR="004C579F" w:rsidRPr="008569C5" w:rsidRDefault="004C579F" w:rsidP="008458F4">
      <w:pPr>
        <w:numPr>
          <w:ilvl w:val="0"/>
          <w:numId w:val="1"/>
        </w:numPr>
        <w:ind w:left="567" w:hanging="567"/>
        <w:jc w:val="left"/>
        <w:rPr>
          <w:rFonts w:ascii="Times New Roman" w:hAnsi="Times New Roman"/>
          <w:color w:val="000000" w:themeColor="text1"/>
          <w:szCs w:val="24"/>
        </w:rPr>
      </w:pPr>
      <w:r>
        <w:rPr>
          <w:rFonts w:ascii="Times New Roman" w:hAnsi="Times New Roman"/>
          <w:b/>
          <w:color w:val="000000" w:themeColor="text1"/>
        </w:rPr>
        <w:t>Numéro de référence</w:t>
      </w:r>
      <w:r>
        <w:rPr>
          <w:rFonts w:ascii="Times New Roman" w:hAnsi="Times New Roman"/>
          <w:color w:val="000000" w:themeColor="text1"/>
        </w:rPr>
        <w:t>: 2023/2078 (INI) / A9-0431/2023 / P9_TA(2024)0012</w:t>
      </w:r>
    </w:p>
    <w:p w14:paraId="57645B32" w14:textId="52496054" w:rsidR="004C579F" w:rsidRPr="008569C5" w:rsidRDefault="004C579F" w:rsidP="004C579F">
      <w:pPr>
        <w:numPr>
          <w:ilvl w:val="0"/>
          <w:numId w:val="1"/>
        </w:numPr>
        <w:ind w:left="567" w:hanging="567"/>
        <w:jc w:val="left"/>
        <w:rPr>
          <w:rFonts w:ascii="Times New Roman" w:hAnsi="Times New Roman"/>
          <w:color w:val="000000" w:themeColor="text1"/>
          <w:szCs w:val="24"/>
        </w:rPr>
      </w:pPr>
      <w:r>
        <w:rPr>
          <w:rFonts w:ascii="Times New Roman" w:hAnsi="Times New Roman"/>
          <w:b/>
          <w:color w:val="000000" w:themeColor="text1"/>
        </w:rPr>
        <w:t xml:space="preserve">Date d’adoption de la résolution: </w:t>
      </w:r>
      <w:r>
        <w:rPr>
          <w:rFonts w:ascii="Times New Roman" w:hAnsi="Times New Roman"/>
          <w:color w:val="000000" w:themeColor="text1"/>
        </w:rPr>
        <w:t>16 janvier 2024</w:t>
      </w:r>
    </w:p>
    <w:p w14:paraId="400B674E" w14:textId="6CA0C65D" w:rsidR="004C579F" w:rsidRPr="008569C5" w:rsidRDefault="004C579F" w:rsidP="0067360D">
      <w:pPr>
        <w:numPr>
          <w:ilvl w:val="0"/>
          <w:numId w:val="1"/>
        </w:numPr>
        <w:ind w:left="567" w:hanging="567"/>
        <w:jc w:val="left"/>
        <w:rPr>
          <w:rFonts w:ascii="Times New Roman" w:hAnsi="Times New Roman"/>
          <w:color w:val="000000" w:themeColor="text1"/>
          <w:szCs w:val="24"/>
        </w:rPr>
      </w:pPr>
      <w:r>
        <w:rPr>
          <w:rFonts w:ascii="Times New Roman" w:hAnsi="Times New Roman"/>
          <w:color w:val="000000" w:themeColor="text1"/>
        </w:rPr>
        <w:t>Commission parlementaire compétente: commission des affaires économiques et monétaires (ECON)</w:t>
      </w:r>
    </w:p>
    <w:p w14:paraId="1086F986" w14:textId="4A15A1EA" w:rsidR="004C579F" w:rsidRPr="008569C5" w:rsidRDefault="004C579F" w:rsidP="004C579F">
      <w:pPr>
        <w:numPr>
          <w:ilvl w:val="0"/>
          <w:numId w:val="1"/>
        </w:numPr>
        <w:ind w:left="567" w:hanging="567"/>
        <w:jc w:val="left"/>
        <w:rPr>
          <w:rFonts w:ascii="Times New Roman" w:hAnsi="Times New Roman"/>
          <w:b/>
          <w:color w:val="000000" w:themeColor="text1"/>
          <w:szCs w:val="24"/>
        </w:rPr>
      </w:pPr>
      <w:r>
        <w:rPr>
          <w:rFonts w:ascii="Times New Roman" w:hAnsi="Times New Roman"/>
          <w:b/>
          <w:color w:val="000000" w:themeColor="text1"/>
        </w:rPr>
        <w:t>Analyse/évaluation succincte de la résolution et des demandes qu’elle contient:</w:t>
      </w:r>
    </w:p>
    <w:p w14:paraId="251F4985" w14:textId="3A18C3BD" w:rsidR="004C579F" w:rsidRPr="008569C5" w:rsidRDefault="134DFE4B" w:rsidP="74D4BE9F">
      <w:pPr>
        <w:widowControl w:val="0"/>
        <w:spacing w:after="120"/>
        <w:rPr>
          <w:rFonts w:ascii="Times New Roman" w:hAnsi="Times New Roman"/>
          <w:color w:val="000000" w:themeColor="text1"/>
        </w:rPr>
      </w:pPr>
      <w:r>
        <w:rPr>
          <w:rFonts w:ascii="Times New Roman" w:hAnsi="Times New Roman"/>
          <w:color w:val="000000" w:themeColor="text1"/>
        </w:rPr>
        <w:t>Par cette résolution, le Parlement européen adopte son neuvième rapport annuel sur l’union bancaire. La résolution est divisée en quatre grandes sections. Les deux premières sections (considérations générales et surveillance) couvrent un large éventail d’événements récents et d’autres questions liées au secteur financier. Les deux dernières sections (résolution et assurance des dépôts) sont axées sur les questions essentielles à l’achèvement de l’union bancaire.</w:t>
      </w:r>
    </w:p>
    <w:p w14:paraId="3C5443DD" w14:textId="2A0F0EEA" w:rsidR="004C579F" w:rsidRPr="008569C5" w:rsidRDefault="004C579F" w:rsidP="004C579F">
      <w:pPr>
        <w:widowControl w:val="0"/>
        <w:spacing w:after="120"/>
        <w:rPr>
          <w:rFonts w:ascii="Times New Roman" w:hAnsi="Times New Roman"/>
          <w:color w:val="000000" w:themeColor="text1"/>
        </w:rPr>
      </w:pPr>
      <w:r>
        <w:rPr>
          <w:rFonts w:ascii="Times New Roman" w:hAnsi="Times New Roman"/>
          <w:color w:val="000000" w:themeColor="text1"/>
        </w:rPr>
        <w:t>Dans la section 1 «Considérations générales» et la section 2 «Surveillance», le Parlement européen condamne l’agression russe contre l’Ukraine et souligne l’importance du respect des sanctions financières. Il se félicite dans une large mesure d’un certain nombre d’actions déjà entreprises par la Commission, les autorités européennes de surveillance, le mécanisme de surveillance unique, le Conseil de résolution unique (CRU) ainsi que le secteur bancaire et exprime un large soutien à un certain nombre d’initiatives importantes de la Commission, telles que l’achèvement de l’union bancaire.</w:t>
      </w:r>
    </w:p>
    <w:p w14:paraId="07BC593E" w14:textId="776AF7EE" w:rsidR="004C579F" w:rsidRPr="008569C5" w:rsidRDefault="004C579F" w:rsidP="004C579F">
      <w:pPr>
        <w:widowControl w:val="0"/>
        <w:spacing w:after="120"/>
        <w:rPr>
          <w:rFonts w:ascii="Times New Roman" w:hAnsi="Times New Roman"/>
          <w:color w:val="000000" w:themeColor="text1"/>
          <w:szCs w:val="24"/>
        </w:rPr>
      </w:pPr>
      <w:r>
        <w:rPr>
          <w:rFonts w:ascii="Times New Roman" w:hAnsi="Times New Roman"/>
          <w:color w:val="000000" w:themeColor="text1"/>
        </w:rPr>
        <w:t>À la section 3 «Résolution» et à la section 4 «Assurance des dépôts», le Parlement se félicite de la bonne préparation aux crises et de la capacité d’absorption des pertes des banques et souligne le rôle du CRU et des filets de sécurité financés par le secteur en matière de protection des contribuables. Il se félicite également du réexamen du cadre pour la gestion des crises bancaires et la garantie des dépôts ainsi que des progrès significatifs accomplis en matière de réduction des risques, qui constituent ensemble une base solide pour le succès de l’union bancaire.</w:t>
      </w:r>
    </w:p>
    <w:p w14:paraId="5FB85ED6" w14:textId="5265E968" w:rsidR="004C579F" w:rsidRPr="008569C5" w:rsidRDefault="004C579F" w:rsidP="004C579F">
      <w:pPr>
        <w:widowControl w:val="0"/>
        <w:spacing w:after="120"/>
        <w:rPr>
          <w:rFonts w:ascii="Times New Roman" w:hAnsi="Times New Roman"/>
          <w:color w:val="000000" w:themeColor="text1"/>
          <w:szCs w:val="24"/>
        </w:rPr>
      </w:pPr>
      <w:r>
        <w:rPr>
          <w:rFonts w:ascii="Times New Roman" w:hAnsi="Times New Roman"/>
          <w:color w:val="000000" w:themeColor="text1"/>
        </w:rPr>
        <w:t>Le Parlement européen souligne également que le système européen d’assurance des dépôts (SEAD) améliorerait la protection des déposants dans l’Union ainsi que leur confiance dans le secteur bancaire et contribuerait à renforcer l’union bancaire en réduisant le lien entre les émetteurs souverains et les banques. Il rappelle également sa volonté de reprendre ses travaux et souligne que toute harmonisation accrue des systèmes d’assurance des dépôts renforcerait la stabilité financière du système bancaire de l’UE.</w:t>
      </w:r>
    </w:p>
    <w:p w14:paraId="3F1B243D" w14:textId="3AF15FAE" w:rsidR="004C579F" w:rsidRPr="008569C5" w:rsidRDefault="004C579F" w:rsidP="004C579F">
      <w:pPr>
        <w:numPr>
          <w:ilvl w:val="0"/>
          <w:numId w:val="1"/>
        </w:numPr>
        <w:ind w:left="567" w:hanging="567"/>
        <w:jc w:val="left"/>
        <w:rPr>
          <w:rFonts w:ascii="Times New Roman" w:hAnsi="Times New Roman"/>
          <w:color w:val="000000" w:themeColor="text1"/>
          <w:szCs w:val="24"/>
        </w:rPr>
      </w:pPr>
      <w:r>
        <w:rPr>
          <w:rFonts w:ascii="Times New Roman" w:hAnsi="Times New Roman"/>
          <w:b/>
          <w:color w:val="000000" w:themeColor="text1"/>
        </w:rPr>
        <w:t>Réponse à ces demandes et aperçu des mesures que la Commission a prises ou envisage de prendre</w:t>
      </w:r>
    </w:p>
    <w:p w14:paraId="0F4A129A" w14:textId="2A3F0F53" w:rsidR="004C579F" w:rsidRPr="008569C5" w:rsidRDefault="004C579F" w:rsidP="004C579F">
      <w:pPr>
        <w:spacing w:after="120"/>
        <w:rPr>
          <w:rFonts w:ascii="Times New Roman" w:hAnsi="Times New Roman"/>
          <w:b/>
          <w:i/>
          <w:color w:val="000000" w:themeColor="text1"/>
          <w:szCs w:val="24"/>
        </w:rPr>
      </w:pPr>
      <w:r>
        <w:rPr>
          <w:rFonts w:ascii="Times New Roman" w:hAnsi="Times New Roman"/>
          <w:b/>
          <w:i/>
          <w:color w:val="000000" w:themeColor="text1"/>
        </w:rPr>
        <w:t>En ce qui concerne les «considérations générales»</w:t>
      </w:r>
    </w:p>
    <w:p w14:paraId="057DF378" w14:textId="4D88283A" w:rsidR="00FA728E" w:rsidRPr="008569C5" w:rsidRDefault="00EE34C9" w:rsidP="004C579F">
      <w:pPr>
        <w:spacing w:after="120"/>
        <w:rPr>
          <w:rFonts w:ascii="Times New Roman" w:hAnsi="Times New Roman"/>
          <w:color w:val="000000" w:themeColor="text1"/>
        </w:rPr>
      </w:pPr>
      <w:r>
        <w:rPr>
          <w:rFonts w:ascii="Times New Roman" w:hAnsi="Times New Roman"/>
          <w:color w:val="000000" w:themeColor="text1"/>
        </w:rPr>
        <w:t>Le Parlement européen souligne l’importance de la mise en œuvre des sanctions et invite la Commission à prendre des mesures à cet égard (</w:t>
      </w:r>
      <w:r>
        <w:rPr>
          <w:rFonts w:ascii="Times New Roman" w:hAnsi="Times New Roman"/>
          <w:i/>
          <w:color w:val="000000" w:themeColor="text1"/>
        </w:rPr>
        <w:t>paragraphe 2</w:t>
      </w:r>
      <w:r>
        <w:rPr>
          <w:rFonts w:ascii="Times New Roman" w:hAnsi="Times New Roman"/>
          <w:color w:val="000000" w:themeColor="text1"/>
        </w:rPr>
        <w:t>). Il invite également les institutions de surveillance et la Banque centrale européenne (BCE) à aider les banques de l’UE qui exercent encore leurs activités en Russie à sortir de ce marché (</w:t>
      </w:r>
      <w:r>
        <w:rPr>
          <w:rFonts w:ascii="Times New Roman" w:hAnsi="Times New Roman"/>
          <w:i/>
          <w:color w:val="000000" w:themeColor="text1"/>
        </w:rPr>
        <w:t>paragraphe 3</w:t>
      </w:r>
      <w:r>
        <w:rPr>
          <w:rFonts w:ascii="Times New Roman" w:hAnsi="Times New Roman"/>
          <w:color w:val="000000" w:themeColor="text1"/>
        </w:rPr>
        <w:t xml:space="preserve">). </w:t>
      </w:r>
    </w:p>
    <w:p w14:paraId="77EFA785" w14:textId="7B7C26C3" w:rsidR="00D152D7" w:rsidRPr="008569C5" w:rsidRDefault="21A944E6" w:rsidP="004C579F">
      <w:pPr>
        <w:spacing w:after="120"/>
        <w:rPr>
          <w:rFonts w:ascii="Times New Roman" w:hAnsi="Times New Roman"/>
          <w:color w:val="000000" w:themeColor="text1"/>
        </w:rPr>
      </w:pPr>
      <w:r>
        <w:rPr>
          <w:rFonts w:ascii="Times New Roman" w:hAnsi="Times New Roman"/>
          <w:color w:val="000000" w:themeColor="text1"/>
        </w:rPr>
        <w:lastRenderedPageBreak/>
        <w:t>La Commission partage les observations du Parlement sur l’importance de garantir la mise en œuvre effective des sanctions et œuvre à la réalisation de cet objectif ainsi qu’à la lutte contre le contournement des sanctions.</w:t>
      </w:r>
    </w:p>
    <w:p w14:paraId="27B85AA4" w14:textId="33F007EB" w:rsidR="004C579F" w:rsidRPr="008569C5" w:rsidRDefault="5ED6777A" w:rsidP="004C579F">
      <w:pPr>
        <w:spacing w:after="120"/>
        <w:rPr>
          <w:rFonts w:ascii="Times New Roman" w:hAnsi="Times New Roman"/>
          <w:color w:val="000000" w:themeColor="text1"/>
        </w:rPr>
      </w:pPr>
      <w:r>
        <w:rPr>
          <w:rFonts w:ascii="Times New Roman" w:hAnsi="Times New Roman"/>
          <w:color w:val="000000" w:themeColor="text1"/>
        </w:rPr>
        <w:t>Elle suit de près l’évolution du secteur financier en Russie, et en particulier les activités des banques de l’UE dans le pays, que les institutions de surveillance et la BCE surveillent étroitement afin de prendre des mesures ou de fournir des orientations, si nécessaire (</w:t>
      </w:r>
      <w:r>
        <w:rPr>
          <w:rFonts w:ascii="Times New Roman" w:hAnsi="Times New Roman"/>
          <w:i/>
          <w:color w:val="000000" w:themeColor="text1"/>
        </w:rPr>
        <w:t>paragraphes 2 et 3</w:t>
      </w:r>
      <w:r>
        <w:rPr>
          <w:rFonts w:ascii="Times New Roman" w:hAnsi="Times New Roman"/>
          <w:color w:val="000000" w:themeColor="text1"/>
        </w:rPr>
        <w:t>).</w:t>
      </w:r>
    </w:p>
    <w:p w14:paraId="6679FDFF" w14:textId="27BED041" w:rsidR="004C579F" w:rsidRPr="008569C5" w:rsidRDefault="00EE34C9" w:rsidP="004C579F">
      <w:pPr>
        <w:spacing w:after="120"/>
        <w:rPr>
          <w:rFonts w:ascii="Times New Roman" w:hAnsi="Times New Roman"/>
          <w:color w:val="000000" w:themeColor="text1"/>
        </w:rPr>
      </w:pPr>
      <w:r>
        <w:rPr>
          <w:rFonts w:ascii="Times New Roman" w:hAnsi="Times New Roman"/>
          <w:color w:val="000000" w:themeColor="text1"/>
        </w:rPr>
        <w:t>Elle partage également les observations sur l’importance de l’union bancaire pour compléter l’Union économique et monétaire et le marché intérieur (</w:t>
      </w:r>
      <w:r>
        <w:rPr>
          <w:rFonts w:ascii="Times New Roman" w:hAnsi="Times New Roman"/>
          <w:i/>
          <w:color w:val="000000" w:themeColor="text1"/>
        </w:rPr>
        <w:t>paragraphes 4 et 5</w:t>
      </w:r>
      <w:r>
        <w:rPr>
          <w:rFonts w:ascii="Times New Roman" w:hAnsi="Times New Roman"/>
          <w:color w:val="000000" w:themeColor="text1"/>
        </w:rPr>
        <w:t>) et salue la position du Parlement sur la nécessité d’achever l’union bancaire.</w:t>
      </w:r>
    </w:p>
    <w:p w14:paraId="66A5D5BF" w14:textId="61BE678F" w:rsidR="00FA00DA" w:rsidRPr="008569C5" w:rsidRDefault="00FA00DA" w:rsidP="00FA00DA">
      <w:pPr>
        <w:spacing w:after="120"/>
        <w:rPr>
          <w:rFonts w:ascii="Times New Roman" w:hAnsi="Times New Roman"/>
          <w:color w:val="000000" w:themeColor="text1"/>
        </w:rPr>
      </w:pPr>
      <w:r>
        <w:rPr>
          <w:rFonts w:ascii="Times New Roman" w:hAnsi="Times New Roman"/>
          <w:color w:val="000000" w:themeColor="text1"/>
        </w:rPr>
        <w:t>La Commission continue d’œuvrer à l’achèvement de l’union des marchés des capitaux (UMC), des progrès significatifs ayant été accomplis depuis le lancement du projet en 2015. Elle a mis en œuvre toutes les mesures prévues dans le plan d’action de 2020 pour l’UMC et presque toutes les mesures législatives ont été approuvées ou sont en cours d’examen par les colégislateurs. Ces mesures devraient avoir une incidence positive sur la croissance des marchés des capitaux de l’UE, améliorer l’accès des entreprises de l’UE aux sources de financement par le marché, rendre les investissements dans les entreprises de l’UE plus faciles et plus attrayants pour les investisseurs et accroître la stabilité et la résilience financières.</w:t>
      </w:r>
    </w:p>
    <w:p w14:paraId="6AC02935" w14:textId="357936A4" w:rsidR="009F600F" w:rsidRPr="008569C5" w:rsidRDefault="15AE56EF" w:rsidP="00FA00DA">
      <w:pPr>
        <w:spacing w:after="120"/>
        <w:rPr>
          <w:rFonts w:ascii="Times New Roman" w:hAnsi="Times New Roman"/>
          <w:color w:val="000000" w:themeColor="text1"/>
        </w:rPr>
      </w:pPr>
      <w:r>
        <w:rPr>
          <w:rFonts w:ascii="Times New Roman" w:hAnsi="Times New Roman"/>
          <w:color w:val="000000" w:themeColor="text1"/>
        </w:rPr>
        <w:t>La Commission considère que l’UMC est plus fondamentale que jamais pour atteindre les principaux objectifs de politique économique de l’UE: une économie compétitive et résiliente au service de tous, la transition vers une économie numérique et durable et une autonomie stratégique ouverte dans un contexte économique et géopolitique mondial de plus en plus complexe (</w:t>
      </w:r>
      <w:r>
        <w:rPr>
          <w:rFonts w:ascii="Times New Roman" w:hAnsi="Times New Roman"/>
          <w:i/>
          <w:color w:val="000000" w:themeColor="text1"/>
        </w:rPr>
        <w:t>paragraphe 5</w:t>
      </w:r>
      <w:r>
        <w:rPr>
          <w:rFonts w:ascii="Times New Roman" w:hAnsi="Times New Roman"/>
          <w:color w:val="000000" w:themeColor="text1"/>
        </w:rPr>
        <w:t>).</w:t>
      </w:r>
    </w:p>
    <w:p w14:paraId="2CC73DDE" w14:textId="1A6C87C2" w:rsidR="00C0255A" w:rsidRPr="008569C5" w:rsidRDefault="01D69F93" w:rsidP="00C0255A">
      <w:pPr>
        <w:spacing w:after="120"/>
        <w:rPr>
          <w:rFonts w:ascii="Times New Roman" w:hAnsi="Times New Roman"/>
          <w:color w:val="000000" w:themeColor="text1"/>
        </w:rPr>
      </w:pPr>
      <w:r>
        <w:rPr>
          <w:rFonts w:ascii="Times New Roman" w:hAnsi="Times New Roman"/>
          <w:color w:val="000000" w:themeColor="text1"/>
        </w:rPr>
        <w:t>La Commission partage l’observation du Parlement européen selon laquelle le secteur bancaire de l’Union doit être rentable à long terme, notamment pour garantir sa compétitivité, et convient que les banques devraient continuer à renforcer leur résilience aux chocs macroéconomiques et financiers, notamment en utilisant les bénéfices pour constituer des réserves. Les banques devraient également utiliser leurs bénéfices pour réaliser des investissements tournés vers l’avenir. Le Parlement note que les limitations de la distribution de dividendes et des rachats d’actions se sont avérées efficaces pendant la crise de la COVID-19. La Commission partage l’avis du Parlement et note que de telles limitations ne devraient être envisagées qu’à titre exceptionnel. Dans des circonstances normales, les règles prudentielles et de résolution existantes limitant les distributions de dividendes semblent adéquates (</w:t>
      </w:r>
      <w:r>
        <w:rPr>
          <w:rFonts w:ascii="Times New Roman" w:hAnsi="Times New Roman"/>
          <w:i/>
          <w:color w:val="000000" w:themeColor="text1"/>
        </w:rPr>
        <w:t>paragraphes 6 et 7</w:t>
      </w:r>
      <w:r>
        <w:rPr>
          <w:rFonts w:ascii="Times New Roman" w:hAnsi="Times New Roman"/>
          <w:color w:val="000000" w:themeColor="text1"/>
        </w:rPr>
        <w:t>).</w:t>
      </w:r>
    </w:p>
    <w:p w14:paraId="355A5745" w14:textId="4C86AD8C" w:rsidR="009B7167" w:rsidRDefault="01D69F93" w:rsidP="00C0255A">
      <w:pPr>
        <w:spacing w:after="120"/>
        <w:rPr>
          <w:rFonts w:ascii="Times New Roman" w:hAnsi="Times New Roman"/>
          <w:color w:val="000000" w:themeColor="text1"/>
        </w:rPr>
      </w:pPr>
      <w:r>
        <w:rPr>
          <w:rFonts w:ascii="Times New Roman" w:hAnsi="Times New Roman"/>
          <w:color w:val="000000" w:themeColor="text1"/>
        </w:rPr>
        <w:t xml:space="preserve">La Commission prend acte des préoccupations du Parlement concernant le durcissement des critères d’octroi des prêts destinés aux entreprises et aux ménages, y compris pour l’achat d’un logement, tout en faisant observer que cela est également lié à un durcissement de la politique monétaire visant à freiner l’inflation. Il existe également un compromis intrinsèque entre les prêts destinés à financer l’économie réelle et la constitution de réserves pour résister aux chocs. À cet égard, la Commission note que l’accord politique conclu l’an dernier sur le paquet bancaire, qui intègre les réformes finales de Bâle III dans le droit de l’Union, vise à atteindre cet équilibre. En outre, le paquet bancaire, qui devrait être voté par le Parlement en avril 2024, prévoit un mandat permettant à la Commission européenne de réexaminer le cadre réglementaire et d’évaluer l’état d’avancement du marché unique des services bancaires. L’élaboration de ce rapport sera l’occasion pour la Commission de poursuivre la réflexion sur la demande du Parlement européen d’évaluer les obstacles aux fusions transfrontières ainsi </w:t>
      </w:r>
      <w:r>
        <w:rPr>
          <w:rFonts w:ascii="Times New Roman" w:hAnsi="Times New Roman"/>
          <w:color w:val="000000" w:themeColor="text1"/>
        </w:rPr>
        <w:lastRenderedPageBreak/>
        <w:t>que les incitations potentielles au cloisonnement en vue de trouver des solutions pour favoriser l’intégration du secteur bancaire et le développement des marchés des capitaux (</w:t>
      </w:r>
      <w:r>
        <w:rPr>
          <w:rFonts w:ascii="Times New Roman" w:hAnsi="Times New Roman"/>
          <w:i/>
          <w:color w:val="000000" w:themeColor="text1"/>
        </w:rPr>
        <w:t>paragraphes 8 et 9</w:t>
      </w:r>
      <w:r>
        <w:rPr>
          <w:rFonts w:ascii="Times New Roman" w:hAnsi="Times New Roman"/>
          <w:color w:val="000000" w:themeColor="text1"/>
        </w:rPr>
        <w:t>).</w:t>
      </w:r>
    </w:p>
    <w:p w14:paraId="5AB6ADF6" w14:textId="44085ED0" w:rsidR="00443BAB" w:rsidRDefault="00443BAB" w:rsidP="1498066D">
      <w:pPr>
        <w:spacing w:after="120"/>
        <w:rPr>
          <w:rFonts w:ascii="Times New Roman" w:hAnsi="Times New Roman"/>
          <w:i/>
          <w:iCs/>
          <w:color w:val="000000" w:themeColor="text1"/>
        </w:rPr>
      </w:pPr>
      <w:r>
        <w:rPr>
          <w:rFonts w:ascii="Times New Roman" w:hAnsi="Times New Roman"/>
          <w:color w:val="000000" w:themeColor="text1"/>
        </w:rPr>
        <w:t>La Commission partage pleinement l’avis du Parlement européen selon lequel un marché unique performant et compétitif est essentiel pour les services financiers de détail. Dans sa stratégie concernant les investissements de détail publiée le 24 mai 2023, la Commission a proposé des mesures visant à améliorer le cadre applicable aux investissements de détail. L’objectif est de faire en sorte que les investisseurs de détail soient habilités à prendre des décisions financières qui leur conviennent et qui soient suffisamment protégées pour renforcer la confiance dans les marchés des capitaux (</w:t>
      </w:r>
      <w:r>
        <w:rPr>
          <w:rFonts w:ascii="Times New Roman" w:hAnsi="Times New Roman"/>
          <w:i/>
          <w:color w:val="000000" w:themeColor="text1"/>
        </w:rPr>
        <w:t>paragraphe 10</w:t>
      </w:r>
      <w:r>
        <w:rPr>
          <w:rFonts w:ascii="Times New Roman" w:hAnsi="Times New Roman"/>
          <w:color w:val="000000" w:themeColor="text1"/>
        </w:rPr>
        <w:t>).</w:t>
      </w:r>
    </w:p>
    <w:p w14:paraId="07229AE2" w14:textId="22726333" w:rsidR="00BC701C" w:rsidRPr="004E5F53" w:rsidRDefault="00BC701C" w:rsidP="1498066D">
      <w:pPr>
        <w:spacing w:after="120"/>
        <w:rPr>
          <w:rFonts w:ascii="Times New Roman" w:hAnsi="Times New Roman"/>
          <w:i/>
          <w:iCs/>
          <w:color w:val="000000" w:themeColor="text1"/>
        </w:rPr>
      </w:pPr>
      <w:r>
        <w:rPr>
          <w:rFonts w:ascii="Times New Roman" w:hAnsi="Times New Roman"/>
          <w:color w:val="000000" w:themeColor="text1"/>
        </w:rPr>
        <w:t>L’un des principaux objectifs du plan d’action de la Commission pour l’UMC était d’améliorer l’accès des entreprises de l’UE aux sources de financement par le marché, en particulier les petites et moyennes entreprises (PME). Par exemple, l’acte législatif sur l’admission à la cote vise à réduire la charge et les formalités administratives liées au processus d’admission à la cote pour les entreprises qui cherchent à lever des fonds sur les marchés des capitaux boursiers. Cela est particulièrement utile pour les PME pour lesquelles ces coûts représentent une charge disproportionnée. La Commission a également inclus l’accès des PME aux financements dans le champ d’application de la proposition relative à l’accès aux données financières (FIDA). La proposition FIDA vise à créer un nouveau cadre pour un accès sécurisé et ouvert aux données des clients dans un éventail plus large de services financiers. Ce cadre aiderait également les PME à la recherche de financements auprès d’une banque ou d’un autre fournisseur de financement en créant un accès sûr et ouvert aux données des clients dans un éventail plus large de services financiers. Une concurrence effective sur les marchés financiers de l’UE, y compris en ce qui concerne les taux d’intérêt hypothécaires, encourage les établissements financiers à proposer des produits et des services financiers à leurs clients aux conditions les plus favorables. Elle contribue à l’efficacité, à l’innovation et à la réduction des prix, dans l’intérêt des consommateurs. La Commission suit l’évolution du marché afin de garantir le bon fonctionnement de la concurrence. En cas de problèmes de concurrence crédibles concernant le secteur bancaire de l’UE, la Commission sera prête à agir (</w:t>
      </w:r>
      <w:r>
        <w:rPr>
          <w:rFonts w:ascii="Times New Roman" w:hAnsi="Times New Roman"/>
          <w:i/>
          <w:color w:val="000000" w:themeColor="text1"/>
        </w:rPr>
        <w:t>paragraphe 11</w:t>
      </w:r>
      <w:r>
        <w:rPr>
          <w:rFonts w:ascii="Times New Roman" w:hAnsi="Times New Roman"/>
          <w:color w:val="000000" w:themeColor="text1"/>
        </w:rPr>
        <w:t>).</w:t>
      </w:r>
    </w:p>
    <w:p w14:paraId="7A72F8D2" w14:textId="1837CF4F" w:rsidR="00FA7475" w:rsidRPr="008569C5" w:rsidRDefault="3490A5F9" w:rsidP="002E3E67">
      <w:pPr>
        <w:spacing w:after="120"/>
        <w:rPr>
          <w:rFonts w:ascii="Times New Roman" w:hAnsi="Times New Roman"/>
          <w:color w:val="000000" w:themeColor="text1"/>
        </w:rPr>
      </w:pPr>
      <w:r>
        <w:rPr>
          <w:rFonts w:ascii="Times New Roman" w:hAnsi="Times New Roman"/>
          <w:color w:val="000000" w:themeColor="text1"/>
        </w:rPr>
        <w:t>La Commission partage l’avis du Parlement selon lequel les banques devraient jouer un rôle dans le soutien à la transition vers une économie numérique et neutre en carbone, notamment pour atteindre les objectifs du pacte vert pour l’Europe et de la loi européenne sur le climat. Il convient de noter, comme le reconnaît le Parlement, que le soutien à la transition écologique et à la transition numérique ne devrait pas se faire au détriment de la stabilité financière. La Commission est d’avis que, dans ces domaines également, le paquet bancaire prévoit des mesures appropriées. En ce qui concerne la transition écologique, les nouvelles règles prudentielles obligeront les banques à élaborer et à tenir à jour des plans de transition, dont le contenu concret sera détaillé par l’Autorité bancaire européenne (ABE) et sera examiné par les autorités de surveillance des banques. Les autorités de surveillance pourront alors en tenir compte, parallèlement aux tests de résistance, pour éventuellement exiger des banques exposées à des risques liés au climat et à d’autres risques environnementaux qu’elles détiennent davantage de fonds propres. En ce qui concerne la transition numérique, les règles prudentielles prévoient un traitement favorable (le facteur supplétif pour les infrastructures) pour les banques qui financent des infrastructures stratégiques, y compris numériques, pour autant que le projet soit durable sur le plan environnemental (</w:t>
      </w:r>
      <w:r>
        <w:rPr>
          <w:rFonts w:ascii="Times New Roman" w:hAnsi="Times New Roman"/>
          <w:i/>
          <w:color w:val="000000" w:themeColor="text1"/>
        </w:rPr>
        <w:t>paragraphe 12</w:t>
      </w:r>
      <w:r>
        <w:rPr>
          <w:rFonts w:ascii="Times New Roman" w:hAnsi="Times New Roman"/>
          <w:color w:val="000000" w:themeColor="text1"/>
        </w:rPr>
        <w:t>).</w:t>
      </w:r>
    </w:p>
    <w:p w14:paraId="729D446A" w14:textId="3C103B1E" w:rsidR="00C0255A" w:rsidRPr="008569C5" w:rsidRDefault="1DAB1087" w:rsidP="00C0255A">
      <w:pPr>
        <w:spacing w:after="120"/>
        <w:rPr>
          <w:rFonts w:ascii="Times New Roman" w:hAnsi="Times New Roman"/>
          <w:color w:val="000000" w:themeColor="text1"/>
        </w:rPr>
      </w:pPr>
      <w:r>
        <w:rPr>
          <w:rFonts w:ascii="Times New Roman" w:hAnsi="Times New Roman"/>
          <w:color w:val="000000" w:themeColor="text1"/>
        </w:rPr>
        <w:t xml:space="preserve">La Commission est également prête à répondre à la demande du Parlement d’évaluer si de nouvelles initiatives législatives sont nécessaires pour limiter davantage l’interdépendance </w:t>
      </w:r>
      <w:r>
        <w:rPr>
          <w:rFonts w:ascii="Times New Roman" w:hAnsi="Times New Roman"/>
          <w:color w:val="000000" w:themeColor="text1"/>
        </w:rPr>
        <w:lastRenderedPageBreak/>
        <w:t>banques-dettes souveraines, dans le cadre des travaux sur l’achèvement de l’union bancaire (</w:t>
      </w:r>
      <w:r>
        <w:rPr>
          <w:rFonts w:ascii="Times New Roman" w:hAnsi="Times New Roman"/>
          <w:i/>
          <w:color w:val="000000" w:themeColor="text1"/>
        </w:rPr>
        <w:t>paragraphes 16 et 46</w:t>
      </w:r>
      <w:r>
        <w:rPr>
          <w:rFonts w:ascii="Times New Roman" w:hAnsi="Times New Roman"/>
          <w:color w:val="000000" w:themeColor="text1"/>
        </w:rPr>
        <w:t>).</w:t>
      </w:r>
    </w:p>
    <w:p w14:paraId="659F40EF" w14:textId="27489FB8" w:rsidR="00603E76" w:rsidRPr="008569C5" w:rsidRDefault="7262D56F" w:rsidP="00B8388C">
      <w:pPr>
        <w:spacing w:after="120"/>
        <w:rPr>
          <w:rFonts w:ascii="Times New Roman" w:hAnsi="Times New Roman"/>
          <w:color w:val="000000" w:themeColor="text1"/>
        </w:rPr>
      </w:pPr>
      <w:r>
        <w:rPr>
          <w:rFonts w:ascii="Times New Roman" w:hAnsi="Times New Roman"/>
          <w:color w:val="000000" w:themeColor="text1"/>
        </w:rPr>
        <w:t>En ce qui concerne l’équilibre hommes-femmes dans les établissements financiers, la directive (UE) 2022/2381 relative à un meilleur équilibre entre les femmes et les hommes parmi les administrateurs des sociétés cotées et à des mesures connexes adoptée en 2022 garantira que l’équilibre hommes-femmes au sein des conseils d’administration des plus grandes sociétés cotées est recherché dans l’ensemble de l’UE (</w:t>
      </w:r>
      <w:r>
        <w:rPr>
          <w:rFonts w:ascii="Times New Roman" w:hAnsi="Times New Roman"/>
          <w:i/>
          <w:color w:val="000000" w:themeColor="text1"/>
        </w:rPr>
        <w:t>paragraphes 13 et 14</w:t>
      </w:r>
      <w:r>
        <w:rPr>
          <w:rFonts w:ascii="Times New Roman" w:hAnsi="Times New Roman"/>
          <w:color w:val="000000" w:themeColor="text1"/>
        </w:rPr>
        <w:t>). La directive fixe un objectif pour les sociétés de l’UE cotées en bourse dans l’UE, le but étant de parvenir plus rapidement à un meilleur équilibre entre les hommes et les femmes. Elle fixe un objectif d’au moins 40 % de membres du sexe sous-représenté parmi les administrateurs non exécutifs et d’au moins 33 % parmi l’ensemble des administrateurs. Ces sociétés doivent veiller à ce que les procédures de nomination des membres des conseils soient claires et transparentes et à ce que les candidats soient évalués de manière objective sur la base de leurs mérites individuels, indépendamment du genre. La transposition de cette directive par les États membres devrait être achevée au plus tard le 28 décembre 2024.</w:t>
      </w:r>
    </w:p>
    <w:p w14:paraId="66F1EA9A" w14:textId="3F37C810" w:rsidR="00EF216C" w:rsidRPr="008569C5" w:rsidRDefault="00EF216C" w:rsidP="00B8388C">
      <w:pPr>
        <w:spacing w:after="120"/>
        <w:rPr>
          <w:rFonts w:ascii="Times New Roman" w:hAnsi="Times New Roman"/>
          <w:color w:val="000000" w:themeColor="text1"/>
        </w:rPr>
      </w:pPr>
      <w:r>
        <w:rPr>
          <w:rFonts w:ascii="Times New Roman" w:hAnsi="Times New Roman"/>
          <w:color w:val="000000" w:themeColor="text1"/>
        </w:rPr>
        <w:t>La Commission convient que les institutions européennes devraient faire tout leur possible en matière de sensibilisation pour veiller à ce qu’un large éventail de candidats compétents postulent à des fonctions telles que celles au sein du CRU, ce qui permettrait d’établir, dans la mesure du possible, des listes restreintes de candidats respectant l’équilibre entre les hommes et les femmes.</w:t>
      </w:r>
    </w:p>
    <w:p w14:paraId="3D5578AF" w14:textId="3EB129FE" w:rsidR="004C579F" w:rsidRPr="008569C5" w:rsidRDefault="15FAEF55" w:rsidP="004C579F">
      <w:pPr>
        <w:spacing w:after="120"/>
        <w:rPr>
          <w:rFonts w:ascii="Times New Roman" w:hAnsi="Times New Roman"/>
          <w:color w:val="000000" w:themeColor="text1"/>
        </w:rPr>
      </w:pPr>
      <w:r>
        <w:rPr>
          <w:rFonts w:ascii="Times New Roman" w:hAnsi="Times New Roman"/>
          <w:color w:val="000000" w:themeColor="text1"/>
        </w:rPr>
        <w:t>La Commission partage l’avis du Parlement européen selon lequel un actif sûr de l’UE pourrait atténuer l’interdépendance banques-dettes souveraines au niveau national. À cet égard, NextGenerationEU a créé un actif européen à faible risque qui a permis aux banques de diversifier avec succès leur exposition souveraine (</w:t>
      </w:r>
      <w:r>
        <w:rPr>
          <w:rFonts w:ascii="Times New Roman" w:hAnsi="Times New Roman"/>
          <w:i/>
          <w:color w:val="000000" w:themeColor="text1"/>
        </w:rPr>
        <w:t>paragraphe 17</w:t>
      </w:r>
      <w:r>
        <w:rPr>
          <w:rFonts w:ascii="Times New Roman" w:hAnsi="Times New Roman"/>
          <w:color w:val="000000" w:themeColor="text1"/>
        </w:rPr>
        <w:t>).</w:t>
      </w:r>
    </w:p>
    <w:p w14:paraId="13039503" w14:textId="5782DD1D" w:rsidR="004C579F" w:rsidRPr="008569C5" w:rsidRDefault="004C579F" w:rsidP="004C579F">
      <w:pPr>
        <w:spacing w:after="120"/>
        <w:rPr>
          <w:rFonts w:ascii="Times New Roman" w:hAnsi="Times New Roman"/>
          <w:b/>
          <w:i/>
          <w:color w:val="000000" w:themeColor="text1"/>
        </w:rPr>
      </w:pPr>
      <w:r>
        <w:rPr>
          <w:rFonts w:ascii="Times New Roman" w:hAnsi="Times New Roman"/>
          <w:b/>
          <w:i/>
          <w:color w:val="000000" w:themeColor="text1"/>
        </w:rPr>
        <w:t>En ce qui concerne la «surveillance»</w:t>
      </w:r>
    </w:p>
    <w:p w14:paraId="7812F901" w14:textId="4EC5E1F5" w:rsidR="004C579F" w:rsidRPr="008569C5" w:rsidRDefault="456C4D62" w:rsidP="403F990C">
      <w:pPr>
        <w:spacing w:after="120"/>
        <w:rPr>
          <w:rFonts w:ascii="Times New Roman" w:hAnsi="Times New Roman"/>
          <w:color w:val="000000" w:themeColor="text1"/>
        </w:rPr>
      </w:pPr>
      <w:r>
        <w:rPr>
          <w:rFonts w:ascii="Times New Roman" w:hAnsi="Times New Roman"/>
          <w:color w:val="000000" w:themeColor="text1"/>
        </w:rPr>
        <w:t>La Commission prend note de l’observation du Parlement sur la capitalisation des banques européennes (</w:t>
      </w:r>
      <w:r>
        <w:rPr>
          <w:rFonts w:ascii="Times New Roman" w:hAnsi="Times New Roman"/>
          <w:i/>
          <w:color w:val="000000" w:themeColor="text1"/>
        </w:rPr>
        <w:t>paragraphe 18</w:t>
      </w:r>
      <w:r>
        <w:rPr>
          <w:rFonts w:ascii="Times New Roman" w:hAnsi="Times New Roman"/>
          <w:color w:val="000000" w:themeColor="text1"/>
        </w:rPr>
        <w:t>). Elle note que les banques ont maintenu des niveaux de capitalisation solides au troisième trimestre 2023. Le ratio moyen de fonds propres de base de catégorie 1 (CET1) (à pleine charge) est resté à des niveaux élevés, diminuant légèrement de 10 points de base pour s’établir à 15,8 %, après avoir atteint un niveau historiquement élevé de 15,9 % au deuxième trimestre 2023. En glissement annuel, le ratio CET1, de 14,8 % en septembre 2022, a augmenté de 100 points de base.</w:t>
      </w:r>
    </w:p>
    <w:p w14:paraId="01DD5067" w14:textId="459A4961" w:rsidR="00C87704" w:rsidRPr="008569C5" w:rsidRDefault="004C64A7" w:rsidP="00C87704">
      <w:pPr>
        <w:spacing w:after="120"/>
        <w:rPr>
          <w:rFonts w:ascii="Times New Roman" w:hAnsi="Times New Roman"/>
          <w:color w:val="000000" w:themeColor="text1"/>
        </w:rPr>
      </w:pPr>
      <w:r>
        <w:rPr>
          <w:rFonts w:ascii="Times New Roman" w:hAnsi="Times New Roman"/>
          <w:color w:val="000000" w:themeColor="text1"/>
        </w:rPr>
        <w:t>La Commission prend également acte de la remarque du Parlement sur la diminution des indicateurs de liquidité. Néanmoins, les perspectives de liquidité sont globalement stables et les banques affichent des ratios de liquidité sains, bien supérieurs aux exigences minimales. Le ratio de couverture des besoins de liquidité (RCL) a légèrement diminué, passant de 160,9 % au deuxième trimestre 2023 à 160,7 % au troisième trimestre 2023 en ce qui concerne les banques de l’UE. Le volume des dépôts des clients, l’instrument de financement le plus important, se situe à un niveau comparable à celui de décembre 2022, après une baisse au premier semestre 2023 et une légère augmentation au troisième trimestre de la même année. Le RCL a diminué plus rapidement au deuxième trimestre 2023 en raison du remboursement, par les banques de la zone euro, des opérations de refinancement à plus long terme ciblées de la BCE (TLTRO III). Compte tenu du contexte de liquidité sous-jacent, ce phénomène devrait être interprété comme l’absorption progressive de l’excès de liquidité dans le système bancaire de l’UE (</w:t>
      </w:r>
      <w:r>
        <w:rPr>
          <w:rFonts w:ascii="Times New Roman" w:hAnsi="Times New Roman"/>
          <w:i/>
          <w:color w:val="000000" w:themeColor="text1"/>
        </w:rPr>
        <w:t>paragraphe 19</w:t>
      </w:r>
      <w:r>
        <w:rPr>
          <w:rFonts w:ascii="Times New Roman" w:hAnsi="Times New Roman"/>
          <w:color w:val="000000" w:themeColor="text1"/>
        </w:rPr>
        <w:t>).</w:t>
      </w:r>
    </w:p>
    <w:p w14:paraId="6A41B437" w14:textId="19A1D9CC" w:rsidR="004B1F17" w:rsidRPr="008569C5" w:rsidRDefault="7500D68C" w:rsidP="3AF3CBA2">
      <w:pPr>
        <w:spacing w:after="120"/>
        <w:rPr>
          <w:rFonts w:ascii="Times New Roman" w:hAnsi="Times New Roman"/>
          <w:color w:val="000000" w:themeColor="text1"/>
        </w:rPr>
      </w:pPr>
      <w:r>
        <w:rPr>
          <w:rFonts w:ascii="Times New Roman" w:hAnsi="Times New Roman"/>
          <w:color w:val="000000" w:themeColor="text1"/>
        </w:rPr>
        <w:t xml:space="preserve">La Commission partage le point de vue du Parlement sur les progrès réalisés par les banques dans la réduction de l’encours de prêts non performants (PNP), stable à 1,8 % au troisième </w:t>
      </w:r>
      <w:r>
        <w:rPr>
          <w:rFonts w:ascii="Times New Roman" w:hAnsi="Times New Roman"/>
          <w:color w:val="000000" w:themeColor="text1"/>
        </w:rPr>
        <w:lastRenderedPageBreak/>
        <w:t>trimestre de 2023. Bien que le ratio agrégé de PNP suive une tendance à la baisse, la Commission estime que la vigilance devrait rester élevée, étant donné que, dans certains États membres, le volume de PNP en valeur absolue reste élevé, et compte tenu des fortes incertitudes liées aux perspectives économiques de l’UE (</w:t>
      </w:r>
      <w:r>
        <w:rPr>
          <w:rFonts w:ascii="Times New Roman" w:hAnsi="Times New Roman"/>
          <w:i/>
          <w:color w:val="000000" w:themeColor="text1"/>
        </w:rPr>
        <w:t>paragraphe 20</w:t>
      </w:r>
      <w:r>
        <w:rPr>
          <w:rFonts w:ascii="Times New Roman" w:hAnsi="Times New Roman"/>
          <w:color w:val="000000" w:themeColor="text1"/>
        </w:rPr>
        <w:t>).</w:t>
      </w:r>
    </w:p>
    <w:p w14:paraId="3A96DE33" w14:textId="56B9D73F" w:rsidR="00EF6FFD" w:rsidRPr="008569C5" w:rsidRDefault="2707BA14" w:rsidP="71F89208">
      <w:pPr>
        <w:spacing w:after="120"/>
        <w:rPr>
          <w:rFonts w:ascii="Times New Roman" w:hAnsi="Times New Roman"/>
          <w:color w:val="000000" w:themeColor="text1"/>
        </w:rPr>
      </w:pPr>
      <w:r>
        <w:rPr>
          <w:rFonts w:ascii="Times New Roman" w:hAnsi="Times New Roman"/>
          <w:color w:val="000000" w:themeColor="text1"/>
        </w:rPr>
        <w:t>La Commission souscrit à l’objectif général consistant à poursuivre les travaux visant à améliorer encore ce segment de marché. Elle soutient également la demande faite aux autorités de surveillance de suivre l’évolution des prêts de stade 2. Elle suivra la mise en œuvre des différentes actions décrites dans son plan d’action pour lutter contre les PNP, y compris la transposition et la mise en œuvre de la directive sur les gestionnaires de crédits et les acheteurs de crédits afin de continuer à encourager le développement des marchés secondaires des PNP, tout en garantissant une protection renforcée des débiteurs.</w:t>
      </w:r>
    </w:p>
    <w:p w14:paraId="20B17FF7" w14:textId="1FD5D107" w:rsidR="00347386" w:rsidRPr="008569C5" w:rsidRDefault="7D66C7AA" w:rsidP="74D4BE9F">
      <w:pPr>
        <w:spacing w:after="120"/>
        <w:rPr>
          <w:rFonts w:ascii="Times New Roman" w:hAnsi="Times New Roman"/>
          <w:color w:val="000000" w:themeColor="text1"/>
        </w:rPr>
      </w:pPr>
      <w:r>
        <w:rPr>
          <w:rFonts w:ascii="Times New Roman" w:hAnsi="Times New Roman"/>
          <w:color w:val="000000" w:themeColor="text1"/>
        </w:rPr>
        <w:t>La Commission partage pleinement l’avis du Parlement selon lequel les banques doivent veiller à une gestion prudente des risques et à un provisionnement approprié, ce que prévoit le cadre prudentiel existant. La Commission prend acte de la détérioration de la situation macroéconomique. Elle suit activement la dynamique de la qualité des actifs des banques de l’UE et se tient prête à prendre des mesures si nécessaire (</w:t>
      </w:r>
      <w:r>
        <w:rPr>
          <w:rFonts w:ascii="Times New Roman" w:hAnsi="Times New Roman"/>
          <w:i/>
          <w:color w:val="000000" w:themeColor="text1"/>
        </w:rPr>
        <w:t>paragraphes 19 et 20</w:t>
      </w:r>
      <w:r>
        <w:rPr>
          <w:rFonts w:ascii="Times New Roman" w:hAnsi="Times New Roman"/>
          <w:color w:val="000000" w:themeColor="text1"/>
        </w:rPr>
        <w:t xml:space="preserve">). </w:t>
      </w:r>
    </w:p>
    <w:p w14:paraId="7E7D7627" w14:textId="671C77AA" w:rsidR="00FA728E" w:rsidRPr="008569C5" w:rsidRDefault="4839799D" w:rsidP="00886593">
      <w:pPr>
        <w:spacing w:after="120"/>
        <w:rPr>
          <w:rFonts w:ascii="Times New Roman" w:hAnsi="Times New Roman"/>
          <w:color w:val="000000" w:themeColor="text1"/>
        </w:rPr>
      </w:pPr>
      <w:r>
        <w:rPr>
          <w:rFonts w:ascii="Times New Roman" w:hAnsi="Times New Roman"/>
          <w:color w:val="000000" w:themeColor="text1"/>
        </w:rPr>
        <w:t>La Commission partage l’avis du Parlement selon lequel les crises bancaires qui ont eu lieu dans des pays tiers au printemps 2023 ont témoigné des vulnérabilités potentielles du système financier. Si la Commission estime que les banques européennes et les autorités de surveillance bancaires européennes doivent rester vigilantes, il convient de rappeler, comme le fait à juste titre le Parlement, que le secteur bancaire de l’Union est resté robuste en 2023. En témoignent les résultats des tests de résistance conjoints de l’ABE et de la BCE, mais aussi la situation des banques européennes en matière de fonds propres et de liquidité, comme indiqué dans le dernier tableau de bord des risques de l’ABE</w:t>
      </w:r>
      <w:r w:rsidR="009603D6" w:rsidRPr="008569C5">
        <w:rPr>
          <w:rStyle w:val="FootnoteReference"/>
          <w:rFonts w:ascii="Times New Roman" w:hAnsi="Times New Roman"/>
          <w:color w:val="000000" w:themeColor="text1"/>
        </w:rPr>
        <w:footnoteReference w:id="2"/>
      </w:r>
      <w:r>
        <w:rPr>
          <w:rFonts w:ascii="Times New Roman" w:hAnsi="Times New Roman"/>
          <w:color w:val="000000" w:themeColor="text1"/>
        </w:rPr>
        <w:t xml:space="preserve"> (</w:t>
      </w:r>
      <w:r>
        <w:rPr>
          <w:rFonts w:ascii="Times New Roman" w:hAnsi="Times New Roman"/>
          <w:i/>
          <w:color w:val="000000" w:themeColor="text1"/>
        </w:rPr>
        <w:t>paragraphe 21</w:t>
      </w:r>
      <w:r>
        <w:rPr>
          <w:rFonts w:ascii="Times New Roman" w:hAnsi="Times New Roman"/>
          <w:color w:val="000000" w:themeColor="text1"/>
        </w:rPr>
        <w:t>).</w:t>
      </w:r>
    </w:p>
    <w:p w14:paraId="142065F3" w14:textId="31D3A7B6" w:rsidR="257E1D24" w:rsidRPr="008569C5" w:rsidRDefault="2AB96EB8" w:rsidP="2A00E265">
      <w:pPr>
        <w:spacing w:after="120"/>
        <w:rPr>
          <w:rFonts w:ascii="Times New Roman" w:hAnsi="Times New Roman"/>
          <w:color w:val="000000" w:themeColor="text1"/>
        </w:rPr>
      </w:pPr>
      <w:r>
        <w:rPr>
          <w:rFonts w:ascii="Times New Roman" w:hAnsi="Times New Roman"/>
          <w:color w:val="000000" w:themeColor="text1"/>
        </w:rPr>
        <w:t>La Commission a soutenu et continue de soutenir les mesures prises par les autorités macroprudentielles de l’UE pour renforcer la résilience des banques au moyen de mesures de fonds propres et de pondération des risques. En outre, les mesures dites axées sur les emprunteurs, qui fixent des limites aux normes de crédit des banques, ne font pas partie du cadre juridique de l’UE. Néanmoins, la Commission soutient les actions nationales dans ce domaine également, le cas échéant (</w:t>
      </w:r>
      <w:r>
        <w:rPr>
          <w:rFonts w:ascii="Times New Roman" w:hAnsi="Times New Roman"/>
          <w:i/>
          <w:color w:val="000000" w:themeColor="text1"/>
        </w:rPr>
        <w:t>paragraphes 7 et 23</w:t>
      </w:r>
      <w:r>
        <w:rPr>
          <w:rFonts w:ascii="Times New Roman" w:hAnsi="Times New Roman"/>
          <w:color w:val="000000" w:themeColor="text1"/>
        </w:rPr>
        <w:t>).</w:t>
      </w:r>
    </w:p>
    <w:p w14:paraId="3C4F972C" w14:textId="0D8E12FB" w:rsidR="000F307E" w:rsidRPr="008569C5" w:rsidRDefault="4EF809AF" w:rsidP="71F89208">
      <w:pPr>
        <w:spacing w:after="120"/>
        <w:rPr>
          <w:rFonts w:ascii="Times New Roman" w:hAnsi="Times New Roman"/>
          <w:color w:val="000000" w:themeColor="text1"/>
        </w:rPr>
      </w:pPr>
      <w:r>
        <w:rPr>
          <w:rFonts w:ascii="Times New Roman" w:hAnsi="Times New Roman"/>
          <w:color w:val="000000" w:themeColor="text1"/>
        </w:rPr>
        <w:t>En ce qui concerne la demande du Parlement aux autorités de surveillance bancaire de surveiller l’exposition des banques aux risques liés aux taux d’intérêt, la Commission note que l’autorité de surveillance de l’union bancaire, le mécanisme de surveillance unique de la BCE, a inclus dans ses priorités en matière de surveillance pour la période 2024-2026 une attention particulière à la manière dont les banques gèrent ces risques. En outre, l’ABE est en train de finaliser les normes techniques en la matière. Conformément aux recommandations du Parlement, la Commission prendra en compte tous ces éléments dans son évaluation du cadre réglementaire applicable aux banques en ce qui concerne les expositions au risque de crédit (</w:t>
      </w:r>
      <w:r>
        <w:rPr>
          <w:rFonts w:ascii="Times New Roman" w:hAnsi="Times New Roman"/>
          <w:i/>
          <w:color w:val="000000" w:themeColor="text1"/>
        </w:rPr>
        <w:t>paragraphes 22 et 23</w:t>
      </w:r>
      <w:r>
        <w:rPr>
          <w:rFonts w:ascii="Times New Roman" w:hAnsi="Times New Roman"/>
          <w:color w:val="000000" w:themeColor="text1"/>
        </w:rPr>
        <w:t>).</w:t>
      </w:r>
    </w:p>
    <w:p w14:paraId="7A36E0F2" w14:textId="25325C9D" w:rsidR="00EA27C4" w:rsidRPr="008569C5" w:rsidRDefault="75FDD2DE" w:rsidP="00E125EF">
      <w:pPr>
        <w:spacing w:after="120"/>
        <w:rPr>
          <w:rFonts w:ascii="Times New Roman" w:hAnsi="Times New Roman"/>
          <w:color w:val="000000" w:themeColor="text1"/>
        </w:rPr>
      </w:pPr>
      <w:r>
        <w:rPr>
          <w:rFonts w:ascii="Times New Roman" w:hAnsi="Times New Roman"/>
          <w:color w:val="000000" w:themeColor="text1"/>
        </w:rPr>
        <w:t xml:space="preserve">La Commission remercie le Parlement pour les efforts qu’il a déployés pour veiller à ce que les réformes finales de Bâle III soient intégrées dans le droit de l’Union en temps utile. Si la Commission a pris bonne note des points de vue exprimés par l’ABE et la BCE concernant les risques de s’écarter des normes internationales, il importe de noter que le paquet bancaire prévoit des périodes d’introduction progressive et des ajustements reflétant les spécificités du </w:t>
      </w:r>
      <w:r>
        <w:rPr>
          <w:rFonts w:ascii="Times New Roman" w:hAnsi="Times New Roman"/>
          <w:color w:val="000000" w:themeColor="text1"/>
        </w:rPr>
        <w:lastRenderedPageBreak/>
        <w:t>secteur bancaire européen. Les règles de l’Union doivent tenir compte de la diversité des structures du système bancaire, des pratiques bancaires et des modèles économiques des banques dans les 27 États membres. Compte tenu de ce qui précède, la Commission soutient pleinement l’appel du Parlement en faveur d’une plus grande harmonisation du cadre de réglementation bancaire de l’Union (</w:t>
      </w:r>
      <w:r>
        <w:rPr>
          <w:rFonts w:ascii="Times New Roman" w:hAnsi="Times New Roman"/>
          <w:i/>
          <w:color w:val="000000" w:themeColor="text1"/>
        </w:rPr>
        <w:t>paragraphes 24, 25 et 26</w:t>
      </w:r>
      <w:r>
        <w:rPr>
          <w:rFonts w:ascii="Times New Roman" w:hAnsi="Times New Roman"/>
          <w:color w:val="000000" w:themeColor="text1"/>
        </w:rPr>
        <w:t>). Dans le même temps, la Commission prend acte de la demande du Parlement d’associer une intégration plus poussée à des garanties adéquates pour régler de manière proportionnée et crédible la question des pays d’origine/pays d’accueil, ce qui est l’un des objectifs de l’évaluation prévue par la Commission du cadre réglementaire applicable aux banques, qui est attendue pour la fin de 2028 (</w:t>
      </w:r>
      <w:r>
        <w:rPr>
          <w:rFonts w:ascii="Times New Roman" w:hAnsi="Times New Roman"/>
          <w:i/>
          <w:color w:val="000000" w:themeColor="text1"/>
        </w:rPr>
        <w:t>paragraphe 29</w:t>
      </w:r>
      <w:r>
        <w:rPr>
          <w:rFonts w:ascii="Times New Roman" w:hAnsi="Times New Roman"/>
          <w:color w:val="000000" w:themeColor="text1"/>
        </w:rPr>
        <w:t>).</w:t>
      </w:r>
    </w:p>
    <w:p w14:paraId="3F51D830" w14:textId="1817AC82" w:rsidR="00665111" w:rsidRPr="008569C5" w:rsidRDefault="6AB62DA0" w:rsidP="00665111">
      <w:pPr>
        <w:spacing w:after="120"/>
        <w:rPr>
          <w:rFonts w:ascii="Times New Roman" w:hAnsi="Times New Roman"/>
          <w:color w:val="000000" w:themeColor="text1"/>
        </w:rPr>
      </w:pPr>
      <w:r>
        <w:rPr>
          <w:rFonts w:ascii="Times New Roman" w:hAnsi="Times New Roman"/>
          <w:color w:val="000000" w:themeColor="text1"/>
        </w:rPr>
        <w:t>La Commission prend note de l’observation du Parlement selon laquelle la transposition complète des normes de Bâle sur les crypto-actifs dans le droit de l’Union est toujours pendante. Dans le même temps, elle note que l’accord politique sur le règlement sur les exigences de fonds propres comprend un régime transitoire et que, parallèlement au règlement sur les marchés de crypto-actifs, cet accord fait du droit de l’Union l’un des plus avancés au monde sur les crypto-actifs (</w:t>
      </w:r>
      <w:r>
        <w:rPr>
          <w:rFonts w:ascii="Times New Roman" w:hAnsi="Times New Roman"/>
          <w:i/>
          <w:color w:val="000000" w:themeColor="text1"/>
        </w:rPr>
        <w:t>paragraphe 27</w:t>
      </w:r>
      <w:r>
        <w:rPr>
          <w:rFonts w:ascii="Times New Roman" w:hAnsi="Times New Roman"/>
          <w:color w:val="000000" w:themeColor="text1"/>
        </w:rPr>
        <w:t>).</w:t>
      </w:r>
    </w:p>
    <w:p w14:paraId="02D243BA" w14:textId="4D9C710A" w:rsidR="00970B3D" w:rsidRPr="008569C5" w:rsidRDefault="1B428371" w:rsidP="004C579F">
      <w:pPr>
        <w:spacing w:after="120"/>
        <w:rPr>
          <w:rFonts w:ascii="Times New Roman" w:hAnsi="Times New Roman"/>
          <w:color w:val="000000" w:themeColor="text1"/>
        </w:rPr>
      </w:pPr>
      <w:r>
        <w:rPr>
          <w:rFonts w:ascii="Times New Roman" w:hAnsi="Times New Roman"/>
          <w:color w:val="000000" w:themeColor="text1"/>
        </w:rPr>
        <w:t>La Commission prend également note des préoccupations du Parlement concernant la croissance du secteur des intermédiaires financiers non bancaires (NBFI) ainsi que leurs liens avec le secteur bancaire. À cet égard, il convient de noter que le paquet bancaire renforce les obligations d’information y afférentes, fournissant ainsi aux autorités de surveillance des banques et aux acteurs du marché des informations précieuses sur les interconnexions entre les secteurs. La Commission a procédé à une première analyse</w:t>
      </w:r>
      <w:r w:rsidRPr="008569C5">
        <w:rPr>
          <w:rStyle w:val="FootnoteReference"/>
          <w:rFonts w:ascii="Times New Roman" w:hAnsi="Times New Roman"/>
          <w:color w:val="000000" w:themeColor="text1"/>
        </w:rPr>
        <w:footnoteReference w:id="3"/>
      </w:r>
      <w:r>
        <w:rPr>
          <w:rFonts w:ascii="Times New Roman" w:hAnsi="Times New Roman"/>
          <w:color w:val="000000" w:themeColor="text1"/>
        </w:rPr>
        <w:t xml:space="preserve"> de la croissance du secteur des intermédiaires financiers non bancaires et des risques y afférents, et elle recueillera de nouvelles données sur les instruments manquants et les lacunes potentielles des instruments existants pour atteindre les objectifs macroprudentiels, ainsi que sur l’efficacité et la cohérence des politiques macroprudentielles pour les NBFI dans l’UE (</w:t>
      </w:r>
      <w:r>
        <w:rPr>
          <w:rFonts w:ascii="Times New Roman" w:hAnsi="Times New Roman"/>
          <w:i/>
          <w:color w:val="000000" w:themeColor="text1"/>
        </w:rPr>
        <w:t>paragraphe 28</w:t>
      </w:r>
      <w:r>
        <w:rPr>
          <w:rFonts w:ascii="Times New Roman" w:hAnsi="Times New Roman"/>
          <w:color w:val="000000" w:themeColor="text1"/>
        </w:rPr>
        <w:t>).</w:t>
      </w:r>
    </w:p>
    <w:p w14:paraId="0A82CA1E" w14:textId="3705FA15" w:rsidR="00085738" w:rsidRPr="008569C5" w:rsidRDefault="28041E30" w:rsidP="004C579F">
      <w:pPr>
        <w:spacing w:after="120"/>
        <w:rPr>
          <w:rFonts w:ascii="Times New Roman" w:hAnsi="Times New Roman"/>
          <w:color w:val="000000" w:themeColor="text1"/>
        </w:rPr>
      </w:pPr>
      <w:r>
        <w:rPr>
          <w:rFonts w:ascii="Times New Roman" w:hAnsi="Times New Roman"/>
          <w:color w:val="000000" w:themeColor="text1"/>
        </w:rPr>
        <w:t>La Commission se félicite également de l’observation selon laquelle les priorités de la BCE en matière de surveillance incluent le climat, mais aussi les risques financiers liés à la nature pour les années à venir. En particulier, elle surveillera le test de résistance «Ajustement à l’objectif 55» qui sera réalisé par la BCE et les autorités européennes de surveillance (AES) d’ici à 2025. Elle poursuivra ses travaux visant à freiner l’écoblanchiment en réponse aux avis des trois AES et par l’intermédiaire, entre autres, de la mise en œuvre du règlement sur la transparence et l’intégrité des activités de notation environnementale, sociale et de gouvernance (ESG) (</w:t>
      </w:r>
      <w:r>
        <w:rPr>
          <w:rFonts w:ascii="Times New Roman" w:hAnsi="Times New Roman"/>
          <w:i/>
          <w:color w:val="000000" w:themeColor="text1"/>
        </w:rPr>
        <w:t>paragraphes 30 et 31</w:t>
      </w:r>
      <w:r>
        <w:rPr>
          <w:rFonts w:ascii="Times New Roman" w:hAnsi="Times New Roman"/>
          <w:color w:val="000000" w:themeColor="text1"/>
        </w:rPr>
        <w:t>).</w:t>
      </w:r>
    </w:p>
    <w:p w14:paraId="639B066D" w14:textId="524BABC7" w:rsidR="004C579F" w:rsidRPr="008569C5" w:rsidRDefault="004C579F" w:rsidP="535071D5">
      <w:pPr>
        <w:spacing w:after="120"/>
        <w:rPr>
          <w:rFonts w:ascii="Times New Roman" w:hAnsi="Times New Roman"/>
          <w:b/>
          <w:bCs/>
          <w:i/>
          <w:iCs/>
          <w:color w:val="000000" w:themeColor="text1"/>
        </w:rPr>
      </w:pPr>
      <w:r>
        <w:rPr>
          <w:rFonts w:ascii="Times New Roman" w:hAnsi="Times New Roman"/>
          <w:b/>
          <w:i/>
          <w:color w:val="000000" w:themeColor="text1"/>
        </w:rPr>
        <w:t xml:space="preserve">En ce qui concerne «la résolution et l’assurance des dépôts» </w:t>
      </w:r>
    </w:p>
    <w:p w14:paraId="3B32E31D" w14:textId="0270EDFA" w:rsidR="3AF3CBA2" w:rsidRDefault="701B901E" w:rsidP="3AF3CBA2">
      <w:pPr>
        <w:spacing w:after="120"/>
        <w:rPr>
          <w:rFonts w:ascii="Times New Roman" w:hAnsi="Times New Roman"/>
          <w:color w:val="000000" w:themeColor="text1"/>
        </w:rPr>
      </w:pPr>
      <w:r>
        <w:rPr>
          <w:rFonts w:ascii="Times New Roman" w:hAnsi="Times New Roman"/>
          <w:color w:val="000000" w:themeColor="text1"/>
        </w:rPr>
        <w:t xml:space="preserve">En avril 2023, la Commission a présenté des propositions législatives visant à réviser le cadre existant pour la gestion des crises bancaires et la garantie des dépôts, </w:t>
      </w:r>
      <w:bookmarkStart w:id="1" w:name="_Hlk109174397"/>
      <w:r>
        <w:rPr>
          <w:rFonts w:ascii="Times New Roman" w:hAnsi="Times New Roman"/>
          <w:color w:val="000000" w:themeColor="text1"/>
        </w:rPr>
        <w:t>dans le but de garantir des approches plus cohérentes dans tous les États membres en ce qui concerne l’utilisation d’outils de résolution et la garantie des dépôts, notamment en facilitant la sortie du marché des banques défaillantes, ce qui contribuera à améliorer la stabilité financière, la protection des contribuables et la confiance des déposants</w:t>
      </w:r>
      <w:bookmarkEnd w:id="1"/>
      <w:r>
        <w:rPr>
          <w:rFonts w:ascii="Times New Roman" w:hAnsi="Times New Roman"/>
          <w:color w:val="000000" w:themeColor="text1"/>
        </w:rPr>
        <w:t>. La Commission reste déterminée à travailler en étroite collaboration avec le Parlement européen et le Conseil sur ces sujets et se félicite de la volonté du Parlement de parvenir rapidement à un accord sur cette réforme (</w:t>
      </w:r>
      <w:r>
        <w:rPr>
          <w:rFonts w:ascii="Times New Roman" w:hAnsi="Times New Roman"/>
          <w:i/>
          <w:color w:val="000000" w:themeColor="text1"/>
        </w:rPr>
        <w:t>paragraphes 37 et 41</w:t>
      </w:r>
      <w:r>
        <w:rPr>
          <w:rFonts w:ascii="Times New Roman" w:hAnsi="Times New Roman"/>
          <w:color w:val="000000" w:themeColor="text1"/>
        </w:rPr>
        <w:t xml:space="preserve">). </w:t>
      </w:r>
    </w:p>
    <w:p w14:paraId="2D5A59A7" w14:textId="6D580299" w:rsidR="00FE1F3F" w:rsidRPr="008569C5" w:rsidRDefault="5C17E815" w:rsidP="1B36DB7D">
      <w:pPr>
        <w:spacing w:after="120"/>
        <w:rPr>
          <w:rFonts w:ascii="Times New Roman" w:hAnsi="Times New Roman"/>
          <w:color w:val="000000" w:themeColor="text1"/>
        </w:rPr>
      </w:pPr>
      <w:r>
        <w:rPr>
          <w:rFonts w:ascii="Times New Roman" w:hAnsi="Times New Roman"/>
          <w:color w:val="000000" w:themeColor="text1"/>
        </w:rPr>
        <w:lastRenderedPageBreak/>
        <w:t>La Commission partage l’avis du Parlement européen selon lequel un système européen d’assurance des dépôts permettant le partage des pertes améliorerait la protection des déposants dans l’Union, quelle que soit la localisation de leur banque, et fournirait des garanties supplémentaires aux États membres d’accueil. Il atténuerait le risque potentiel de pénurie de liquidités dans les systèmes nationaux de garantie des dépôts et le risque de recours aux fonds publics. La Commission prend acte des travaux menés au Parlement européen en vue de reprendre ses travaux sur le processus progressif de mise en commun des liquidités et de constitution du fonds de l’UE. Elle espère elle aussi que l’adoption rapide du cadre pour la gestion des crises et la garantie des dépôts ouvrira la voie à de nouveaux progrès en ce qui concerne l’achèvement de l’union bancaire (</w:t>
      </w:r>
      <w:r>
        <w:rPr>
          <w:rFonts w:ascii="Times New Roman" w:hAnsi="Times New Roman"/>
          <w:i/>
          <w:color w:val="000000" w:themeColor="text1"/>
        </w:rPr>
        <w:t>paragraphes 41 à 47</w:t>
      </w:r>
      <w:r>
        <w:rPr>
          <w:rFonts w:ascii="Times New Roman" w:hAnsi="Times New Roman"/>
          <w:color w:val="000000" w:themeColor="text1"/>
        </w:rPr>
        <w:t>).</w:t>
      </w:r>
    </w:p>
    <w:sectPr w:rsidR="00FE1F3F" w:rsidRPr="008569C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53682" w14:textId="77777777" w:rsidR="00873531" w:rsidRDefault="00873531" w:rsidP="007D7E81">
      <w:pPr>
        <w:spacing w:after="0"/>
      </w:pPr>
      <w:r>
        <w:separator/>
      </w:r>
    </w:p>
  </w:endnote>
  <w:endnote w:type="continuationSeparator" w:id="0">
    <w:p w14:paraId="0F797B77" w14:textId="77777777" w:rsidR="00873531" w:rsidRDefault="00873531" w:rsidP="007D7E81">
      <w:pPr>
        <w:spacing w:after="0"/>
      </w:pPr>
      <w:r>
        <w:continuationSeparator/>
      </w:r>
    </w:p>
  </w:endnote>
  <w:endnote w:type="continuationNotice" w:id="1">
    <w:p w14:paraId="1C2683D2" w14:textId="77777777" w:rsidR="00873531" w:rsidRDefault="008735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086750"/>
      <w:docPartObj>
        <w:docPartGallery w:val="Page Numbers (Bottom of Page)"/>
        <w:docPartUnique/>
      </w:docPartObj>
    </w:sdtPr>
    <w:sdtEndPr>
      <w:rPr>
        <w:noProof/>
      </w:rPr>
    </w:sdtEndPr>
    <w:sdtContent>
      <w:p w14:paraId="115BA7BA" w14:textId="2327A4E9" w:rsidR="00202E9F" w:rsidRDefault="00202E9F">
        <w:pPr>
          <w:pStyle w:val="Footer"/>
          <w:jc w:val="right"/>
        </w:pPr>
        <w:r>
          <w:fldChar w:fldCharType="begin"/>
        </w:r>
        <w:r>
          <w:instrText xml:space="preserve"> PAGE   \* MERGEFORMAT </w:instrText>
        </w:r>
        <w:r>
          <w:fldChar w:fldCharType="separate"/>
        </w:r>
        <w:r>
          <w:t>2</w:t>
        </w:r>
        <w:r>
          <w:fldChar w:fldCharType="end"/>
        </w:r>
      </w:p>
    </w:sdtContent>
  </w:sdt>
  <w:p w14:paraId="732B84A0" w14:textId="77777777" w:rsidR="00202E9F" w:rsidRDefault="00202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B55C4" w14:textId="77777777" w:rsidR="00873531" w:rsidRDefault="00873531" w:rsidP="007D7E81">
      <w:pPr>
        <w:spacing w:after="0"/>
      </w:pPr>
      <w:r>
        <w:separator/>
      </w:r>
    </w:p>
  </w:footnote>
  <w:footnote w:type="continuationSeparator" w:id="0">
    <w:p w14:paraId="60A1A333" w14:textId="77777777" w:rsidR="00873531" w:rsidRDefault="00873531" w:rsidP="007D7E81">
      <w:pPr>
        <w:spacing w:after="0"/>
      </w:pPr>
      <w:r>
        <w:continuationSeparator/>
      </w:r>
    </w:p>
  </w:footnote>
  <w:footnote w:type="continuationNotice" w:id="1">
    <w:p w14:paraId="510CFFF4" w14:textId="77777777" w:rsidR="00873531" w:rsidRDefault="00873531">
      <w:pPr>
        <w:spacing w:after="0"/>
      </w:pPr>
    </w:p>
  </w:footnote>
  <w:footnote w:id="2">
    <w:p w14:paraId="145367FC" w14:textId="08F02446" w:rsidR="009603D6" w:rsidRPr="002A50EF" w:rsidRDefault="009603D6" w:rsidP="006804E6">
      <w:pPr>
        <w:pStyle w:val="FootnoteText"/>
        <w:ind w:left="357" w:hanging="357"/>
        <w:jc w:val="lef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r>
      <w:hyperlink r:id="rId1" w:history="1">
        <w:r>
          <w:rPr>
            <w:rStyle w:val="Hyperlink"/>
            <w:rFonts w:ascii="Times New Roman" w:hAnsi="Times New Roman"/>
          </w:rPr>
          <w:t>https://www.eba.europa.eu/sites/default/files/2024-01/8039a4ea-6e61-45a9-a746-058fd070c34a/EBA%20Dashboard%20-%20Q3%202023.pdf</w:t>
        </w:r>
      </w:hyperlink>
      <w:r>
        <w:rPr>
          <w:rFonts w:ascii="Times New Roman" w:hAnsi="Times New Roman"/>
        </w:rPr>
        <w:t xml:space="preserve"> </w:t>
      </w:r>
    </w:p>
  </w:footnote>
  <w:footnote w:id="3">
    <w:p w14:paraId="196160A8" w14:textId="7FAC5982" w:rsidR="3182E897" w:rsidRPr="002A50EF" w:rsidRDefault="3182E897" w:rsidP="006804E6">
      <w:pPr>
        <w:pStyle w:val="FootnoteText"/>
        <w:ind w:left="357" w:hanging="357"/>
      </w:pPr>
      <w:r>
        <w:rPr>
          <w:rStyle w:val="FootnoteReference"/>
        </w:rPr>
        <w:footnoteRef/>
      </w:r>
      <w:r>
        <w:t xml:space="preserve"> </w:t>
      </w:r>
      <w:r>
        <w:tab/>
      </w:r>
      <w:hyperlink r:id="rId2" w:history="1">
        <w:r>
          <w:rPr>
            <w:rStyle w:val="Hyperlink"/>
            <w:rFonts w:ascii="Segoe UI" w:hAnsi="Segoe UI"/>
            <w:sz w:val="18"/>
          </w:rPr>
          <w:t>eur-lex.europa.eu/legal-content/FR/TXT/PDF/?uri=CELEX:52024DC0021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F4496"/>
    <w:multiLevelType w:val="hybridMultilevel"/>
    <w:tmpl w:val="F6665C9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1F9015B4"/>
    <w:multiLevelType w:val="hybridMultilevel"/>
    <w:tmpl w:val="E13AFBE6"/>
    <w:lvl w:ilvl="0" w:tplc="7E32D224">
      <w:start w:val="1"/>
      <w:numFmt w:val="decimal"/>
      <w:lvlText w:val="%1."/>
      <w:lvlJc w:val="left"/>
      <w:pPr>
        <w:ind w:left="720" w:hanging="360"/>
      </w:pPr>
      <w:rPr>
        <w:b/>
      </w:rPr>
    </w:lvl>
    <w:lvl w:ilvl="1" w:tplc="5EAECAA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A844B3"/>
    <w:multiLevelType w:val="hybridMultilevel"/>
    <w:tmpl w:val="B77EE222"/>
    <w:lvl w:ilvl="0" w:tplc="C55A9DFA">
      <w:start w:val="1"/>
      <w:numFmt w:val="decimal"/>
      <w:lvlText w:val="%1."/>
      <w:lvlJc w:val="left"/>
      <w:pPr>
        <w:ind w:left="720" w:hanging="360"/>
      </w:pPr>
    </w:lvl>
    <w:lvl w:ilvl="1" w:tplc="F14EEF2C">
      <w:start w:val="1"/>
      <w:numFmt w:val="decimal"/>
      <w:lvlText w:val="%2."/>
      <w:lvlJc w:val="left"/>
      <w:pPr>
        <w:ind w:left="720" w:hanging="360"/>
      </w:pPr>
    </w:lvl>
    <w:lvl w:ilvl="2" w:tplc="20BC3664">
      <w:start w:val="1"/>
      <w:numFmt w:val="decimal"/>
      <w:lvlText w:val="%3."/>
      <w:lvlJc w:val="left"/>
      <w:pPr>
        <w:ind w:left="720" w:hanging="360"/>
      </w:pPr>
    </w:lvl>
    <w:lvl w:ilvl="3" w:tplc="291EB64C">
      <w:start w:val="1"/>
      <w:numFmt w:val="decimal"/>
      <w:lvlText w:val="%4."/>
      <w:lvlJc w:val="left"/>
      <w:pPr>
        <w:ind w:left="720" w:hanging="360"/>
      </w:pPr>
    </w:lvl>
    <w:lvl w:ilvl="4" w:tplc="1F765F80">
      <w:start w:val="1"/>
      <w:numFmt w:val="decimal"/>
      <w:lvlText w:val="%5."/>
      <w:lvlJc w:val="left"/>
      <w:pPr>
        <w:ind w:left="720" w:hanging="360"/>
      </w:pPr>
    </w:lvl>
    <w:lvl w:ilvl="5" w:tplc="22BCEEDC">
      <w:start w:val="1"/>
      <w:numFmt w:val="decimal"/>
      <w:lvlText w:val="%6."/>
      <w:lvlJc w:val="left"/>
      <w:pPr>
        <w:ind w:left="720" w:hanging="360"/>
      </w:pPr>
    </w:lvl>
    <w:lvl w:ilvl="6" w:tplc="2DA8FA7E">
      <w:start w:val="1"/>
      <w:numFmt w:val="decimal"/>
      <w:lvlText w:val="%7."/>
      <w:lvlJc w:val="left"/>
      <w:pPr>
        <w:ind w:left="720" w:hanging="360"/>
      </w:pPr>
    </w:lvl>
    <w:lvl w:ilvl="7" w:tplc="5B1CD118">
      <w:start w:val="1"/>
      <w:numFmt w:val="decimal"/>
      <w:lvlText w:val="%8."/>
      <w:lvlJc w:val="left"/>
      <w:pPr>
        <w:ind w:left="720" w:hanging="360"/>
      </w:pPr>
    </w:lvl>
    <w:lvl w:ilvl="8" w:tplc="39C4718A">
      <w:start w:val="1"/>
      <w:numFmt w:val="decimal"/>
      <w:lvlText w:val="%9."/>
      <w:lvlJc w:val="left"/>
      <w:pPr>
        <w:ind w:left="720" w:hanging="360"/>
      </w:pPr>
    </w:lvl>
  </w:abstractNum>
  <w:num w:numId="1" w16cid:durableId="433980961">
    <w:abstractNumId w:val="1"/>
  </w:num>
  <w:num w:numId="2" w16cid:durableId="574171070">
    <w:abstractNumId w:val="2"/>
  </w:num>
  <w:num w:numId="3" w16cid:durableId="1116370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4C579F"/>
    <w:rsid w:val="00000B44"/>
    <w:rsid w:val="00001711"/>
    <w:rsid w:val="0000767C"/>
    <w:rsid w:val="00007B52"/>
    <w:rsid w:val="00014E4C"/>
    <w:rsid w:val="000151C0"/>
    <w:rsid w:val="00016509"/>
    <w:rsid w:val="00020CDC"/>
    <w:rsid w:val="00023685"/>
    <w:rsid w:val="00023CD3"/>
    <w:rsid w:val="000266F4"/>
    <w:rsid w:val="00031F84"/>
    <w:rsid w:val="000356C8"/>
    <w:rsid w:val="00036716"/>
    <w:rsid w:val="0003757D"/>
    <w:rsid w:val="0004515A"/>
    <w:rsid w:val="00045310"/>
    <w:rsid w:val="000454A7"/>
    <w:rsid w:val="0004619E"/>
    <w:rsid w:val="000509D7"/>
    <w:rsid w:val="00053E9F"/>
    <w:rsid w:val="0005566C"/>
    <w:rsid w:val="000557F7"/>
    <w:rsid w:val="00055AE2"/>
    <w:rsid w:val="00060D27"/>
    <w:rsid w:val="00062A88"/>
    <w:rsid w:val="0006318F"/>
    <w:rsid w:val="000643C8"/>
    <w:rsid w:val="000653DE"/>
    <w:rsid w:val="000664AB"/>
    <w:rsid w:val="00067749"/>
    <w:rsid w:val="00067D60"/>
    <w:rsid w:val="00071926"/>
    <w:rsid w:val="000743BE"/>
    <w:rsid w:val="00080743"/>
    <w:rsid w:val="00081CAB"/>
    <w:rsid w:val="00085738"/>
    <w:rsid w:val="00086DB6"/>
    <w:rsid w:val="00090934"/>
    <w:rsid w:val="00090FA7"/>
    <w:rsid w:val="00092054"/>
    <w:rsid w:val="00092201"/>
    <w:rsid w:val="0009263E"/>
    <w:rsid w:val="000928B6"/>
    <w:rsid w:val="00094612"/>
    <w:rsid w:val="0009601B"/>
    <w:rsid w:val="000972BC"/>
    <w:rsid w:val="000A1253"/>
    <w:rsid w:val="000A3483"/>
    <w:rsid w:val="000A3DA8"/>
    <w:rsid w:val="000A5747"/>
    <w:rsid w:val="000A7204"/>
    <w:rsid w:val="000B2EC5"/>
    <w:rsid w:val="000B3067"/>
    <w:rsid w:val="000B4B93"/>
    <w:rsid w:val="000C066A"/>
    <w:rsid w:val="000C0A98"/>
    <w:rsid w:val="000C1974"/>
    <w:rsid w:val="000C2830"/>
    <w:rsid w:val="000C322D"/>
    <w:rsid w:val="000C3559"/>
    <w:rsid w:val="000C5568"/>
    <w:rsid w:val="000C6545"/>
    <w:rsid w:val="000C678D"/>
    <w:rsid w:val="000D03DF"/>
    <w:rsid w:val="000D10F6"/>
    <w:rsid w:val="000D1763"/>
    <w:rsid w:val="000D2080"/>
    <w:rsid w:val="000D35EB"/>
    <w:rsid w:val="000D54E3"/>
    <w:rsid w:val="000D6466"/>
    <w:rsid w:val="000D64FA"/>
    <w:rsid w:val="000E0BCE"/>
    <w:rsid w:val="000E0E01"/>
    <w:rsid w:val="000E23D1"/>
    <w:rsid w:val="000E276C"/>
    <w:rsid w:val="000E41EB"/>
    <w:rsid w:val="000E5B45"/>
    <w:rsid w:val="000E7E81"/>
    <w:rsid w:val="000F0580"/>
    <w:rsid w:val="000F06B9"/>
    <w:rsid w:val="000F113E"/>
    <w:rsid w:val="000F22AB"/>
    <w:rsid w:val="000F23B7"/>
    <w:rsid w:val="000F307E"/>
    <w:rsid w:val="000F4C9D"/>
    <w:rsid w:val="000F6E1B"/>
    <w:rsid w:val="000F6F6E"/>
    <w:rsid w:val="000F7451"/>
    <w:rsid w:val="000F7F23"/>
    <w:rsid w:val="001003B5"/>
    <w:rsid w:val="0010047C"/>
    <w:rsid w:val="00101A61"/>
    <w:rsid w:val="00102E19"/>
    <w:rsid w:val="00103302"/>
    <w:rsid w:val="00103A9E"/>
    <w:rsid w:val="001049CD"/>
    <w:rsid w:val="00106C67"/>
    <w:rsid w:val="00111900"/>
    <w:rsid w:val="0011268F"/>
    <w:rsid w:val="00114EB0"/>
    <w:rsid w:val="001151A9"/>
    <w:rsid w:val="001205AA"/>
    <w:rsid w:val="00120A62"/>
    <w:rsid w:val="001217C1"/>
    <w:rsid w:val="001247BC"/>
    <w:rsid w:val="00125E86"/>
    <w:rsid w:val="0012698C"/>
    <w:rsid w:val="0012767B"/>
    <w:rsid w:val="00132B72"/>
    <w:rsid w:val="001331C2"/>
    <w:rsid w:val="00134A75"/>
    <w:rsid w:val="00134EEC"/>
    <w:rsid w:val="00135BD1"/>
    <w:rsid w:val="001408F0"/>
    <w:rsid w:val="00141FAD"/>
    <w:rsid w:val="00143A15"/>
    <w:rsid w:val="001444D8"/>
    <w:rsid w:val="0014737C"/>
    <w:rsid w:val="00150A94"/>
    <w:rsid w:val="00150D7C"/>
    <w:rsid w:val="001528BE"/>
    <w:rsid w:val="001541E1"/>
    <w:rsid w:val="001559C9"/>
    <w:rsid w:val="00157243"/>
    <w:rsid w:val="00157741"/>
    <w:rsid w:val="001658E4"/>
    <w:rsid w:val="00167132"/>
    <w:rsid w:val="00171EE0"/>
    <w:rsid w:val="0017352B"/>
    <w:rsid w:val="00175084"/>
    <w:rsid w:val="001801C0"/>
    <w:rsid w:val="00180294"/>
    <w:rsid w:val="00181DF1"/>
    <w:rsid w:val="0018368A"/>
    <w:rsid w:val="001846F5"/>
    <w:rsid w:val="00187CF2"/>
    <w:rsid w:val="001904BE"/>
    <w:rsid w:val="00190C3E"/>
    <w:rsid w:val="00190FCF"/>
    <w:rsid w:val="001918F3"/>
    <w:rsid w:val="00191A26"/>
    <w:rsid w:val="001928A3"/>
    <w:rsid w:val="00195B52"/>
    <w:rsid w:val="001A31E7"/>
    <w:rsid w:val="001A62F1"/>
    <w:rsid w:val="001A7081"/>
    <w:rsid w:val="001B0AC2"/>
    <w:rsid w:val="001B2DC1"/>
    <w:rsid w:val="001B4155"/>
    <w:rsid w:val="001B46E8"/>
    <w:rsid w:val="001B6CAC"/>
    <w:rsid w:val="001B6CD3"/>
    <w:rsid w:val="001B7877"/>
    <w:rsid w:val="001C155D"/>
    <w:rsid w:val="001C1F44"/>
    <w:rsid w:val="001C3B5A"/>
    <w:rsid w:val="001C48E7"/>
    <w:rsid w:val="001C673A"/>
    <w:rsid w:val="001D20DF"/>
    <w:rsid w:val="001D3075"/>
    <w:rsid w:val="001D3C18"/>
    <w:rsid w:val="001D4928"/>
    <w:rsid w:val="001D5574"/>
    <w:rsid w:val="001D5FEE"/>
    <w:rsid w:val="001D7380"/>
    <w:rsid w:val="001E2957"/>
    <w:rsid w:val="001E39A8"/>
    <w:rsid w:val="001E5709"/>
    <w:rsid w:val="001F10B7"/>
    <w:rsid w:val="001F318A"/>
    <w:rsid w:val="001F3880"/>
    <w:rsid w:val="001F6081"/>
    <w:rsid w:val="001F64E0"/>
    <w:rsid w:val="00201B3D"/>
    <w:rsid w:val="00202E9F"/>
    <w:rsid w:val="00203197"/>
    <w:rsid w:val="00203D93"/>
    <w:rsid w:val="00207400"/>
    <w:rsid w:val="00212220"/>
    <w:rsid w:val="0021433E"/>
    <w:rsid w:val="002173A7"/>
    <w:rsid w:val="00220C44"/>
    <w:rsid w:val="00224ECD"/>
    <w:rsid w:val="00225B3B"/>
    <w:rsid w:val="00234520"/>
    <w:rsid w:val="002350A0"/>
    <w:rsid w:val="0023542F"/>
    <w:rsid w:val="00235DB3"/>
    <w:rsid w:val="00235F45"/>
    <w:rsid w:val="00236A2C"/>
    <w:rsid w:val="00240220"/>
    <w:rsid w:val="00241DED"/>
    <w:rsid w:val="0024317F"/>
    <w:rsid w:val="00244519"/>
    <w:rsid w:val="00245EA4"/>
    <w:rsid w:val="002502CF"/>
    <w:rsid w:val="00252687"/>
    <w:rsid w:val="00255E8B"/>
    <w:rsid w:val="00256037"/>
    <w:rsid w:val="002602EA"/>
    <w:rsid w:val="002607C6"/>
    <w:rsid w:val="00260B73"/>
    <w:rsid w:val="00260DC1"/>
    <w:rsid w:val="00262456"/>
    <w:rsid w:val="002625DC"/>
    <w:rsid w:val="00263947"/>
    <w:rsid w:val="002639B0"/>
    <w:rsid w:val="002641F7"/>
    <w:rsid w:val="0027238E"/>
    <w:rsid w:val="00272C2D"/>
    <w:rsid w:val="002736A3"/>
    <w:rsid w:val="0027425A"/>
    <w:rsid w:val="00275815"/>
    <w:rsid w:val="0027671A"/>
    <w:rsid w:val="0027682D"/>
    <w:rsid w:val="00277518"/>
    <w:rsid w:val="00277947"/>
    <w:rsid w:val="00281658"/>
    <w:rsid w:val="002837A8"/>
    <w:rsid w:val="0028398F"/>
    <w:rsid w:val="002847ED"/>
    <w:rsid w:val="00286DC9"/>
    <w:rsid w:val="002908F5"/>
    <w:rsid w:val="00294598"/>
    <w:rsid w:val="002948FF"/>
    <w:rsid w:val="00295489"/>
    <w:rsid w:val="00296C71"/>
    <w:rsid w:val="00296F06"/>
    <w:rsid w:val="002977FC"/>
    <w:rsid w:val="002A14A0"/>
    <w:rsid w:val="002A2228"/>
    <w:rsid w:val="002A22D7"/>
    <w:rsid w:val="002A3594"/>
    <w:rsid w:val="002A4D17"/>
    <w:rsid w:val="002A50EF"/>
    <w:rsid w:val="002B0A17"/>
    <w:rsid w:val="002B11C0"/>
    <w:rsid w:val="002B2470"/>
    <w:rsid w:val="002B3B2E"/>
    <w:rsid w:val="002B423E"/>
    <w:rsid w:val="002B437E"/>
    <w:rsid w:val="002B4E08"/>
    <w:rsid w:val="002B5DBC"/>
    <w:rsid w:val="002B7595"/>
    <w:rsid w:val="002B795F"/>
    <w:rsid w:val="002B7E85"/>
    <w:rsid w:val="002C0E8F"/>
    <w:rsid w:val="002C1D6D"/>
    <w:rsid w:val="002C24FA"/>
    <w:rsid w:val="002D47AC"/>
    <w:rsid w:val="002D55BC"/>
    <w:rsid w:val="002D5E7F"/>
    <w:rsid w:val="002D6B05"/>
    <w:rsid w:val="002DEF1C"/>
    <w:rsid w:val="002E00C1"/>
    <w:rsid w:val="002E02D7"/>
    <w:rsid w:val="002E1FA1"/>
    <w:rsid w:val="002E26C9"/>
    <w:rsid w:val="002E292A"/>
    <w:rsid w:val="002E2D09"/>
    <w:rsid w:val="002E2D92"/>
    <w:rsid w:val="002E2F1C"/>
    <w:rsid w:val="002E3E67"/>
    <w:rsid w:val="002E4C3D"/>
    <w:rsid w:val="002E4D50"/>
    <w:rsid w:val="002E54F0"/>
    <w:rsid w:val="002E6629"/>
    <w:rsid w:val="002E677F"/>
    <w:rsid w:val="002E7499"/>
    <w:rsid w:val="002F13E2"/>
    <w:rsid w:val="002F1C27"/>
    <w:rsid w:val="002F5490"/>
    <w:rsid w:val="00304BA0"/>
    <w:rsid w:val="00313741"/>
    <w:rsid w:val="003148A0"/>
    <w:rsid w:val="00321407"/>
    <w:rsid w:val="003216A5"/>
    <w:rsid w:val="003243B4"/>
    <w:rsid w:val="00325A0C"/>
    <w:rsid w:val="00327269"/>
    <w:rsid w:val="0033069A"/>
    <w:rsid w:val="0033249B"/>
    <w:rsid w:val="003330B7"/>
    <w:rsid w:val="00334050"/>
    <w:rsid w:val="00337251"/>
    <w:rsid w:val="00340A7B"/>
    <w:rsid w:val="00342CBD"/>
    <w:rsid w:val="00346406"/>
    <w:rsid w:val="00347386"/>
    <w:rsid w:val="00347412"/>
    <w:rsid w:val="00347C95"/>
    <w:rsid w:val="003510BD"/>
    <w:rsid w:val="003518D1"/>
    <w:rsid w:val="0035356F"/>
    <w:rsid w:val="00353DF1"/>
    <w:rsid w:val="00354709"/>
    <w:rsid w:val="003550FA"/>
    <w:rsid w:val="003557A6"/>
    <w:rsid w:val="00356970"/>
    <w:rsid w:val="0035785F"/>
    <w:rsid w:val="00361637"/>
    <w:rsid w:val="0036395B"/>
    <w:rsid w:val="00363A08"/>
    <w:rsid w:val="00364F53"/>
    <w:rsid w:val="00365C0B"/>
    <w:rsid w:val="00366CA4"/>
    <w:rsid w:val="003671B5"/>
    <w:rsid w:val="00371B37"/>
    <w:rsid w:val="00373458"/>
    <w:rsid w:val="00376811"/>
    <w:rsid w:val="0037701A"/>
    <w:rsid w:val="00380086"/>
    <w:rsid w:val="003808FD"/>
    <w:rsid w:val="00381DB7"/>
    <w:rsid w:val="00387CD2"/>
    <w:rsid w:val="00390C16"/>
    <w:rsid w:val="00394768"/>
    <w:rsid w:val="00394C62"/>
    <w:rsid w:val="00395BE7"/>
    <w:rsid w:val="00395C76"/>
    <w:rsid w:val="00396C70"/>
    <w:rsid w:val="003974F0"/>
    <w:rsid w:val="00397D1E"/>
    <w:rsid w:val="003A0842"/>
    <w:rsid w:val="003A330A"/>
    <w:rsid w:val="003A37F6"/>
    <w:rsid w:val="003A56A6"/>
    <w:rsid w:val="003B0885"/>
    <w:rsid w:val="003B091B"/>
    <w:rsid w:val="003B26D0"/>
    <w:rsid w:val="003B389A"/>
    <w:rsid w:val="003B5DE4"/>
    <w:rsid w:val="003B72E4"/>
    <w:rsid w:val="003C3AF4"/>
    <w:rsid w:val="003C55C7"/>
    <w:rsid w:val="003C75A7"/>
    <w:rsid w:val="003D039D"/>
    <w:rsid w:val="003D1D46"/>
    <w:rsid w:val="003D2736"/>
    <w:rsid w:val="003D2828"/>
    <w:rsid w:val="003D3DBF"/>
    <w:rsid w:val="003D3F91"/>
    <w:rsid w:val="003E0679"/>
    <w:rsid w:val="003E2179"/>
    <w:rsid w:val="003E5A6E"/>
    <w:rsid w:val="003E7566"/>
    <w:rsid w:val="003F016A"/>
    <w:rsid w:val="003F028C"/>
    <w:rsid w:val="003F12A5"/>
    <w:rsid w:val="003F1675"/>
    <w:rsid w:val="003F34CA"/>
    <w:rsid w:val="003F65D2"/>
    <w:rsid w:val="00400308"/>
    <w:rsid w:val="004027B5"/>
    <w:rsid w:val="00406405"/>
    <w:rsid w:val="00411538"/>
    <w:rsid w:val="00411F07"/>
    <w:rsid w:val="00411F9C"/>
    <w:rsid w:val="004143BA"/>
    <w:rsid w:val="0041516E"/>
    <w:rsid w:val="004156A1"/>
    <w:rsid w:val="00416C95"/>
    <w:rsid w:val="0041788C"/>
    <w:rsid w:val="00421A4F"/>
    <w:rsid w:val="00422AF3"/>
    <w:rsid w:val="00423E09"/>
    <w:rsid w:val="00424A94"/>
    <w:rsid w:val="004250BF"/>
    <w:rsid w:val="00425D47"/>
    <w:rsid w:val="004270E3"/>
    <w:rsid w:val="00427E2C"/>
    <w:rsid w:val="00427E78"/>
    <w:rsid w:val="0043044E"/>
    <w:rsid w:val="00430AD0"/>
    <w:rsid w:val="00432387"/>
    <w:rsid w:val="004331AB"/>
    <w:rsid w:val="00433938"/>
    <w:rsid w:val="00435EF1"/>
    <w:rsid w:val="0043625E"/>
    <w:rsid w:val="00437F62"/>
    <w:rsid w:val="00440B08"/>
    <w:rsid w:val="00441838"/>
    <w:rsid w:val="00441FD1"/>
    <w:rsid w:val="00442065"/>
    <w:rsid w:val="004429B2"/>
    <w:rsid w:val="00443BAB"/>
    <w:rsid w:val="00446719"/>
    <w:rsid w:val="00447997"/>
    <w:rsid w:val="0045134F"/>
    <w:rsid w:val="00451D2C"/>
    <w:rsid w:val="00451E60"/>
    <w:rsid w:val="00452257"/>
    <w:rsid w:val="00453201"/>
    <w:rsid w:val="0045346B"/>
    <w:rsid w:val="00453B69"/>
    <w:rsid w:val="00454408"/>
    <w:rsid w:val="00454644"/>
    <w:rsid w:val="0045519A"/>
    <w:rsid w:val="00456BD6"/>
    <w:rsid w:val="00456C7B"/>
    <w:rsid w:val="00461D13"/>
    <w:rsid w:val="004621CF"/>
    <w:rsid w:val="004627F8"/>
    <w:rsid w:val="00462987"/>
    <w:rsid w:val="00463C52"/>
    <w:rsid w:val="00463FAE"/>
    <w:rsid w:val="0046534C"/>
    <w:rsid w:val="004658B6"/>
    <w:rsid w:val="00466412"/>
    <w:rsid w:val="0046645F"/>
    <w:rsid w:val="0046707A"/>
    <w:rsid w:val="0047026C"/>
    <w:rsid w:val="004717F8"/>
    <w:rsid w:val="00483877"/>
    <w:rsid w:val="00484AFE"/>
    <w:rsid w:val="004851FA"/>
    <w:rsid w:val="00487691"/>
    <w:rsid w:val="00490BAF"/>
    <w:rsid w:val="00491308"/>
    <w:rsid w:val="00493F8E"/>
    <w:rsid w:val="004A0495"/>
    <w:rsid w:val="004A04C0"/>
    <w:rsid w:val="004A085B"/>
    <w:rsid w:val="004A1631"/>
    <w:rsid w:val="004A22A1"/>
    <w:rsid w:val="004A34CC"/>
    <w:rsid w:val="004A4B4D"/>
    <w:rsid w:val="004A4E6E"/>
    <w:rsid w:val="004A5230"/>
    <w:rsid w:val="004A6750"/>
    <w:rsid w:val="004B00B6"/>
    <w:rsid w:val="004B057F"/>
    <w:rsid w:val="004B1F17"/>
    <w:rsid w:val="004B3249"/>
    <w:rsid w:val="004B5450"/>
    <w:rsid w:val="004B6C70"/>
    <w:rsid w:val="004C1C11"/>
    <w:rsid w:val="004C1C23"/>
    <w:rsid w:val="004C1EB4"/>
    <w:rsid w:val="004C349A"/>
    <w:rsid w:val="004C4444"/>
    <w:rsid w:val="004C464B"/>
    <w:rsid w:val="004C4A03"/>
    <w:rsid w:val="004C4C6F"/>
    <w:rsid w:val="004C4F28"/>
    <w:rsid w:val="004C4F3A"/>
    <w:rsid w:val="004C5687"/>
    <w:rsid w:val="004C579F"/>
    <w:rsid w:val="004C64A7"/>
    <w:rsid w:val="004C6C4F"/>
    <w:rsid w:val="004D0B00"/>
    <w:rsid w:val="004D1417"/>
    <w:rsid w:val="004D442C"/>
    <w:rsid w:val="004D44BA"/>
    <w:rsid w:val="004D7AC3"/>
    <w:rsid w:val="004E07C2"/>
    <w:rsid w:val="004E361D"/>
    <w:rsid w:val="004E458A"/>
    <w:rsid w:val="004E5075"/>
    <w:rsid w:val="004E5F53"/>
    <w:rsid w:val="004E6884"/>
    <w:rsid w:val="004F174D"/>
    <w:rsid w:val="004F21A0"/>
    <w:rsid w:val="004F397A"/>
    <w:rsid w:val="004F478E"/>
    <w:rsid w:val="004F59D7"/>
    <w:rsid w:val="004FB956"/>
    <w:rsid w:val="005001ED"/>
    <w:rsid w:val="00502D17"/>
    <w:rsid w:val="005071F7"/>
    <w:rsid w:val="00507203"/>
    <w:rsid w:val="005076A9"/>
    <w:rsid w:val="0051124E"/>
    <w:rsid w:val="0051181D"/>
    <w:rsid w:val="0051283C"/>
    <w:rsid w:val="005130BA"/>
    <w:rsid w:val="005144FA"/>
    <w:rsid w:val="00515BA0"/>
    <w:rsid w:val="00516517"/>
    <w:rsid w:val="00516DFE"/>
    <w:rsid w:val="00517841"/>
    <w:rsid w:val="005178C7"/>
    <w:rsid w:val="00517DF9"/>
    <w:rsid w:val="005218FB"/>
    <w:rsid w:val="00522571"/>
    <w:rsid w:val="00524DD7"/>
    <w:rsid w:val="0052500F"/>
    <w:rsid w:val="00525185"/>
    <w:rsid w:val="005260D0"/>
    <w:rsid w:val="005261B5"/>
    <w:rsid w:val="00527207"/>
    <w:rsid w:val="00530880"/>
    <w:rsid w:val="005313B2"/>
    <w:rsid w:val="0053162C"/>
    <w:rsid w:val="00535879"/>
    <w:rsid w:val="00541330"/>
    <w:rsid w:val="005418F1"/>
    <w:rsid w:val="00543118"/>
    <w:rsid w:val="00544394"/>
    <w:rsid w:val="00551483"/>
    <w:rsid w:val="00554724"/>
    <w:rsid w:val="00554DA1"/>
    <w:rsid w:val="00554DF8"/>
    <w:rsid w:val="005552F7"/>
    <w:rsid w:val="0055716A"/>
    <w:rsid w:val="00557F00"/>
    <w:rsid w:val="00560547"/>
    <w:rsid w:val="00561170"/>
    <w:rsid w:val="00565599"/>
    <w:rsid w:val="00565BE8"/>
    <w:rsid w:val="00566185"/>
    <w:rsid w:val="00566806"/>
    <w:rsid w:val="00566EC4"/>
    <w:rsid w:val="0056712D"/>
    <w:rsid w:val="0057104B"/>
    <w:rsid w:val="0057301C"/>
    <w:rsid w:val="00573B5D"/>
    <w:rsid w:val="00573F8E"/>
    <w:rsid w:val="00574A8F"/>
    <w:rsid w:val="005754C0"/>
    <w:rsid w:val="00575DE0"/>
    <w:rsid w:val="005761BC"/>
    <w:rsid w:val="005762D0"/>
    <w:rsid w:val="005765FD"/>
    <w:rsid w:val="005768F7"/>
    <w:rsid w:val="00577AFC"/>
    <w:rsid w:val="00577D57"/>
    <w:rsid w:val="00583D56"/>
    <w:rsid w:val="005874F5"/>
    <w:rsid w:val="005902B7"/>
    <w:rsid w:val="0059232D"/>
    <w:rsid w:val="00592A99"/>
    <w:rsid w:val="00592BF9"/>
    <w:rsid w:val="0059369D"/>
    <w:rsid w:val="00595714"/>
    <w:rsid w:val="005967B3"/>
    <w:rsid w:val="005A1234"/>
    <w:rsid w:val="005A22C5"/>
    <w:rsid w:val="005A2F34"/>
    <w:rsid w:val="005A4061"/>
    <w:rsid w:val="005A4B78"/>
    <w:rsid w:val="005A4C50"/>
    <w:rsid w:val="005A63B8"/>
    <w:rsid w:val="005A7F0B"/>
    <w:rsid w:val="005B025C"/>
    <w:rsid w:val="005B0816"/>
    <w:rsid w:val="005B5B50"/>
    <w:rsid w:val="005B7057"/>
    <w:rsid w:val="005C02A0"/>
    <w:rsid w:val="005C0880"/>
    <w:rsid w:val="005C2A7C"/>
    <w:rsid w:val="005C4191"/>
    <w:rsid w:val="005C45D7"/>
    <w:rsid w:val="005C7017"/>
    <w:rsid w:val="005C732F"/>
    <w:rsid w:val="005D17E6"/>
    <w:rsid w:val="005D1826"/>
    <w:rsid w:val="005D5707"/>
    <w:rsid w:val="005D6610"/>
    <w:rsid w:val="005D7719"/>
    <w:rsid w:val="005D7FA0"/>
    <w:rsid w:val="005E0874"/>
    <w:rsid w:val="005E1430"/>
    <w:rsid w:val="005E29A3"/>
    <w:rsid w:val="005E3F6B"/>
    <w:rsid w:val="005E4712"/>
    <w:rsid w:val="005E48E7"/>
    <w:rsid w:val="005E4AB0"/>
    <w:rsid w:val="005E5223"/>
    <w:rsid w:val="005E60E4"/>
    <w:rsid w:val="005E7DBB"/>
    <w:rsid w:val="005F204B"/>
    <w:rsid w:val="005F32F3"/>
    <w:rsid w:val="005F3355"/>
    <w:rsid w:val="005F4062"/>
    <w:rsid w:val="005F57D6"/>
    <w:rsid w:val="005F6A8E"/>
    <w:rsid w:val="005F6FA4"/>
    <w:rsid w:val="005F7F1A"/>
    <w:rsid w:val="00600A3B"/>
    <w:rsid w:val="00600DE2"/>
    <w:rsid w:val="00602610"/>
    <w:rsid w:val="00603E76"/>
    <w:rsid w:val="00611728"/>
    <w:rsid w:val="00611F75"/>
    <w:rsid w:val="006130C6"/>
    <w:rsid w:val="00613F3B"/>
    <w:rsid w:val="00614275"/>
    <w:rsid w:val="00620372"/>
    <w:rsid w:val="00621729"/>
    <w:rsid w:val="00625C3D"/>
    <w:rsid w:val="0063175C"/>
    <w:rsid w:val="0063617D"/>
    <w:rsid w:val="006436BC"/>
    <w:rsid w:val="00643B1F"/>
    <w:rsid w:val="00647652"/>
    <w:rsid w:val="00652A47"/>
    <w:rsid w:val="00655867"/>
    <w:rsid w:val="006558DB"/>
    <w:rsid w:val="00655C8C"/>
    <w:rsid w:val="0065614C"/>
    <w:rsid w:val="00656728"/>
    <w:rsid w:val="006601E5"/>
    <w:rsid w:val="006611CB"/>
    <w:rsid w:val="00662106"/>
    <w:rsid w:val="006621C0"/>
    <w:rsid w:val="00662DAF"/>
    <w:rsid w:val="00664045"/>
    <w:rsid w:val="006645CE"/>
    <w:rsid w:val="00664E26"/>
    <w:rsid w:val="00665111"/>
    <w:rsid w:val="0067003A"/>
    <w:rsid w:val="006708BE"/>
    <w:rsid w:val="00672AD6"/>
    <w:rsid w:val="00672DE3"/>
    <w:rsid w:val="0067360D"/>
    <w:rsid w:val="0067511F"/>
    <w:rsid w:val="00675255"/>
    <w:rsid w:val="00675A2D"/>
    <w:rsid w:val="00675B0D"/>
    <w:rsid w:val="006763BA"/>
    <w:rsid w:val="006766A4"/>
    <w:rsid w:val="0068031A"/>
    <w:rsid w:val="006804E6"/>
    <w:rsid w:val="00681573"/>
    <w:rsid w:val="00681600"/>
    <w:rsid w:val="006840D9"/>
    <w:rsid w:val="006847A8"/>
    <w:rsid w:val="00690224"/>
    <w:rsid w:val="00692845"/>
    <w:rsid w:val="00692A58"/>
    <w:rsid w:val="00693817"/>
    <w:rsid w:val="00696A32"/>
    <w:rsid w:val="006A0D17"/>
    <w:rsid w:val="006A2E2A"/>
    <w:rsid w:val="006A4791"/>
    <w:rsid w:val="006A5074"/>
    <w:rsid w:val="006A5474"/>
    <w:rsid w:val="006A76BE"/>
    <w:rsid w:val="006B170B"/>
    <w:rsid w:val="006B1BB6"/>
    <w:rsid w:val="006B3D43"/>
    <w:rsid w:val="006B695D"/>
    <w:rsid w:val="006B6A48"/>
    <w:rsid w:val="006B74D6"/>
    <w:rsid w:val="006C04E3"/>
    <w:rsid w:val="006C4BC7"/>
    <w:rsid w:val="006C54A2"/>
    <w:rsid w:val="006C5C36"/>
    <w:rsid w:val="006C656D"/>
    <w:rsid w:val="006D079D"/>
    <w:rsid w:val="006D086E"/>
    <w:rsid w:val="006D195F"/>
    <w:rsid w:val="006D1BD5"/>
    <w:rsid w:val="006D251D"/>
    <w:rsid w:val="006D28D8"/>
    <w:rsid w:val="006D5C06"/>
    <w:rsid w:val="006D61D2"/>
    <w:rsid w:val="006D6AA1"/>
    <w:rsid w:val="006E13D1"/>
    <w:rsid w:val="006E1447"/>
    <w:rsid w:val="006E304B"/>
    <w:rsid w:val="006E33B0"/>
    <w:rsid w:val="006E6B50"/>
    <w:rsid w:val="006E7145"/>
    <w:rsid w:val="006E7411"/>
    <w:rsid w:val="006E7F32"/>
    <w:rsid w:val="006F2708"/>
    <w:rsid w:val="006F41C9"/>
    <w:rsid w:val="006F73EF"/>
    <w:rsid w:val="006F77EE"/>
    <w:rsid w:val="006FB774"/>
    <w:rsid w:val="00701BFB"/>
    <w:rsid w:val="007064B9"/>
    <w:rsid w:val="0071047E"/>
    <w:rsid w:val="00710D5B"/>
    <w:rsid w:val="007116B4"/>
    <w:rsid w:val="00711D37"/>
    <w:rsid w:val="007120F0"/>
    <w:rsid w:val="00714850"/>
    <w:rsid w:val="0071622E"/>
    <w:rsid w:val="00716A51"/>
    <w:rsid w:val="007238D5"/>
    <w:rsid w:val="00724AF8"/>
    <w:rsid w:val="00730FCD"/>
    <w:rsid w:val="00735500"/>
    <w:rsid w:val="0074097E"/>
    <w:rsid w:val="00742970"/>
    <w:rsid w:val="007437D9"/>
    <w:rsid w:val="00743A84"/>
    <w:rsid w:val="00743AEA"/>
    <w:rsid w:val="00744082"/>
    <w:rsid w:val="007456F7"/>
    <w:rsid w:val="00745933"/>
    <w:rsid w:val="00746EBD"/>
    <w:rsid w:val="00746F01"/>
    <w:rsid w:val="00751FE9"/>
    <w:rsid w:val="0075228A"/>
    <w:rsid w:val="00752BB3"/>
    <w:rsid w:val="0075352E"/>
    <w:rsid w:val="0075384C"/>
    <w:rsid w:val="00757A5C"/>
    <w:rsid w:val="007610C2"/>
    <w:rsid w:val="00761302"/>
    <w:rsid w:val="00761F55"/>
    <w:rsid w:val="00765B2A"/>
    <w:rsid w:val="00767473"/>
    <w:rsid w:val="00771150"/>
    <w:rsid w:val="007712F4"/>
    <w:rsid w:val="00771AF0"/>
    <w:rsid w:val="00772623"/>
    <w:rsid w:val="00773A98"/>
    <w:rsid w:val="0077422B"/>
    <w:rsid w:val="007744B1"/>
    <w:rsid w:val="0077490C"/>
    <w:rsid w:val="00775E09"/>
    <w:rsid w:val="00775F28"/>
    <w:rsid w:val="007820A7"/>
    <w:rsid w:val="007867B0"/>
    <w:rsid w:val="007867E8"/>
    <w:rsid w:val="00786DB4"/>
    <w:rsid w:val="0079056F"/>
    <w:rsid w:val="00790E3B"/>
    <w:rsid w:val="007939AB"/>
    <w:rsid w:val="00794013"/>
    <w:rsid w:val="00794475"/>
    <w:rsid w:val="007944AB"/>
    <w:rsid w:val="00794588"/>
    <w:rsid w:val="00794C00"/>
    <w:rsid w:val="00795E79"/>
    <w:rsid w:val="00796A96"/>
    <w:rsid w:val="007970E6"/>
    <w:rsid w:val="007A04E8"/>
    <w:rsid w:val="007A3972"/>
    <w:rsid w:val="007A415E"/>
    <w:rsid w:val="007A4EB3"/>
    <w:rsid w:val="007A52C2"/>
    <w:rsid w:val="007A644C"/>
    <w:rsid w:val="007A6AAB"/>
    <w:rsid w:val="007A72B0"/>
    <w:rsid w:val="007A73EB"/>
    <w:rsid w:val="007A7C8C"/>
    <w:rsid w:val="007A7EDF"/>
    <w:rsid w:val="007B04CD"/>
    <w:rsid w:val="007B10D7"/>
    <w:rsid w:val="007B4304"/>
    <w:rsid w:val="007B482B"/>
    <w:rsid w:val="007B534D"/>
    <w:rsid w:val="007B6531"/>
    <w:rsid w:val="007B7466"/>
    <w:rsid w:val="007C2BF1"/>
    <w:rsid w:val="007C353A"/>
    <w:rsid w:val="007D16D4"/>
    <w:rsid w:val="007D3A25"/>
    <w:rsid w:val="007D43CD"/>
    <w:rsid w:val="007D469F"/>
    <w:rsid w:val="007D493D"/>
    <w:rsid w:val="007D4ACE"/>
    <w:rsid w:val="007D57C0"/>
    <w:rsid w:val="007D5AC7"/>
    <w:rsid w:val="007D6741"/>
    <w:rsid w:val="007D6B44"/>
    <w:rsid w:val="007D6BFA"/>
    <w:rsid w:val="007D7B40"/>
    <w:rsid w:val="007D7E81"/>
    <w:rsid w:val="007E5D7A"/>
    <w:rsid w:val="007E7A45"/>
    <w:rsid w:val="007F0EAC"/>
    <w:rsid w:val="007F10C4"/>
    <w:rsid w:val="007F2D24"/>
    <w:rsid w:val="007F3CE5"/>
    <w:rsid w:val="007F4DD9"/>
    <w:rsid w:val="007F55AC"/>
    <w:rsid w:val="007F62FE"/>
    <w:rsid w:val="007F7A90"/>
    <w:rsid w:val="008001AF"/>
    <w:rsid w:val="00801420"/>
    <w:rsid w:val="0080287F"/>
    <w:rsid w:val="00803335"/>
    <w:rsid w:val="0080526E"/>
    <w:rsid w:val="008056CA"/>
    <w:rsid w:val="00812B5F"/>
    <w:rsid w:val="00812D38"/>
    <w:rsid w:val="008201E6"/>
    <w:rsid w:val="008279EC"/>
    <w:rsid w:val="008324D6"/>
    <w:rsid w:val="008370CE"/>
    <w:rsid w:val="00837AFF"/>
    <w:rsid w:val="00837D59"/>
    <w:rsid w:val="0084186A"/>
    <w:rsid w:val="00841E51"/>
    <w:rsid w:val="00842E69"/>
    <w:rsid w:val="00844A73"/>
    <w:rsid w:val="008458F4"/>
    <w:rsid w:val="00845C02"/>
    <w:rsid w:val="0084756F"/>
    <w:rsid w:val="00851B50"/>
    <w:rsid w:val="00854237"/>
    <w:rsid w:val="00854448"/>
    <w:rsid w:val="00855549"/>
    <w:rsid w:val="00856569"/>
    <w:rsid w:val="008569C5"/>
    <w:rsid w:val="00856DEC"/>
    <w:rsid w:val="00857CF0"/>
    <w:rsid w:val="008602F6"/>
    <w:rsid w:val="0086161C"/>
    <w:rsid w:val="008634AC"/>
    <w:rsid w:val="00863678"/>
    <w:rsid w:val="00864BFE"/>
    <w:rsid w:val="00865A95"/>
    <w:rsid w:val="008714D6"/>
    <w:rsid w:val="00872BE6"/>
    <w:rsid w:val="00873531"/>
    <w:rsid w:val="0087625D"/>
    <w:rsid w:val="00881AC6"/>
    <w:rsid w:val="008832AC"/>
    <w:rsid w:val="0088544B"/>
    <w:rsid w:val="00886593"/>
    <w:rsid w:val="0088678D"/>
    <w:rsid w:val="008869F9"/>
    <w:rsid w:val="008902B5"/>
    <w:rsid w:val="00890E14"/>
    <w:rsid w:val="00895B85"/>
    <w:rsid w:val="00897036"/>
    <w:rsid w:val="008A0418"/>
    <w:rsid w:val="008A53C0"/>
    <w:rsid w:val="008A6882"/>
    <w:rsid w:val="008A76EE"/>
    <w:rsid w:val="008A7E5D"/>
    <w:rsid w:val="008B01D0"/>
    <w:rsid w:val="008B059A"/>
    <w:rsid w:val="008B2113"/>
    <w:rsid w:val="008B2E60"/>
    <w:rsid w:val="008B4C28"/>
    <w:rsid w:val="008B59FF"/>
    <w:rsid w:val="008C00E5"/>
    <w:rsid w:val="008C01F7"/>
    <w:rsid w:val="008C1207"/>
    <w:rsid w:val="008C2FF3"/>
    <w:rsid w:val="008C44FC"/>
    <w:rsid w:val="008C4BB8"/>
    <w:rsid w:val="008C673A"/>
    <w:rsid w:val="008C7694"/>
    <w:rsid w:val="008D10BA"/>
    <w:rsid w:val="008D13A5"/>
    <w:rsid w:val="008D4503"/>
    <w:rsid w:val="008D58E9"/>
    <w:rsid w:val="008E0EA3"/>
    <w:rsid w:val="008E1195"/>
    <w:rsid w:val="008E58A6"/>
    <w:rsid w:val="008E7569"/>
    <w:rsid w:val="008E795D"/>
    <w:rsid w:val="008F1B4C"/>
    <w:rsid w:val="008F2356"/>
    <w:rsid w:val="008F2F2C"/>
    <w:rsid w:val="008F5A2F"/>
    <w:rsid w:val="008F7A82"/>
    <w:rsid w:val="00902C92"/>
    <w:rsid w:val="00903A17"/>
    <w:rsid w:val="00906FE6"/>
    <w:rsid w:val="009107DB"/>
    <w:rsid w:val="009121ED"/>
    <w:rsid w:val="009137C5"/>
    <w:rsid w:val="0091625D"/>
    <w:rsid w:val="00916D6E"/>
    <w:rsid w:val="00920558"/>
    <w:rsid w:val="00921F55"/>
    <w:rsid w:val="00922785"/>
    <w:rsid w:val="00922CF7"/>
    <w:rsid w:val="009310C6"/>
    <w:rsid w:val="009322E0"/>
    <w:rsid w:val="00936718"/>
    <w:rsid w:val="00937898"/>
    <w:rsid w:val="009402EE"/>
    <w:rsid w:val="009429AD"/>
    <w:rsid w:val="009441F2"/>
    <w:rsid w:val="009452B3"/>
    <w:rsid w:val="0095148D"/>
    <w:rsid w:val="00952139"/>
    <w:rsid w:val="00952B6F"/>
    <w:rsid w:val="00953AE0"/>
    <w:rsid w:val="00953CEF"/>
    <w:rsid w:val="00953D1A"/>
    <w:rsid w:val="00956F72"/>
    <w:rsid w:val="00957071"/>
    <w:rsid w:val="009603D6"/>
    <w:rsid w:val="009606FB"/>
    <w:rsid w:val="00960C08"/>
    <w:rsid w:val="00961538"/>
    <w:rsid w:val="00961ED6"/>
    <w:rsid w:val="00964ECB"/>
    <w:rsid w:val="009702FC"/>
    <w:rsid w:val="00970B3D"/>
    <w:rsid w:val="00971165"/>
    <w:rsid w:val="009773A2"/>
    <w:rsid w:val="009808E7"/>
    <w:rsid w:val="0098177B"/>
    <w:rsid w:val="00982C45"/>
    <w:rsid w:val="0098365C"/>
    <w:rsid w:val="00984991"/>
    <w:rsid w:val="009857D4"/>
    <w:rsid w:val="0098632A"/>
    <w:rsid w:val="0098718B"/>
    <w:rsid w:val="0098742B"/>
    <w:rsid w:val="00990126"/>
    <w:rsid w:val="009939E6"/>
    <w:rsid w:val="00993A77"/>
    <w:rsid w:val="00993C38"/>
    <w:rsid w:val="00994C89"/>
    <w:rsid w:val="0099574F"/>
    <w:rsid w:val="00995EDC"/>
    <w:rsid w:val="00996316"/>
    <w:rsid w:val="00997F5F"/>
    <w:rsid w:val="009A214B"/>
    <w:rsid w:val="009A222F"/>
    <w:rsid w:val="009A299E"/>
    <w:rsid w:val="009A3327"/>
    <w:rsid w:val="009A395A"/>
    <w:rsid w:val="009A547C"/>
    <w:rsid w:val="009A549B"/>
    <w:rsid w:val="009A5A47"/>
    <w:rsid w:val="009A5CE5"/>
    <w:rsid w:val="009A5E6F"/>
    <w:rsid w:val="009A6503"/>
    <w:rsid w:val="009A6BBC"/>
    <w:rsid w:val="009A6F51"/>
    <w:rsid w:val="009B061D"/>
    <w:rsid w:val="009B11BC"/>
    <w:rsid w:val="009B386B"/>
    <w:rsid w:val="009B6276"/>
    <w:rsid w:val="009B6DC4"/>
    <w:rsid w:val="009B7167"/>
    <w:rsid w:val="009B79A4"/>
    <w:rsid w:val="009C0396"/>
    <w:rsid w:val="009C1151"/>
    <w:rsid w:val="009C13E1"/>
    <w:rsid w:val="009C155A"/>
    <w:rsid w:val="009C404E"/>
    <w:rsid w:val="009C56A2"/>
    <w:rsid w:val="009C6519"/>
    <w:rsid w:val="009C69BD"/>
    <w:rsid w:val="009D082E"/>
    <w:rsid w:val="009D11D4"/>
    <w:rsid w:val="009D172E"/>
    <w:rsid w:val="009D23AA"/>
    <w:rsid w:val="009D521C"/>
    <w:rsid w:val="009D57BB"/>
    <w:rsid w:val="009D5D07"/>
    <w:rsid w:val="009E14EC"/>
    <w:rsid w:val="009E72C9"/>
    <w:rsid w:val="009F371E"/>
    <w:rsid w:val="009F600F"/>
    <w:rsid w:val="009F7583"/>
    <w:rsid w:val="00A0113C"/>
    <w:rsid w:val="00A01836"/>
    <w:rsid w:val="00A02A30"/>
    <w:rsid w:val="00A0337D"/>
    <w:rsid w:val="00A03C28"/>
    <w:rsid w:val="00A062E9"/>
    <w:rsid w:val="00A07E5B"/>
    <w:rsid w:val="00A07E89"/>
    <w:rsid w:val="00A11059"/>
    <w:rsid w:val="00A12CDE"/>
    <w:rsid w:val="00A15085"/>
    <w:rsid w:val="00A15CF1"/>
    <w:rsid w:val="00A164E0"/>
    <w:rsid w:val="00A2066A"/>
    <w:rsid w:val="00A2442D"/>
    <w:rsid w:val="00A24676"/>
    <w:rsid w:val="00A2467B"/>
    <w:rsid w:val="00A253E3"/>
    <w:rsid w:val="00A25974"/>
    <w:rsid w:val="00A27C0D"/>
    <w:rsid w:val="00A31A5A"/>
    <w:rsid w:val="00A32F06"/>
    <w:rsid w:val="00A34211"/>
    <w:rsid w:val="00A3599E"/>
    <w:rsid w:val="00A365DA"/>
    <w:rsid w:val="00A372D5"/>
    <w:rsid w:val="00A37762"/>
    <w:rsid w:val="00A40D68"/>
    <w:rsid w:val="00A42F8B"/>
    <w:rsid w:val="00A43E15"/>
    <w:rsid w:val="00A44138"/>
    <w:rsid w:val="00A50489"/>
    <w:rsid w:val="00A5106A"/>
    <w:rsid w:val="00A51C0D"/>
    <w:rsid w:val="00A521C1"/>
    <w:rsid w:val="00A5240C"/>
    <w:rsid w:val="00A5315F"/>
    <w:rsid w:val="00A54717"/>
    <w:rsid w:val="00A5475F"/>
    <w:rsid w:val="00A5662B"/>
    <w:rsid w:val="00A578A1"/>
    <w:rsid w:val="00A6069E"/>
    <w:rsid w:val="00A61BC6"/>
    <w:rsid w:val="00A649D4"/>
    <w:rsid w:val="00A6582D"/>
    <w:rsid w:val="00A67812"/>
    <w:rsid w:val="00A71BA2"/>
    <w:rsid w:val="00A72845"/>
    <w:rsid w:val="00A72BF6"/>
    <w:rsid w:val="00A732E0"/>
    <w:rsid w:val="00A74FC0"/>
    <w:rsid w:val="00A7588F"/>
    <w:rsid w:val="00A75BA5"/>
    <w:rsid w:val="00A77441"/>
    <w:rsid w:val="00A80EBF"/>
    <w:rsid w:val="00A8101D"/>
    <w:rsid w:val="00A81660"/>
    <w:rsid w:val="00A83660"/>
    <w:rsid w:val="00A8424D"/>
    <w:rsid w:val="00A85736"/>
    <w:rsid w:val="00A85799"/>
    <w:rsid w:val="00A85F2B"/>
    <w:rsid w:val="00A87E3A"/>
    <w:rsid w:val="00A92896"/>
    <w:rsid w:val="00A93DC8"/>
    <w:rsid w:val="00A9451A"/>
    <w:rsid w:val="00A97A33"/>
    <w:rsid w:val="00AA0B1C"/>
    <w:rsid w:val="00AA1385"/>
    <w:rsid w:val="00AA2896"/>
    <w:rsid w:val="00AA4261"/>
    <w:rsid w:val="00AA5281"/>
    <w:rsid w:val="00AA58E2"/>
    <w:rsid w:val="00AA68E5"/>
    <w:rsid w:val="00AA6954"/>
    <w:rsid w:val="00AB03AA"/>
    <w:rsid w:val="00AB191A"/>
    <w:rsid w:val="00AB1E2D"/>
    <w:rsid w:val="00AB26B6"/>
    <w:rsid w:val="00AB4680"/>
    <w:rsid w:val="00AB5A03"/>
    <w:rsid w:val="00AB61FA"/>
    <w:rsid w:val="00AB66BB"/>
    <w:rsid w:val="00AB7E4F"/>
    <w:rsid w:val="00AC1268"/>
    <w:rsid w:val="00AC3F95"/>
    <w:rsid w:val="00AC4DCA"/>
    <w:rsid w:val="00AC506A"/>
    <w:rsid w:val="00AC68C6"/>
    <w:rsid w:val="00AC6DB7"/>
    <w:rsid w:val="00AD028A"/>
    <w:rsid w:val="00AD0536"/>
    <w:rsid w:val="00AD1E5E"/>
    <w:rsid w:val="00AD1EB7"/>
    <w:rsid w:val="00AE012A"/>
    <w:rsid w:val="00AE1649"/>
    <w:rsid w:val="00AE3415"/>
    <w:rsid w:val="00AE7373"/>
    <w:rsid w:val="00AE759B"/>
    <w:rsid w:val="00AF044F"/>
    <w:rsid w:val="00AF0701"/>
    <w:rsid w:val="00AF0C12"/>
    <w:rsid w:val="00AF2299"/>
    <w:rsid w:val="00AF42E1"/>
    <w:rsid w:val="00AF4625"/>
    <w:rsid w:val="00AF5558"/>
    <w:rsid w:val="00AF6354"/>
    <w:rsid w:val="00AF6A03"/>
    <w:rsid w:val="00B01FD6"/>
    <w:rsid w:val="00B03F04"/>
    <w:rsid w:val="00B0508E"/>
    <w:rsid w:val="00B0609D"/>
    <w:rsid w:val="00B07687"/>
    <w:rsid w:val="00B119B7"/>
    <w:rsid w:val="00B13865"/>
    <w:rsid w:val="00B146E8"/>
    <w:rsid w:val="00B14998"/>
    <w:rsid w:val="00B14B1A"/>
    <w:rsid w:val="00B15E7F"/>
    <w:rsid w:val="00B1725A"/>
    <w:rsid w:val="00B17D32"/>
    <w:rsid w:val="00B2039E"/>
    <w:rsid w:val="00B20FF2"/>
    <w:rsid w:val="00B241D5"/>
    <w:rsid w:val="00B31B18"/>
    <w:rsid w:val="00B33755"/>
    <w:rsid w:val="00B363B7"/>
    <w:rsid w:val="00B4009F"/>
    <w:rsid w:val="00B41B36"/>
    <w:rsid w:val="00B43DC3"/>
    <w:rsid w:val="00B4426E"/>
    <w:rsid w:val="00B45070"/>
    <w:rsid w:val="00B501EB"/>
    <w:rsid w:val="00B51664"/>
    <w:rsid w:val="00B5188C"/>
    <w:rsid w:val="00B52138"/>
    <w:rsid w:val="00B65203"/>
    <w:rsid w:val="00B65385"/>
    <w:rsid w:val="00B70587"/>
    <w:rsid w:val="00B721A0"/>
    <w:rsid w:val="00B73395"/>
    <w:rsid w:val="00B76B9F"/>
    <w:rsid w:val="00B80FE5"/>
    <w:rsid w:val="00B8388C"/>
    <w:rsid w:val="00B8485D"/>
    <w:rsid w:val="00B84AC4"/>
    <w:rsid w:val="00B84EA1"/>
    <w:rsid w:val="00B86938"/>
    <w:rsid w:val="00B92113"/>
    <w:rsid w:val="00B927B9"/>
    <w:rsid w:val="00B947AD"/>
    <w:rsid w:val="00BA03BF"/>
    <w:rsid w:val="00BA23DA"/>
    <w:rsid w:val="00BA2C7C"/>
    <w:rsid w:val="00BA4207"/>
    <w:rsid w:val="00BA5874"/>
    <w:rsid w:val="00BB16C8"/>
    <w:rsid w:val="00BB19CC"/>
    <w:rsid w:val="00BB4369"/>
    <w:rsid w:val="00BB47CB"/>
    <w:rsid w:val="00BB48A9"/>
    <w:rsid w:val="00BB54F4"/>
    <w:rsid w:val="00BB6205"/>
    <w:rsid w:val="00BB675B"/>
    <w:rsid w:val="00BC3232"/>
    <w:rsid w:val="00BC362A"/>
    <w:rsid w:val="00BC701C"/>
    <w:rsid w:val="00BC7788"/>
    <w:rsid w:val="00BC7ACE"/>
    <w:rsid w:val="00BD322C"/>
    <w:rsid w:val="00BD3264"/>
    <w:rsid w:val="00BD62AC"/>
    <w:rsid w:val="00BD7CE2"/>
    <w:rsid w:val="00BD7F32"/>
    <w:rsid w:val="00BD7FC8"/>
    <w:rsid w:val="00BE15FE"/>
    <w:rsid w:val="00BE169B"/>
    <w:rsid w:val="00BE3246"/>
    <w:rsid w:val="00BE515F"/>
    <w:rsid w:val="00BE5346"/>
    <w:rsid w:val="00BE6ADA"/>
    <w:rsid w:val="00BF004C"/>
    <w:rsid w:val="00BF2428"/>
    <w:rsid w:val="00BF5262"/>
    <w:rsid w:val="00BF5350"/>
    <w:rsid w:val="00BF6165"/>
    <w:rsid w:val="00BF7E59"/>
    <w:rsid w:val="00C0255A"/>
    <w:rsid w:val="00C03076"/>
    <w:rsid w:val="00C05ABC"/>
    <w:rsid w:val="00C05FFF"/>
    <w:rsid w:val="00C06000"/>
    <w:rsid w:val="00C060B8"/>
    <w:rsid w:val="00C06DB1"/>
    <w:rsid w:val="00C076C1"/>
    <w:rsid w:val="00C1396F"/>
    <w:rsid w:val="00C1497C"/>
    <w:rsid w:val="00C1571A"/>
    <w:rsid w:val="00C158D1"/>
    <w:rsid w:val="00C1672D"/>
    <w:rsid w:val="00C1797A"/>
    <w:rsid w:val="00C212D3"/>
    <w:rsid w:val="00C24295"/>
    <w:rsid w:val="00C25568"/>
    <w:rsid w:val="00C25C6E"/>
    <w:rsid w:val="00C304F5"/>
    <w:rsid w:val="00C3056A"/>
    <w:rsid w:val="00C31B35"/>
    <w:rsid w:val="00C31F7C"/>
    <w:rsid w:val="00C3247A"/>
    <w:rsid w:val="00C33374"/>
    <w:rsid w:val="00C33788"/>
    <w:rsid w:val="00C34551"/>
    <w:rsid w:val="00C34DD1"/>
    <w:rsid w:val="00C35759"/>
    <w:rsid w:val="00C407FB"/>
    <w:rsid w:val="00C40BB5"/>
    <w:rsid w:val="00C42DF6"/>
    <w:rsid w:val="00C45285"/>
    <w:rsid w:val="00C46AA3"/>
    <w:rsid w:val="00C46B18"/>
    <w:rsid w:val="00C512D4"/>
    <w:rsid w:val="00C521F0"/>
    <w:rsid w:val="00C5238A"/>
    <w:rsid w:val="00C547BE"/>
    <w:rsid w:val="00C55D49"/>
    <w:rsid w:val="00C578FE"/>
    <w:rsid w:val="00C600BE"/>
    <w:rsid w:val="00C626CD"/>
    <w:rsid w:val="00C641E7"/>
    <w:rsid w:val="00C6488C"/>
    <w:rsid w:val="00C66CD0"/>
    <w:rsid w:val="00C707CE"/>
    <w:rsid w:val="00C71323"/>
    <w:rsid w:val="00C715F5"/>
    <w:rsid w:val="00C7182C"/>
    <w:rsid w:val="00C71E40"/>
    <w:rsid w:val="00C73D4C"/>
    <w:rsid w:val="00C754A1"/>
    <w:rsid w:val="00C76ED2"/>
    <w:rsid w:val="00C77F63"/>
    <w:rsid w:val="00C81294"/>
    <w:rsid w:val="00C81511"/>
    <w:rsid w:val="00C81774"/>
    <w:rsid w:val="00C82B1F"/>
    <w:rsid w:val="00C82F31"/>
    <w:rsid w:val="00C84019"/>
    <w:rsid w:val="00C86090"/>
    <w:rsid w:val="00C86BF9"/>
    <w:rsid w:val="00C86C8D"/>
    <w:rsid w:val="00C87704"/>
    <w:rsid w:val="00C87819"/>
    <w:rsid w:val="00C87D4C"/>
    <w:rsid w:val="00C91329"/>
    <w:rsid w:val="00C925C0"/>
    <w:rsid w:val="00C93D8C"/>
    <w:rsid w:val="00C963A9"/>
    <w:rsid w:val="00C96638"/>
    <w:rsid w:val="00C96C21"/>
    <w:rsid w:val="00CA0220"/>
    <w:rsid w:val="00CA1D82"/>
    <w:rsid w:val="00CA4558"/>
    <w:rsid w:val="00CA45B7"/>
    <w:rsid w:val="00CA5672"/>
    <w:rsid w:val="00CA56C0"/>
    <w:rsid w:val="00CA71DF"/>
    <w:rsid w:val="00CB1B34"/>
    <w:rsid w:val="00CB33CA"/>
    <w:rsid w:val="00CB349F"/>
    <w:rsid w:val="00CB34A4"/>
    <w:rsid w:val="00CB3E17"/>
    <w:rsid w:val="00CB7BD6"/>
    <w:rsid w:val="00CB949B"/>
    <w:rsid w:val="00CC388C"/>
    <w:rsid w:val="00CC48DD"/>
    <w:rsid w:val="00CC4B8C"/>
    <w:rsid w:val="00CC5D68"/>
    <w:rsid w:val="00CC6CD3"/>
    <w:rsid w:val="00CC7138"/>
    <w:rsid w:val="00CD1ECB"/>
    <w:rsid w:val="00CD4F49"/>
    <w:rsid w:val="00CE0DC3"/>
    <w:rsid w:val="00CE178A"/>
    <w:rsid w:val="00CE2714"/>
    <w:rsid w:val="00CE39F8"/>
    <w:rsid w:val="00CE4356"/>
    <w:rsid w:val="00CE465D"/>
    <w:rsid w:val="00CE668F"/>
    <w:rsid w:val="00CF0668"/>
    <w:rsid w:val="00CF1BC2"/>
    <w:rsid w:val="00CF6640"/>
    <w:rsid w:val="00D004DB"/>
    <w:rsid w:val="00D00842"/>
    <w:rsid w:val="00D0189D"/>
    <w:rsid w:val="00D02038"/>
    <w:rsid w:val="00D06113"/>
    <w:rsid w:val="00D0773D"/>
    <w:rsid w:val="00D1012C"/>
    <w:rsid w:val="00D1071F"/>
    <w:rsid w:val="00D119DD"/>
    <w:rsid w:val="00D127E9"/>
    <w:rsid w:val="00D1457B"/>
    <w:rsid w:val="00D152D7"/>
    <w:rsid w:val="00D1542D"/>
    <w:rsid w:val="00D1588C"/>
    <w:rsid w:val="00D24689"/>
    <w:rsid w:val="00D2557E"/>
    <w:rsid w:val="00D257CF"/>
    <w:rsid w:val="00D3056A"/>
    <w:rsid w:val="00D32E00"/>
    <w:rsid w:val="00D32F29"/>
    <w:rsid w:val="00D32F68"/>
    <w:rsid w:val="00D35986"/>
    <w:rsid w:val="00D36CD7"/>
    <w:rsid w:val="00D3733B"/>
    <w:rsid w:val="00D37B6F"/>
    <w:rsid w:val="00D37E5B"/>
    <w:rsid w:val="00D42CC0"/>
    <w:rsid w:val="00D43BA2"/>
    <w:rsid w:val="00D452AC"/>
    <w:rsid w:val="00D479AE"/>
    <w:rsid w:val="00D52051"/>
    <w:rsid w:val="00D52825"/>
    <w:rsid w:val="00D5421B"/>
    <w:rsid w:val="00D5475B"/>
    <w:rsid w:val="00D556A6"/>
    <w:rsid w:val="00D575D0"/>
    <w:rsid w:val="00D62500"/>
    <w:rsid w:val="00D6312A"/>
    <w:rsid w:val="00D648AF"/>
    <w:rsid w:val="00D66D89"/>
    <w:rsid w:val="00D679B1"/>
    <w:rsid w:val="00D71300"/>
    <w:rsid w:val="00D7230F"/>
    <w:rsid w:val="00D7587B"/>
    <w:rsid w:val="00D76068"/>
    <w:rsid w:val="00D765F8"/>
    <w:rsid w:val="00D83C03"/>
    <w:rsid w:val="00D843E2"/>
    <w:rsid w:val="00D8455C"/>
    <w:rsid w:val="00D8466D"/>
    <w:rsid w:val="00D85B23"/>
    <w:rsid w:val="00D86568"/>
    <w:rsid w:val="00D87312"/>
    <w:rsid w:val="00D87931"/>
    <w:rsid w:val="00D91392"/>
    <w:rsid w:val="00D920B5"/>
    <w:rsid w:val="00D930EF"/>
    <w:rsid w:val="00D9384C"/>
    <w:rsid w:val="00D941FC"/>
    <w:rsid w:val="00D9763D"/>
    <w:rsid w:val="00DA7562"/>
    <w:rsid w:val="00DA771D"/>
    <w:rsid w:val="00DB05B5"/>
    <w:rsid w:val="00DB2F2D"/>
    <w:rsid w:val="00DB39F7"/>
    <w:rsid w:val="00DB46AC"/>
    <w:rsid w:val="00DB55CE"/>
    <w:rsid w:val="00DC0E4F"/>
    <w:rsid w:val="00DC0F87"/>
    <w:rsid w:val="00DC3E88"/>
    <w:rsid w:val="00DC3F39"/>
    <w:rsid w:val="00DC4466"/>
    <w:rsid w:val="00DC7351"/>
    <w:rsid w:val="00DD0308"/>
    <w:rsid w:val="00DD253F"/>
    <w:rsid w:val="00DD3438"/>
    <w:rsid w:val="00DD37C3"/>
    <w:rsid w:val="00DD3F4E"/>
    <w:rsid w:val="00DD6F69"/>
    <w:rsid w:val="00DD7C18"/>
    <w:rsid w:val="00DE1A8A"/>
    <w:rsid w:val="00DE1CD4"/>
    <w:rsid w:val="00DE2428"/>
    <w:rsid w:val="00DE3CA5"/>
    <w:rsid w:val="00DE6775"/>
    <w:rsid w:val="00DF06EE"/>
    <w:rsid w:val="00DF1B62"/>
    <w:rsid w:val="00DF23D4"/>
    <w:rsid w:val="00DF3566"/>
    <w:rsid w:val="00DF396C"/>
    <w:rsid w:val="00DF5AC0"/>
    <w:rsid w:val="00DF61CD"/>
    <w:rsid w:val="00DF74F2"/>
    <w:rsid w:val="00DF7EA9"/>
    <w:rsid w:val="00E00265"/>
    <w:rsid w:val="00E00D74"/>
    <w:rsid w:val="00E045FF"/>
    <w:rsid w:val="00E05347"/>
    <w:rsid w:val="00E053E4"/>
    <w:rsid w:val="00E059AA"/>
    <w:rsid w:val="00E05E18"/>
    <w:rsid w:val="00E125EF"/>
    <w:rsid w:val="00E12795"/>
    <w:rsid w:val="00E12C5A"/>
    <w:rsid w:val="00E13746"/>
    <w:rsid w:val="00E15100"/>
    <w:rsid w:val="00E1554B"/>
    <w:rsid w:val="00E200E8"/>
    <w:rsid w:val="00E20878"/>
    <w:rsid w:val="00E2199D"/>
    <w:rsid w:val="00E24390"/>
    <w:rsid w:val="00E268CF"/>
    <w:rsid w:val="00E26CC6"/>
    <w:rsid w:val="00E30F85"/>
    <w:rsid w:val="00E31AF9"/>
    <w:rsid w:val="00E32154"/>
    <w:rsid w:val="00E34370"/>
    <w:rsid w:val="00E34B21"/>
    <w:rsid w:val="00E35D08"/>
    <w:rsid w:val="00E4498E"/>
    <w:rsid w:val="00E45883"/>
    <w:rsid w:val="00E46B9C"/>
    <w:rsid w:val="00E50C18"/>
    <w:rsid w:val="00E51763"/>
    <w:rsid w:val="00E52DFC"/>
    <w:rsid w:val="00E54DE0"/>
    <w:rsid w:val="00E562BE"/>
    <w:rsid w:val="00E60148"/>
    <w:rsid w:val="00E619BF"/>
    <w:rsid w:val="00E640CA"/>
    <w:rsid w:val="00E652C6"/>
    <w:rsid w:val="00E679F7"/>
    <w:rsid w:val="00E712C5"/>
    <w:rsid w:val="00E713E5"/>
    <w:rsid w:val="00E71AA3"/>
    <w:rsid w:val="00E73500"/>
    <w:rsid w:val="00E74DFC"/>
    <w:rsid w:val="00E77625"/>
    <w:rsid w:val="00E803F2"/>
    <w:rsid w:val="00E834C3"/>
    <w:rsid w:val="00E84538"/>
    <w:rsid w:val="00E84887"/>
    <w:rsid w:val="00E92F8B"/>
    <w:rsid w:val="00E93095"/>
    <w:rsid w:val="00E94C37"/>
    <w:rsid w:val="00E96CCA"/>
    <w:rsid w:val="00EA0236"/>
    <w:rsid w:val="00EA02B4"/>
    <w:rsid w:val="00EA1638"/>
    <w:rsid w:val="00EA27C4"/>
    <w:rsid w:val="00EA54FF"/>
    <w:rsid w:val="00EA5DDD"/>
    <w:rsid w:val="00EA651C"/>
    <w:rsid w:val="00EA68C2"/>
    <w:rsid w:val="00EA71D4"/>
    <w:rsid w:val="00EB00C9"/>
    <w:rsid w:val="00EB1C9F"/>
    <w:rsid w:val="00EB660F"/>
    <w:rsid w:val="00EB6CDD"/>
    <w:rsid w:val="00EC169E"/>
    <w:rsid w:val="00EC1781"/>
    <w:rsid w:val="00EC35F5"/>
    <w:rsid w:val="00EC4ABC"/>
    <w:rsid w:val="00ED1BFC"/>
    <w:rsid w:val="00ED5791"/>
    <w:rsid w:val="00ED71CE"/>
    <w:rsid w:val="00EE0529"/>
    <w:rsid w:val="00EE152C"/>
    <w:rsid w:val="00EE34C9"/>
    <w:rsid w:val="00EE46A5"/>
    <w:rsid w:val="00EE4E7D"/>
    <w:rsid w:val="00EE4FC1"/>
    <w:rsid w:val="00EE682E"/>
    <w:rsid w:val="00EF09F1"/>
    <w:rsid w:val="00EF216C"/>
    <w:rsid w:val="00EF69C6"/>
    <w:rsid w:val="00EF6FD3"/>
    <w:rsid w:val="00EF6FFD"/>
    <w:rsid w:val="00F0174F"/>
    <w:rsid w:val="00F033AF"/>
    <w:rsid w:val="00F044F4"/>
    <w:rsid w:val="00F064B9"/>
    <w:rsid w:val="00F070DF"/>
    <w:rsid w:val="00F10F96"/>
    <w:rsid w:val="00F11552"/>
    <w:rsid w:val="00F122C9"/>
    <w:rsid w:val="00F1419E"/>
    <w:rsid w:val="00F15C35"/>
    <w:rsid w:val="00F16831"/>
    <w:rsid w:val="00F16B98"/>
    <w:rsid w:val="00F16C92"/>
    <w:rsid w:val="00F173BF"/>
    <w:rsid w:val="00F211E2"/>
    <w:rsid w:val="00F23629"/>
    <w:rsid w:val="00F23B8D"/>
    <w:rsid w:val="00F24C95"/>
    <w:rsid w:val="00F24D53"/>
    <w:rsid w:val="00F25A6C"/>
    <w:rsid w:val="00F3115B"/>
    <w:rsid w:val="00F3138C"/>
    <w:rsid w:val="00F31522"/>
    <w:rsid w:val="00F37C72"/>
    <w:rsid w:val="00F405C8"/>
    <w:rsid w:val="00F40EF6"/>
    <w:rsid w:val="00F41364"/>
    <w:rsid w:val="00F41826"/>
    <w:rsid w:val="00F41C35"/>
    <w:rsid w:val="00F42F70"/>
    <w:rsid w:val="00F44815"/>
    <w:rsid w:val="00F4500F"/>
    <w:rsid w:val="00F45AA8"/>
    <w:rsid w:val="00F47D8B"/>
    <w:rsid w:val="00F47E5F"/>
    <w:rsid w:val="00F51FED"/>
    <w:rsid w:val="00F536A2"/>
    <w:rsid w:val="00F55101"/>
    <w:rsid w:val="00F622B2"/>
    <w:rsid w:val="00F643BE"/>
    <w:rsid w:val="00F667A6"/>
    <w:rsid w:val="00F72C9E"/>
    <w:rsid w:val="00F749FD"/>
    <w:rsid w:val="00F74AAF"/>
    <w:rsid w:val="00F75FD1"/>
    <w:rsid w:val="00F7633B"/>
    <w:rsid w:val="00F76A0B"/>
    <w:rsid w:val="00F76BB4"/>
    <w:rsid w:val="00F833A0"/>
    <w:rsid w:val="00F85607"/>
    <w:rsid w:val="00F85B1F"/>
    <w:rsid w:val="00F86BFF"/>
    <w:rsid w:val="00F86FFA"/>
    <w:rsid w:val="00F87E0E"/>
    <w:rsid w:val="00F9090B"/>
    <w:rsid w:val="00F92395"/>
    <w:rsid w:val="00F9600C"/>
    <w:rsid w:val="00F965B5"/>
    <w:rsid w:val="00F97AFC"/>
    <w:rsid w:val="00FA00DA"/>
    <w:rsid w:val="00FA14BD"/>
    <w:rsid w:val="00FA1595"/>
    <w:rsid w:val="00FA42E2"/>
    <w:rsid w:val="00FA5C45"/>
    <w:rsid w:val="00FA728E"/>
    <w:rsid w:val="00FA7475"/>
    <w:rsid w:val="00FA7832"/>
    <w:rsid w:val="00FB32BB"/>
    <w:rsid w:val="00FB4979"/>
    <w:rsid w:val="00FC0958"/>
    <w:rsid w:val="00FC297C"/>
    <w:rsid w:val="00FC29C0"/>
    <w:rsid w:val="00FC2D9D"/>
    <w:rsid w:val="00FC7E31"/>
    <w:rsid w:val="00FD0453"/>
    <w:rsid w:val="00FD0DA9"/>
    <w:rsid w:val="00FD1DCA"/>
    <w:rsid w:val="00FD2C6C"/>
    <w:rsid w:val="00FD2D27"/>
    <w:rsid w:val="00FD4A97"/>
    <w:rsid w:val="00FE1F3F"/>
    <w:rsid w:val="00FE260C"/>
    <w:rsid w:val="00FE412A"/>
    <w:rsid w:val="00FE5673"/>
    <w:rsid w:val="00FE5F99"/>
    <w:rsid w:val="00FE61E0"/>
    <w:rsid w:val="00FF062E"/>
    <w:rsid w:val="00FF40C4"/>
    <w:rsid w:val="00FF4AB4"/>
    <w:rsid w:val="00FF672B"/>
    <w:rsid w:val="00FF72C5"/>
    <w:rsid w:val="0115459F"/>
    <w:rsid w:val="0129EF5F"/>
    <w:rsid w:val="012E5514"/>
    <w:rsid w:val="016BB57E"/>
    <w:rsid w:val="01D69F93"/>
    <w:rsid w:val="0226B8F8"/>
    <w:rsid w:val="023D0DA7"/>
    <w:rsid w:val="024B494C"/>
    <w:rsid w:val="02DAEB83"/>
    <w:rsid w:val="030085E2"/>
    <w:rsid w:val="0318C5DC"/>
    <w:rsid w:val="032457D8"/>
    <w:rsid w:val="0326208E"/>
    <w:rsid w:val="03782730"/>
    <w:rsid w:val="03F4C6D7"/>
    <w:rsid w:val="03FD5CE8"/>
    <w:rsid w:val="04071CD7"/>
    <w:rsid w:val="0413FAE7"/>
    <w:rsid w:val="044899CF"/>
    <w:rsid w:val="044CCD79"/>
    <w:rsid w:val="04D007B2"/>
    <w:rsid w:val="0534888B"/>
    <w:rsid w:val="05AB6739"/>
    <w:rsid w:val="05F2A1C0"/>
    <w:rsid w:val="060355F4"/>
    <w:rsid w:val="060AD5F1"/>
    <w:rsid w:val="060B67E0"/>
    <w:rsid w:val="06BCCBC8"/>
    <w:rsid w:val="06E3ED15"/>
    <w:rsid w:val="06EB42F3"/>
    <w:rsid w:val="07247A1D"/>
    <w:rsid w:val="07297B3C"/>
    <w:rsid w:val="075412FB"/>
    <w:rsid w:val="077BEA91"/>
    <w:rsid w:val="0795B8C6"/>
    <w:rsid w:val="07C3EF6B"/>
    <w:rsid w:val="07E8F032"/>
    <w:rsid w:val="07F3F118"/>
    <w:rsid w:val="07FDE785"/>
    <w:rsid w:val="0801C8C8"/>
    <w:rsid w:val="083BDC94"/>
    <w:rsid w:val="08532C3B"/>
    <w:rsid w:val="085D42F4"/>
    <w:rsid w:val="0865CB0E"/>
    <w:rsid w:val="088B9FA7"/>
    <w:rsid w:val="08E6281B"/>
    <w:rsid w:val="08EAC9A6"/>
    <w:rsid w:val="08ED7F9E"/>
    <w:rsid w:val="0929824A"/>
    <w:rsid w:val="095180B3"/>
    <w:rsid w:val="095891ED"/>
    <w:rsid w:val="09795A77"/>
    <w:rsid w:val="0AE20A6C"/>
    <w:rsid w:val="0B576C2F"/>
    <w:rsid w:val="0B77FE46"/>
    <w:rsid w:val="0BAD7EB5"/>
    <w:rsid w:val="0BD96CB6"/>
    <w:rsid w:val="0BDA10A7"/>
    <w:rsid w:val="0BFABA6B"/>
    <w:rsid w:val="0C078327"/>
    <w:rsid w:val="0C1D84C6"/>
    <w:rsid w:val="0C483AC1"/>
    <w:rsid w:val="0C839A3C"/>
    <w:rsid w:val="0C93E389"/>
    <w:rsid w:val="0CB56732"/>
    <w:rsid w:val="0CC470D3"/>
    <w:rsid w:val="0CC98D4A"/>
    <w:rsid w:val="0D3B583B"/>
    <w:rsid w:val="0D41AEE4"/>
    <w:rsid w:val="0D53A29A"/>
    <w:rsid w:val="0D5CAFFA"/>
    <w:rsid w:val="0D7140AE"/>
    <w:rsid w:val="0D727A5B"/>
    <w:rsid w:val="0D7A663B"/>
    <w:rsid w:val="0D82A5E4"/>
    <w:rsid w:val="0D8ECD6F"/>
    <w:rsid w:val="0D99A675"/>
    <w:rsid w:val="0DA1B4D0"/>
    <w:rsid w:val="0DBE0AA4"/>
    <w:rsid w:val="0DC4C594"/>
    <w:rsid w:val="0E0C465E"/>
    <w:rsid w:val="0E12BA41"/>
    <w:rsid w:val="0E1363E1"/>
    <w:rsid w:val="0E171158"/>
    <w:rsid w:val="0E2B8F24"/>
    <w:rsid w:val="0E31E8D0"/>
    <w:rsid w:val="0E364417"/>
    <w:rsid w:val="0E5884B4"/>
    <w:rsid w:val="0E9BB818"/>
    <w:rsid w:val="0EE5B343"/>
    <w:rsid w:val="0EE7EB2D"/>
    <w:rsid w:val="0F33F185"/>
    <w:rsid w:val="0F7850FC"/>
    <w:rsid w:val="0F88F113"/>
    <w:rsid w:val="0F9C4009"/>
    <w:rsid w:val="0FB79065"/>
    <w:rsid w:val="0FD98A0B"/>
    <w:rsid w:val="0FDF4C74"/>
    <w:rsid w:val="0FFB0CFC"/>
    <w:rsid w:val="1017A177"/>
    <w:rsid w:val="10668FFC"/>
    <w:rsid w:val="106D8E79"/>
    <w:rsid w:val="106F49D7"/>
    <w:rsid w:val="10C47BB5"/>
    <w:rsid w:val="10D465F4"/>
    <w:rsid w:val="10EFC980"/>
    <w:rsid w:val="11179C03"/>
    <w:rsid w:val="11445254"/>
    <w:rsid w:val="11584E03"/>
    <w:rsid w:val="1177F384"/>
    <w:rsid w:val="11984C7C"/>
    <w:rsid w:val="11AB7306"/>
    <w:rsid w:val="120D0118"/>
    <w:rsid w:val="1222C277"/>
    <w:rsid w:val="122D0FF0"/>
    <w:rsid w:val="122E1659"/>
    <w:rsid w:val="1290AB1C"/>
    <w:rsid w:val="12D400E4"/>
    <w:rsid w:val="1303226F"/>
    <w:rsid w:val="130BACED"/>
    <w:rsid w:val="1344E226"/>
    <w:rsid w:val="134DFE4B"/>
    <w:rsid w:val="135CA6A7"/>
    <w:rsid w:val="13A037C2"/>
    <w:rsid w:val="140282F1"/>
    <w:rsid w:val="14918C9A"/>
    <w:rsid w:val="1498066D"/>
    <w:rsid w:val="14B68460"/>
    <w:rsid w:val="14BC84D1"/>
    <w:rsid w:val="14C82F3F"/>
    <w:rsid w:val="15234B5A"/>
    <w:rsid w:val="1547719D"/>
    <w:rsid w:val="154FDFFF"/>
    <w:rsid w:val="15617FAE"/>
    <w:rsid w:val="1575DB2A"/>
    <w:rsid w:val="1575E7AC"/>
    <w:rsid w:val="159E9F29"/>
    <w:rsid w:val="15AE56EF"/>
    <w:rsid w:val="15DBA9E6"/>
    <w:rsid w:val="15DFFD10"/>
    <w:rsid w:val="15E0F307"/>
    <w:rsid w:val="15FAEF55"/>
    <w:rsid w:val="15FCDC3F"/>
    <w:rsid w:val="1617B730"/>
    <w:rsid w:val="161F5E31"/>
    <w:rsid w:val="1622D14B"/>
    <w:rsid w:val="1639B6CC"/>
    <w:rsid w:val="1668FFDA"/>
    <w:rsid w:val="1689E963"/>
    <w:rsid w:val="16C5B9E6"/>
    <w:rsid w:val="16D1E3D2"/>
    <w:rsid w:val="1773C0D6"/>
    <w:rsid w:val="1782517D"/>
    <w:rsid w:val="17A27F8B"/>
    <w:rsid w:val="17B1F3FA"/>
    <w:rsid w:val="17BB7517"/>
    <w:rsid w:val="17CF5B1A"/>
    <w:rsid w:val="17E6C170"/>
    <w:rsid w:val="183A11CF"/>
    <w:rsid w:val="18594755"/>
    <w:rsid w:val="18686604"/>
    <w:rsid w:val="186FDB2C"/>
    <w:rsid w:val="1879B1B0"/>
    <w:rsid w:val="1895241E"/>
    <w:rsid w:val="18A57F34"/>
    <w:rsid w:val="190BC2C4"/>
    <w:rsid w:val="197AABB9"/>
    <w:rsid w:val="19A4FD3B"/>
    <w:rsid w:val="19B6AD2B"/>
    <w:rsid w:val="19B7768F"/>
    <w:rsid w:val="19BDDDE9"/>
    <w:rsid w:val="19C3019C"/>
    <w:rsid w:val="19DD74E8"/>
    <w:rsid w:val="1A024BBC"/>
    <w:rsid w:val="1A593A36"/>
    <w:rsid w:val="1A8BDCE9"/>
    <w:rsid w:val="1AEBECF8"/>
    <w:rsid w:val="1B018C90"/>
    <w:rsid w:val="1B36DB7D"/>
    <w:rsid w:val="1B428371"/>
    <w:rsid w:val="1B8BE36E"/>
    <w:rsid w:val="1BC9B1B5"/>
    <w:rsid w:val="1BD225AD"/>
    <w:rsid w:val="1BE28650"/>
    <w:rsid w:val="1C3AD78B"/>
    <w:rsid w:val="1C713A91"/>
    <w:rsid w:val="1CBAFD02"/>
    <w:rsid w:val="1CD9FA30"/>
    <w:rsid w:val="1D0D239C"/>
    <w:rsid w:val="1D1A1DF7"/>
    <w:rsid w:val="1D814DB3"/>
    <w:rsid w:val="1D964A4E"/>
    <w:rsid w:val="1DAB1087"/>
    <w:rsid w:val="1DC399F6"/>
    <w:rsid w:val="1E1CCBAC"/>
    <w:rsid w:val="1E2A83CA"/>
    <w:rsid w:val="1E2B2B18"/>
    <w:rsid w:val="1E56B7FE"/>
    <w:rsid w:val="1E688A4D"/>
    <w:rsid w:val="1E93D762"/>
    <w:rsid w:val="1EBFF2DB"/>
    <w:rsid w:val="1F2072AD"/>
    <w:rsid w:val="1F20F815"/>
    <w:rsid w:val="1FF9DD72"/>
    <w:rsid w:val="203FD5D9"/>
    <w:rsid w:val="204023B2"/>
    <w:rsid w:val="207BDAC5"/>
    <w:rsid w:val="20B83B8A"/>
    <w:rsid w:val="20F315F2"/>
    <w:rsid w:val="211C4C83"/>
    <w:rsid w:val="212E69B9"/>
    <w:rsid w:val="213F64B7"/>
    <w:rsid w:val="2158911A"/>
    <w:rsid w:val="21600B68"/>
    <w:rsid w:val="21990B39"/>
    <w:rsid w:val="21A944E6"/>
    <w:rsid w:val="21C01B9F"/>
    <w:rsid w:val="21F51FB6"/>
    <w:rsid w:val="22003C20"/>
    <w:rsid w:val="221A1B5F"/>
    <w:rsid w:val="22658EBF"/>
    <w:rsid w:val="226E3B8F"/>
    <w:rsid w:val="22EED63F"/>
    <w:rsid w:val="22FD5D75"/>
    <w:rsid w:val="2324CD4D"/>
    <w:rsid w:val="23656603"/>
    <w:rsid w:val="23848EA2"/>
    <w:rsid w:val="23887345"/>
    <w:rsid w:val="23D98BA2"/>
    <w:rsid w:val="24038BBC"/>
    <w:rsid w:val="2411D05B"/>
    <w:rsid w:val="246BDCC3"/>
    <w:rsid w:val="247CE8F2"/>
    <w:rsid w:val="248CC4C7"/>
    <w:rsid w:val="249CFBFB"/>
    <w:rsid w:val="24C506A6"/>
    <w:rsid w:val="250125D1"/>
    <w:rsid w:val="25268C0C"/>
    <w:rsid w:val="256A292B"/>
    <w:rsid w:val="257E1D24"/>
    <w:rsid w:val="258BAE19"/>
    <w:rsid w:val="25B38F9A"/>
    <w:rsid w:val="261BC285"/>
    <w:rsid w:val="2630CD2B"/>
    <w:rsid w:val="26798AD6"/>
    <w:rsid w:val="267EF0C9"/>
    <w:rsid w:val="26A2A89D"/>
    <w:rsid w:val="26E49B0A"/>
    <w:rsid w:val="26F4BAAD"/>
    <w:rsid w:val="2707BA14"/>
    <w:rsid w:val="270EEC16"/>
    <w:rsid w:val="271D73D7"/>
    <w:rsid w:val="273CBA7F"/>
    <w:rsid w:val="27609BC6"/>
    <w:rsid w:val="27A1DEFE"/>
    <w:rsid w:val="27AAE324"/>
    <w:rsid w:val="27AB60AE"/>
    <w:rsid w:val="27AEACF9"/>
    <w:rsid w:val="27DAB373"/>
    <w:rsid w:val="28041E30"/>
    <w:rsid w:val="28064A27"/>
    <w:rsid w:val="2823491A"/>
    <w:rsid w:val="2869A45E"/>
    <w:rsid w:val="28751D60"/>
    <w:rsid w:val="28964A7B"/>
    <w:rsid w:val="289A53EC"/>
    <w:rsid w:val="28A14D0B"/>
    <w:rsid w:val="28CAFCAE"/>
    <w:rsid w:val="291CEAD5"/>
    <w:rsid w:val="295D8F31"/>
    <w:rsid w:val="2972860D"/>
    <w:rsid w:val="29B51E49"/>
    <w:rsid w:val="29BCC15C"/>
    <w:rsid w:val="29CF6E58"/>
    <w:rsid w:val="2A00E265"/>
    <w:rsid w:val="2A1B0EE9"/>
    <w:rsid w:val="2A5902C2"/>
    <w:rsid w:val="2AB96EB8"/>
    <w:rsid w:val="2AE8EE09"/>
    <w:rsid w:val="2B0A3296"/>
    <w:rsid w:val="2B0D241F"/>
    <w:rsid w:val="2B2B18D5"/>
    <w:rsid w:val="2B3EE8FA"/>
    <w:rsid w:val="2B3F3DC7"/>
    <w:rsid w:val="2B7C23FB"/>
    <w:rsid w:val="2B7C6C73"/>
    <w:rsid w:val="2BB43FE7"/>
    <w:rsid w:val="2BF99709"/>
    <w:rsid w:val="2C6DC33A"/>
    <w:rsid w:val="2C6FA1BE"/>
    <w:rsid w:val="2C9990A9"/>
    <w:rsid w:val="2CA72DA3"/>
    <w:rsid w:val="2D0CCCA3"/>
    <w:rsid w:val="2D18778F"/>
    <w:rsid w:val="2D3BFE69"/>
    <w:rsid w:val="2D3D1581"/>
    <w:rsid w:val="2D50297C"/>
    <w:rsid w:val="2D5943B5"/>
    <w:rsid w:val="2D78426E"/>
    <w:rsid w:val="2D7BD8CB"/>
    <w:rsid w:val="2DAC4704"/>
    <w:rsid w:val="2E162D66"/>
    <w:rsid w:val="2E5107EE"/>
    <w:rsid w:val="2E987789"/>
    <w:rsid w:val="2EB26A73"/>
    <w:rsid w:val="2ED28C95"/>
    <w:rsid w:val="2EF06D13"/>
    <w:rsid w:val="2F186128"/>
    <w:rsid w:val="2F1A2152"/>
    <w:rsid w:val="2F282A27"/>
    <w:rsid w:val="2F764931"/>
    <w:rsid w:val="2FAAE5C6"/>
    <w:rsid w:val="301C6A01"/>
    <w:rsid w:val="302DA6C7"/>
    <w:rsid w:val="3052F440"/>
    <w:rsid w:val="306B5C1A"/>
    <w:rsid w:val="307972C2"/>
    <w:rsid w:val="30B6CF29"/>
    <w:rsid w:val="312027CB"/>
    <w:rsid w:val="317BACED"/>
    <w:rsid w:val="3182E897"/>
    <w:rsid w:val="31B906F1"/>
    <w:rsid w:val="31D7F730"/>
    <w:rsid w:val="31DC8FE4"/>
    <w:rsid w:val="31E66F80"/>
    <w:rsid w:val="320A45F1"/>
    <w:rsid w:val="325CAD9C"/>
    <w:rsid w:val="32B15004"/>
    <w:rsid w:val="32C56A0C"/>
    <w:rsid w:val="32DB2C04"/>
    <w:rsid w:val="33281409"/>
    <w:rsid w:val="334A4F23"/>
    <w:rsid w:val="3358D778"/>
    <w:rsid w:val="3366F569"/>
    <w:rsid w:val="33743738"/>
    <w:rsid w:val="33ACBCD9"/>
    <w:rsid w:val="33EC2397"/>
    <w:rsid w:val="3416CFFE"/>
    <w:rsid w:val="341A0D49"/>
    <w:rsid w:val="341AE781"/>
    <w:rsid w:val="3420DA4E"/>
    <w:rsid w:val="34284042"/>
    <w:rsid w:val="342EAF6D"/>
    <w:rsid w:val="346B29A2"/>
    <w:rsid w:val="347C6508"/>
    <w:rsid w:val="348D2635"/>
    <w:rsid w:val="3490A5F9"/>
    <w:rsid w:val="34A019F8"/>
    <w:rsid w:val="34C51119"/>
    <w:rsid w:val="350A3368"/>
    <w:rsid w:val="352E7F3D"/>
    <w:rsid w:val="354FD3E8"/>
    <w:rsid w:val="356A4E04"/>
    <w:rsid w:val="3584C13B"/>
    <w:rsid w:val="3593BCD2"/>
    <w:rsid w:val="35CDB8D8"/>
    <w:rsid w:val="35D81DBD"/>
    <w:rsid w:val="35FE9FAA"/>
    <w:rsid w:val="36072876"/>
    <w:rsid w:val="3621EC43"/>
    <w:rsid w:val="3688396C"/>
    <w:rsid w:val="368CD5CC"/>
    <w:rsid w:val="369AB4ED"/>
    <w:rsid w:val="369C59D7"/>
    <w:rsid w:val="36BA2215"/>
    <w:rsid w:val="36DBEF1C"/>
    <w:rsid w:val="36E8F843"/>
    <w:rsid w:val="36EBE54D"/>
    <w:rsid w:val="36FAA71F"/>
    <w:rsid w:val="3703B513"/>
    <w:rsid w:val="376BC1BD"/>
    <w:rsid w:val="37805E79"/>
    <w:rsid w:val="3791E8B4"/>
    <w:rsid w:val="37A09F22"/>
    <w:rsid w:val="37BDF187"/>
    <w:rsid w:val="37C67FE3"/>
    <w:rsid w:val="38217BD9"/>
    <w:rsid w:val="382A74EC"/>
    <w:rsid w:val="382F070F"/>
    <w:rsid w:val="38423DF8"/>
    <w:rsid w:val="38E8AFFF"/>
    <w:rsid w:val="393A9E03"/>
    <w:rsid w:val="396B010D"/>
    <w:rsid w:val="397E8D35"/>
    <w:rsid w:val="3993FF9B"/>
    <w:rsid w:val="3A124EBC"/>
    <w:rsid w:val="3A3E41AA"/>
    <w:rsid w:val="3A456B61"/>
    <w:rsid w:val="3A512278"/>
    <w:rsid w:val="3A8A36DC"/>
    <w:rsid w:val="3AA1431E"/>
    <w:rsid w:val="3AE73C96"/>
    <w:rsid w:val="3AF38B14"/>
    <w:rsid w:val="3AF3CBA2"/>
    <w:rsid w:val="3BE9CBDD"/>
    <w:rsid w:val="3BFAB899"/>
    <w:rsid w:val="3C03FF39"/>
    <w:rsid w:val="3C10BEA6"/>
    <w:rsid w:val="3C301CB1"/>
    <w:rsid w:val="3C44B18E"/>
    <w:rsid w:val="3C60AF09"/>
    <w:rsid w:val="3CF24D82"/>
    <w:rsid w:val="3D283AD5"/>
    <w:rsid w:val="3D28A030"/>
    <w:rsid w:val="3D6E6F9D"/>
    <w:rsid w:val="3DD1DE41"/>
    <w:rsid w:val="3E3C6CD9"/>
    <w:rsid w:val="3E9E4C82"/>
    <w:rsid w:val="3F33A8B7"/>
    <w:rsid w:val="3F3BA71D"/>
    <w:rsid w:val="3F40B37E"/>
    <w:rsid w:val="3F5FD067"/>
    <w:rsid w:val="3F9E7C41"/>
    <w:rsid w:val="3FBA74A2"/>
    <w:rsid w:val="3FF17358"/>
    <w:rsid w:val="4001542D"/>
    <w:rsid w:val="401F92B7"/>
    <w:rsid w:val="403F990C"/>
    <w:rsid w:val="406080DE"/>
    <w:rsid w:val="4076C00F"/>
    <w:rsid w:val="40800DC0"/>
    <w:rsid w:val="409408FF"/>
    <w:rsid w:val="40BFACA5"/>
    <w:rsid w:val="40D39E8E"/>
    <w:rsid w:val="40E456EE"/>
    <w:rsid w:val="40F1AD0F"/>
    <w:rsid w:val="410DC32A"/>
    <w:rsid w:val="41224936"/>
    <w:rsid w:val="4126680B"/>
    <w:rsid w:val="41332D9C"/>
    <w:rsid w:val="41AEF925"/>
    <w:rsid w:val="41D5F504"/>
    <w:rsid w:val="41FEEC53"/>
    <w:rsid w:val="420A0AE7"/>
    <w:rsid w:val="420DC7EC"/>
    <w:rsid w:val="42633CF6"/>
    <w:rsid w:val="42665F1B"/>
    <w:rsid w:val="426C325D"/>
    <w:rsid w:val="434CAC93"/>
    <w:rsid w:val="435BFE33"/>
    <w:rsid w:val="436AF14D"/>
    <w:rsid w:val="43832A37"/>
    <w:rsid w:val="4392E002"/>
    <w:rsid w:val="43CA6855"/>
    <w:rsid w:val="441654CF"/>
    <w:rsid w:val="446AA111"/>
    <w:rsid w:val="448B73A8"/>
    <w:rsid w:val="44A0A1DC"/>
    <w:rsid w:val="44A238D6"/>
    <w:rsid w:val="44E06EC7"/>
    <w:rsid w:val="456C4D62"/>
    <w:rsid w:val="45D3B348"/>
    <w:rsid w:val="45FCEED6"/>
    <w:rsid w:val="4619C6B4"/>
    <w:rsid w:val="462450FF"/>
    <w:rsid w:val="4643FA21"/>
    <w:rsid w:val="46570AA5"/>
    <w:rsid w:val="46B7DC3D"/>
    <w:rsid w:val="46D2A472"/>
    <w:rsid w:val="46EC9720"/>
    <w:rsid w:val="46F6A89B"/>
    <w:rsid w:val="4711D1C1"/>
    <w:rsid w:val="472E3C25"/>
    <w:rsid w:val="474CFEDB"/>
    <w:rsid w:val="474F7F7D"/>
    <w:rsid w:val="47548F84"/>
    <w:rsid w:val="475EB0F3"/>
    <w:rsid w:val="478B1B18"/>
    <w:rsid w:val="47A6ECF9"/>
    <w:rsid w:val="47F35D01"/>
    <w:rsid w:val="4812E4B2"/>
    <w:rsid w:val="481CA215"/>
    <w:rsid w:val="4839799D"/>
    <w:rsid w:val="483CF79B"/>
    <w:rsid w:val="48460A55"/>
    <w:rsid w:val="4877A177"/>
    <w:rsid w:val="487E8385"/>
    <w:rsid w:val="48A80C84"/>
    <w:rsid w:val="48D48AB6"/>
    <w:rsid w:val="48D5DD97"/>
    <w:rsid w:val="492A17C8"/>
    <w:rsid w:val="498B9E75"/>
    <w:rsid w:val="499CF992"/>
    <w:rsid w:val="49AFD32C"/>
    <w:rsid w:val="49EB183C"/>
    <w:rsid w:val="4A64F7A4"/>
    <w:rsid w:val="4A9F8686"/>
    <w:rsid w:val="4AA76A9F"/>
    <w:rsid w:val="4AC36DE7"/>
    <w:rsid w:val="4AD2EA7F"/>
    <w:rsid w:val="4AFCF92B"/>
    <w:rsid w:val="4B48B76F"/>
    <w:rsid w:val="4B56E3F1"/>
    <w:rsid w:val="4BDA2377"/>
    <w:rsid w:val="4BFBEF95"/>
    <w:rsid w:val="4C2205AF"/>
    <w:rsid w:val="4C437243"/>
    <w:rsid w:val="4C503485"/>
    <w:rsid w:val="4C801800"/>
    <w:rsid w:val="4C839E77"/>
    <w:rsid w:val="4CC93D2D"/>
    <w:rsid w:val="4CE06EA5"/>
    <w:rsid w:val="4CE6A8E0"/>
    <w:rsid w:val="4D3EE4ED"/>
    <w:rsid w:val="4D510F74"/>
    <w:rsid w:val="4D51A4FD"/>
    <w:rsid w:val="4D76C918"/>
    <w:rsid w:val="4D81EB4E"/>
    <w:rsid w:val="4DC550F9"/>
    <w:rsid w:val="4E37B66D"/>
    <w:rsid w:val="4E721A27"/>
    <w:rsid w:val="4E99A9A5"/>
    <w:rsid w:val="4E9E1178"/>
    <w:rsid w:val="4E9E9F10"/>
    <w:rsid w:val="4EADF919"/>
    <w:rsid w:val="4EF809AF"/>
    <w:rsid w:val="4F248F6B"/>
    <w:rsid w:val="4F267FC7"/>
    <w:rsid w:val="4F39F02F"/>
    <w:rsid w:val="4F728F02"/>
    <w:rsid w:val="4F90DF64"/>
    <w:rsid w:val="4FB3FF2D"/>
    <w:rsid w:val="4FB8D588"/>
    <w:rsid w:val="4FD46FCC"/>
    <w:rsid w:val="4FE244B0"/>
    <w:rsid w:val="4FFA32AB"/>
    <w:rsid w:val="502FF273"/>
    <w:rsid w:val="5050F0D1"/>
    <w:rsid w:val="50922922"/>
    <w:rsid w:val="50A617AD"/>
    <w:rsid w:val="5109A4F7"/>
    <w:rsid w:val="516158CC"/>
    <w:rsid w:val="5191C17C"/>
    <w:rsid w:val="519A5E63"/>
    <w:rsid w:val="51AD4027"/>
    <w:rsid w:val="521F96BA"/>
    <w:rsid w:val="52648A3A"/>
    <w:rsid w:val="531F5654"/>
    <w:rsid w:val="53227C13"/>
    <w:rsid w:val="535071D5"/>
    <w:rsid w:val="53630D17"/>
    <w:rsid w:val="53643CD3"/>
    <w:rsid w:val="537D0FB8"/>
    <w:rsid w:val="538A24FC"/>
    <w:rsid w:val="5393C527"/>
    <w:rsid w:val="53E429EE"/>
    <w:rsid w:val="53EA6F87"/>
    <w:rsid w:val="5438CC8B"/>
    <w:rsid w:val="5449919F"/>
    <w:rsid w:val="5473F9C6"/>
    <w:rsid w:val="547D555B"/>
    <w:rsid w:val="54FCDA05"/>
    <w:rsid w:val="54FCDD37"/>
    <w:rsid w:val="5507494D"/>
    <w:rsid w:val="5527B108"/>
    <w:rsid w:val="552EC1D5"/>
    <w:rsid w:val="552F96CF"/>
    <w:rsid w:val="55607212"/>
    <w:rsid w:val="55ADF0C4"/>
    <w:rsid w:val="55CBD078"/>
    <w:rsid w:val="55CFEDBF"/>
    <w:rsid w:val="55E0CC21"/>
    <w:rsid w:val="5610CFD4"/>
    <w:rsid w:val="5610E7E8"/>
    <w:rsid w:val="563A4344"/>
    <w:rsid w:val="56513986"/>
    <w:rsid w:val="567618E7"/>
    <w:rsid w:val="568E1B7B"/>
    <w:rsid w:val="56A6DECA"/>
    <w:rsid w:val="56B80567"/>
    <w:rsid w:val="56CEDDC5"/>
    <w:rsid w:val="56DB3A91"/>
    <w:rsid w:val="5721C034"/>
    <w:rsid w:val="57439673"/>
    <w:rsid w:val="57ABC404"/>
    <w:rsid w:val="57CF17E8"/>
    <w:rsid w:val="57FA6EF3"/>
    <w:rsid w:val="57FC54BB"/>
    <w:rsid w:val="58086CEB"/>
    <w:rsid w:val="5887E47F"/>
    <w:rsid w:val="589DAABE"/>
    <w:rsid w:val="58F1F4CB"/>
    <w:rsid w:val="591F5F5D"/>
    <w:rsid w:val="59626270"/>
    <w:rsid w:val="598650FF"/>
    <w:rsid w:val="5996DC70"/>
    <w:rsid w:val="59CB0866"/>
    <w:rsid w:val="59D25678"/>
    <w:rsid w:val="5A287839"/>
    <w:rsid w:val="5A6B4970"/>
    <w:rsid w:val="5A70B45C"/>
    <w:rsid w:val="5AA49E4A"/>
    <w:rsid w:val="5AABBCB2"/>
    <w:rsid w:val="5AFDFC21"/>
    <w:rsid w:val="5B10130F"/>
    <w:rsid w:val="5B37AC5A"/>
    <w:rsid w:val="5B6388EE"/>
    <w:rsid w:val="5B8B768A"/>
    <w:rsid w:val="5BD7F424"/>
    <w:rsid w:val="5C17E815"/>
    <w:rsid w:val="5C50B854"/>
    <w:rsid w:val="5C71F01D"/>
    <w:rsid w:val="5C94A833"/>
    <w:rsid w:val="5CA75DDE"/>
    <w:rsid w:val="5CBD7492"/>
    <w:rsid w:val="5CE828EB"/>
    <w:rsid w:val="5D0AA31D"/>
    <w:rsid w:val="5D2ABA0B"/>
    <w:rsid w:val="5D6C16BC"/>
    <w:rsid w:val="5D797E93"/>
    <w:rsid w:val="5DA8B678"/>
    <w:rsid w:val="5DC0A780"/>
    <w:rsid w:val="5DCEFFA2"/>
    <w:rsid w:val="5E37362F"/>
    <w:rsid w:val="5E38894F"/>
    <w:rsid w:val="5E391E39"/>
    <w:rsid w:val="5E5B4217"/>
    <w:rsid w:val="5E8CFBEB"/>
    <w:rsid w:val="5EBD8A86"/>
    <w:rsid w:val="5EC027EE"/>
    <w:rsid w:val="5ED6777A"/>
    <w:rsid w:val="5EE1B507"/>
    <w:rsid w:val="5EFC9B6F"/>
    <w:rsid w:val="5F07516F"/>
    <w:rsid w:val="5F52C937"/>
    <w:rsid w:val="5F654DF5"/>
    <w:rsid w:val="5F7ECD08"/>
    <w:rsid w:val="5FAAEAE6"/>
    <w:rsid w:val="5FDEAD9F"/>
    <w:rsid w:val="5FE1D821"/>
    <w:rsid w:val="5FEA0696"/>
    <w:rsid w:val="60209FE8"/>
    <w:rsid w:val="60433356"/>
    <w:rsid w:val="60771004"/>
    <w:rsid w:val="60896DE8"/>
    <w:rsid w:val="6091BAEF"/>
    <w:rsid w:val="609F0FB8"/>
    <w:rsid w:val="60D7F5B9"/>
    <w:rsid w:val="60DDC796"/>
    <w:rsid w:val="60DF37D7"/>
    <w:rsid w:val="60F80E02"/>
    <w:rsid w:val="6103F48E"/>
    <w:rsid w:val="610885FE"/>
    <w:rsid w:val="612AAFB9"/>
    <w:rsid w:val="61504CCA"/>
    <w:rsid w:val="6160B278"/>
    <w:rsid w:val="6161F55C"/>
    <w:rsid w:val="616424B6"/>
    <w:rsid w:val="616910CC"/>
    <w:rsid w:val="6188DE97"/>
    <w:rsid w:val="61AA3C25"/>
    <w:rsid w:val="61F2D879"/>
    <w:rsid w:val="61FBBECF"/>
    <w:rsid w:val="61FFDEE4"/>
    <w:rsid w:val="623E5685"/>
    <w:rsid w:val="62542194"/>
    <w:rsid w:val="62566AC5"/>
    <w:rsid w:val="62C32AB0"/>
    <w:rsid w:val="62DA0234"/>
    <w:rsid w:val="62E72691"/>
    <w:rsid w:val="632FB849"/>
    <w:rsid w:val="634D014F"/>
    <w:rsid w:val="63D11BE8"/>
    <w:rsid w:val="64017E9D"/>
    <w:rsid w:val="6401F0BB"/>
    <w:rsid w:val="6426E25B"/>
    <w:rsid w:val="644ADA7C"/>
    <w:rsid w:val="64533B45"/>
    <w:rsid w:val="646B8A4C"/>
    <w:rsid w:val="64762032"/>
    <w:rsid w:val="649F74A8"/>
    <w:rsid w:val="64BF405A"/>
    <w:rsid w:val="64C1C737"/>
    <w:rsid w:val="64F470B1"/>
    <w:rsid w:val="651E525C"/>
    <w:rsid w:val="652951AB"/>
    <w:rsid w:val="654F6B3C"/>
    <w:rsid w:val="656F1265"/>
    <w:rsid w:val="6579D45E"/>
    <w:rsid w:val="657AB955"/>
    <w:rsid w:val="659AFAD8"/>
    <w:rsid w:val="65BA0D64"/>
    <w:rsid w:val="65E2D84D"/>
    <w:rsid w:val="65FA75EB"/>
    <w:rsid w:val="66374B77"/>
    <w:rsid w:val="663BE012"/>
    <w:rsid w:val="664DA596"/>
    <w:rsid w:val="6676BE56"/>
    <w:rsid w:val="66A0D2CD"/>
    <w:rsid w:val="66DD5F9A"/>
    <w:rsid w:val="6707DCB8"/>
    <w:rsid w:val="6788FA16"/>
    <w:rsid w:val="6792187B"/>
    <w:rsid w:val="67C8D060"/>
    <w:rsid w:val="680AB2E0"/>
    <w:rsid w:val="6848DAFC"/>
    <w:rsid w:val="687E9871"/>
    <w:rsid w:val="68BE6C44"/>
    <w:rsid w:val="68E90B87"/>
    <w:rsid w:val="6912DCF5"/>
    <w:rsid w:val="6925AE7D"/>
    <w:rsid w:val="692732B1"/>
    <w:rsid w:val="69374126"/>
    <w:rsid w:val="694C3E5D"/>
    <w:rsid w:val="69659D73"/>
    <w:rsid w:val="697C59A9"/>
    <w:rsid w:val="697F75C9"/>
    <w:rsid w:val="697F969E"/>
    <w:rsid w:val="69911D55"/>
    <w:rsid w:val="69FBEA29"/>
    <w:rsid w:val="6A6EFEE9"/>
    <w:rsid w:val="6AAFAD60"/>
    <w:rsid w:val="6AB62DA0"/>
    <w:rsid w:val="6ACAC77D"/>
    <w:rsid w:val="6B5161DA"/>
    <w:rsid w:val="6B73326A"/>
    <w:rsid w:val="6B8247C8"/>
    <w:rsid w:val="6BE6B7E4"/>
    <w:rsid w:val="6BF3E09D"/>
    <w:rsid w:val="6C053FA4"/>
    <w:rsid w:val="6C3F3420"/>
    <w:rsid w:val="6C540792"/>
    <w:rsid w:val="6C85238E"/>
    <w:rsid w:val="6CA37589"/>
    <w:rsid w:val="6CA60EF1"/>
    <w:rsid w:val="6D09AA42"/>
    <w:rsid w:val="6D3BD301"/>
    <w:rsid w:val="6DA1E616"/>
    <w:rsid w:val="6DBC3E66"/>
    <w:rsid w:val="6DCB3CC8"/>
    <w:rsid w:val="6DF74787"/>
    <w:rsid w:val="6DFA40C0"/>
    <w:rsid w:val="6E0CBAF7"/>
    <w:rsid w:val="6E2AB0F9"/>
    <w:rsid w:val="6E5C2898"/>
    <w:rsid w:val="6E69D4E1"/>
    <w:rsid w:val="6E75C160"/>
    <w:rsid w:val="6E8F36B4"/>
    <w:rsid w:val="6EA088C1"/>
    <w:rsid w:val="6EEE6C93"/>
    <w:rsid w:val="6F19496E"/>
    <w:rsid w:val="6F295650"/>
    <w:rsid w:val="6F7E7004"/>
    <w:rsid w:val="6F8017FE"/>
    <w:rsid w:val="6F8CC116"/>
    <w:rsid w:val="6FA4663C"/>
    <w:rsid w:val="700B0B74"/>
    <w:rsid w:val="701752F2"/>
    <w:rsid w:val="701B901E"/>
    <w:rsid w:val="702B5EC2"/>
    <w:rsid w:val="70D0940D"/>
    <w:rsid w:val="7137ABDB"/>
    <w:rsid w:val="717B9E1E"/>
    <w:rsid w:val="719E2FEE"/>
    <w:rsid w:val="71BDB7F5"/>
    <w:rsid w:val="71F89208"/>
    <w:rsid w:val="71FA9895"/>
    <w:rsid w:val="72005D13"/>
    <w:rsid w:val="7227F904"/>
    <w:rsid w:val="72306535"/>
    <w:rsid w:val="7262D56F"/>
    <w:rsid w:val="72BA223B"/>
    <w:rsid w:val="72CBFB17"/>
    <w:rsid w:val="731ED2DE"/>
    <w:rsid w:val="731F659F"/>
    <w:rsid w:val="732753B1"/>
    <w:rsid w:val="73419CFF"/>
    <w:rsid w:val="734793DA"/>
    <w:rsid w:val="736BF96E"/>
    <w:rsid w:val="738D86E8"/>
    <w:rsid w:val="73A0A490"/>
    <w:rsid w:val="73A306D8"/>
    <w:rsid w:val="73B82230"/>
    <w:rsid w:val="73D1B913"/>
    <w:rsid w:val="74010E52"/>
    <w:rsid w:val="742F8F62"/>
    <w:rsid w:val="744C2048"/>
    <w:rsid w:val="74893272"/>
    <w:rsid w:val="748FB618"/>
    <w:rsid w:val="74C25776"/>
    <w:rsid w:val="74C31693"/>
    <w:rsid w:val="74D4BE9F"/>
    <w:rsid w:val="74DAEDDE"/>
    <w:rsid w:val="74E9C5FD"/>
    <w:rsid w:val="7500D68C"/>
    <w:rsid w:val="7553ADD9"/>
    <w:rsid w:val="755F9FC9"/>
    <w:rsid w:val="75B6874F"/>
    <w:rsid w:val="75BEA4EA"/>
    <w:rsid w:val="75CCB893"/>
    <w:rsid w:val="75FDD2DE"/>
    <w:rsid w:val="761576BB"/>
    <w:rsid w:val="76286411"/>
    <w:rsid w:val="76DCDB37"/>
    <w:rsid w:val="7783FD07"/>
    <w:rsid w:val="77E1B9E0"/>
    <w:rsid w:val="780B3304"/>
    <w:rsid w:val="7829828D"/>
    <w:rsid w:val="784B4A3F"/>
    <w:rsid w:val="788323D5"/>
    <w:rsid w:val="78A15DAB"/>
    <w:rsid w:val="78F38876"/>
    <w:rsid w:val="79008176"/>
    <w:rsid w:val="795195D3"/>
    <w:rsid w:val="79B38A00"/>
    <w:rsid w:val="79FDC32F"/>
    <w:rsid w:val="7A82092B"/>
    <w:rsid w:val="7A8DA366"/>
    <w:rsid w:val="7A96AE66"/>
    <w:rsid w:val="7AC59F67"/>
    <w:rsid w:val="7B02A109"/>
    <w:rsid w:val="7B2DAE5A"/>
    <w:rsid w:val="7B323662"/>
    <w:rsid w:val="7B32EA38"/>
    <w:rsid w:val="7B40AF40"/>
    <w:rsid w:val="7B67EB46"/>
    <w:rsid w:val="7B7700A6"/>
    <w:rsid w:val="7B82D014"/>
    <w:rsid w:val="7B909E69"/>
    <w:rsid w:val="7B98E7C6"/>
    <w:rsid w:val="7C203392"/>
    <w:rsid w:val="7C35DDBD"/>
    <w:rsid w:val="7C3E6F8B"/>
    <w:rsid w:val="7C4870D8"/>
    <w:rsid w:val="7C4A0C52"/>
    <w:rsid w:val="7C83C58D"/>
    <w:rsid w:val="7CAF70F0"/>
    <w:rsid w:val="7D0BEA5E"/>
    <w:rsid w:val="7D66C7AA"/>
    <w:rsid w:val="7D8D4009"/>
    <w:rsid w:val="7D8D975B"/>
    <w:rsid w:val="7DA8DC44"/>
    <w:rsid w:val="7DC72F37"/>
    <w:rsid w:val="7E3453F0"/>
    <w:rsid w:val="7E436882"/>
    <w:rsid w:val="7E44CB23"/>
    <w:rsid w:val="7E620AAB"/>
    <w:rsid w:val="7E995649"/>
    <w:rsid w:val="7EBB1CF5"/>
    <w:rsid w:val="7EF7C9DA"/>
    <w:rsid w:val="7F074CF0"/>
    <w:rsid w:val="7F29E97E"/>
    <w:rsid w:val="7F2D72EF"/>
    <w:rsid w:val="7F2EA3EA"/>
    <w:rsid w:val="7F6D0D17"/>
    <w:rsid w:val="7F70D8AB"/>
    <w:rsid w:val="7F7C7E66"/>
    <w:rsid w:val="7F7DE8CE"/>
    <w:rsid w:val="7F9EF283"/>
    <w:rsid w:val="7FB2C218"/>
    <w:rsid w:val="7FF31408"/>
    <w:rsid w:val="7FFEA5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5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79F"/>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4C579F"/>
    <w:rPr>
      <w:sz w:val="20"/>
    </w:rPr>
  </w:style>
  <w:style w:type="character" w:customStyle="1" w:styleId="CommentTextChar">
    <w:name w:val="Comment Text Char"/>
    <w:basedOn w:val="DefaultParagraphFont"/>
    <w:link w:val="CommentText"/>
    <w:rsid w:val="004C579F"/>
    <w:rPr>
      <w:rFonts w:ascii="Courier New" w:eastAsia="Times New Roman" w:hAnsi="Courier New" w:cs="Times New Roman"/>
      <w:sz w:val="20"/>
      <w:szCs w:val="20"/>
      <w:lang w:eastAsia="en-GB"/>
    </w:rPr>
  </w:style>
  <w:style w:type="character" w:styleId="CommentReference">
    <w:name w:val="annotation reference"/>
    <w:uiPriority w:val="99"/>
    <w:rsid w:val="004C579F"/>
    <w:rPr>
      <w:sz w:val="16"/>
    </w:rPr>
  </w:style>
  <w:style w:type="paragraph" w:styleId="CommentSubject">
    <w:name w:val="annotation subject"/>
    <w:basedOn w:val="CommentText"/>
    <w:next w:val="CommentText"/>
    <w:link w:val="CommentSubjectChar"/>
    <w:uiPriority w:val="99"/>
    <w:semiHidden/>
    <w:unhideWhenUsed/>
    <w:rsid w:val="0067360D"/>
    <w:rPr>
      <w:b/>
      <w:bCs/>
    </w:rPr>
  </w:style>
  <w:style w:type="character" w:customStyle="1" w:styleId="CommentSubjectChar">
    <w:name w:val="Comment Subject Char"/>
    <w:basedOn w:val="CommentTextChar"/>
    <w:link w:val="CommentSubject"/>
    <w:uiPriority w:val="99"/>
    <w:semiHidden/>
    <w:rsid w:val="0067360D"/>
    <w:rPr>
      <w:rFonts w:ascii="Courier New" w:eastAsia="Times New Roman" w:hAnsi="Courier New" w:cs="Times New Roman"/>
      <w:b/>
      <w:bCs/>
      <w:sz w:val="20"/>
      <w:szCs w:val="20"/>
      <w:lang w:eastAsia="en-GB"/>
    </w:rPr>
  </w:style>
  <w:style w:type="paragraph" w:styleId="Revision">
    <w:name w:val="Revision"/>
    <w:hidden/>
    <w:uiPriority w:val="99"/>
    <w:semiHidden/>
    <w:rsid w:val="00A3599E"/>
    <w:pPr>
      <w:spacing w:after="0" w:line="240" w:lineRule="auto"/>
    </w:pPr>
    <w:rPr>
      <w:rFonts w:ascii="Courier New" w:eastAsia="Times New Roman" w:hAnsi="Courier New" w:cs="Times New Roman"/>
      <w:sz w:val="24"/>
      <w:szCs w:val="20"/>
      <w:lang w:eastAsia="en-GB"/>
    </w:rPr>
  </w:style>
  <w:style w:type="paragraph" w:styleId="Header">
    <w:name w:val="header"/>
    <w:basedOn w:val="Normal"/>
    <w:link w:val="HeaderChar"/>
    <w:uiPriority w:val="99"/>
    <w:unhideWhenUsed/>
    <w:rsid w:val="00F25A6C"/>
    <w:pPr>
      <w:tabs>
        <w:tab w:val="center" w:pos="4513"/>
        <w:tab w:val="right" w:pos="9026"/>
      </w:tabs>
      <w:spacing w:after="0"/>
    </w:pPr>
  </w:style>
  <w:style w:type="character" w:customStyle="1" w:styleId="HeaderChar">
    <w:name w:val="Header Char"/>
    <w:basedOn w:val="DefaultParagraphFont"/>
    <w:link w:val="Header"/>
    <w:uiPriority w:val="99"/>
    <w:rsid w:val="00F25A6C"/>
    <w:rPr>
      <w:rFonts w:ascii="Courier New" w:eastAsia="Times New Roman" w:hAnsi="Courier New" w:cs="Times New Roman"/>
      <w:sz w:val="24"/>
      <w:szCs w:val="20"/>
      <w:lang w:eastAsia="en-GB"/>
    </w:rPr>
  </w:style>
  <w:style w:type="paragraph" w:styleId="Footer">
    <w:name w:val="footer"/>
    <w:basedOn w:val="Normal"/>
    <w:link w:val="FooterChar"/>
    <w:uiPriority w:val="99"/>
    <w:unhideWhenUsed/>
    <w:rsid w:val="00F25A6C"/>
    <w:pPr>
      <w:tabs>
        <w:tab w:val="center" w:pos="4513"/>
        <w:tab w:val="right" w:pos="9026"/>
      </w:tabs>
      <w:spacing w:after="0"/>
    </w:pPr>
  </w:style>
  <w:style w:type="character" w:customStyle="1" w:styleId="FooterChar">
    <w:name w:val="Footer Char"/>
    <w:basedOn w:val="DefaultParagraphFont"/>
    <w:link w:val="Footer"/>
    <w:uiPriority w:val="99"/>
    <w:rsid w:val="00F25A6C"/>
    <w:rPr>
      <w:rFonts w:ascii="Courier New" w:eastAsia="Times New Roman" w:hAnsi="Courier New" w:cs="Times New Roman"/>
      <w:sz w:val="24"/>
      <w:szCs w:val="20"/>
      <w:lang w:eastAsia="en-GB"/>
    </w:rPr>
  </w:style>
  <w:style w:type="paragraph" w:styleId="FootnoteText">
    <w:name w:val="footnote text"/>
    <w:basedOn w:val="Normal"/>
    <w:link w:val="FootnoteTextChar"/>
    <w:uiPriority w:val="99"/>
    <w:semiHidden/>
    <w:unhideWhenUsed/>
    <w:rsid w:val="009603D6"/>
    <w:pPr>
      <w:spacing w:after="0"/>
    </w:pPr>
    <w:rPr>
      <w:sz w:val="20"/>
    </w:rPr>
  </w:style>
  <w:style w:type="character" w:customStyle="1" w:styleId="FootnoteTextChar">
    <w:name w:val="Footnote Text Char"/>
    <w:basedOn w:val="DefaultParagraphFont"/>
    <w:link w:val="FootnoteText"/>
    <w:uiPriority w:val="99"/>
    <w:semiHidden/>
    <w:rsid w:val="009603D6"/>
    <w:rPr>
      <w:rFonts w:ascii="Courier New" w:eastAsia="Times New Roman" w:hAnsi="Courier New" w:cs="Times New Roman"/>
      <w:sz w:val="20"/>
      <w:szCs w:val="20"/>
      <w:lang w:eastAsia="en-GB"/>
    </w:rPr>
  </w:style>
  <w:style w:type="character" w:styleId="FootnoteReference">
    <w:name w:val="footnote reference"/>
    <w:basedOn w:val="DefaultParagraphFont"/>
    <w:uiPriority w:val="99"/>
    <w:semiHidden/>
    <w:unhideWhenUsed/>
    <w:rsid w:val="009603D6"/>
    <w:rPr>
      <w:vertAlign w:val="superscript"/>
    </w:rPr>
  </w:style>
  <w:style w:type="character" w:styleId="Mention">
    <w:name w:val="Mention"/>
    <w:basedOn w:val="DefaultParagraphFont"/>
    <w:uiPriority w:val="99"/>
    <w:unhideWhenUsed/>
    <w:rsid w:val="008B059A"/>
    <w:rPr>
      <w:color w:val="2B579A"/>
      <w:shd w:val="clear" w:color="auto" w:fill="E1DFDD"/>
    </w:rPr>
  </w:style>
  <w:style w:type="character" w:styleId="Hyperlink">
    <w:name w:val="Hyperlink"/>
    <w:basedOn w:val="DefaultParagraphFont"/>
    <w:uiPriority w:val="99"/>
    <w:unhideWhenUsed/>
    <w:rsid w:val="002E2D92"/>
    <w:rPr>
      <w:color w:val="0563C1" w:themeColor="hyperlink"/>
      <w:u w:val="single"/>
    </w:rPr>
  </w:style>
  <w:style w:type="character" w:styleId="UnresolvedMention">
    <w:name w:val="Unresolved Mention"/>
    <w:basedOn w:val="DefaultParagraphFont"/>
    <w:uiPriority w:val="99"/>
    <w:semiHidden/>
    <w:unhideWhenUsed/>
    <w:rsid w:val="002E2D92"/>
    <w:rPr>
      <w:color w:val="605E5C"/>
      <w:shd w:val="clear" w:color="auto" w:fill="E1DFDD"/>
    </w:rPr>
  </w:style>
  <w:style w:type="character" w:styleId="FollowedHyperlink">
    <w:name w:val="FollowedHyperlink"/>
    <w:basedOn w:val="DefaultParagraphFont"/>
    <w:uiPriority w:val="99"/>
    <w:semiHidden/>
    <w:unhideWhenUsed/>
    <w:rsid w:val="002E2D92"/>
    <w:rPr>
      <w:color w:val="954F72" w:themeColor="followedHyperlink"/>
      <w:u w:val="single"/>
    </w:rPr>
  </w:style>
  <w:style w:type="character" w:customStyle="1" w:styleId="sup">
    <w:name w:val="sup"/>
    <w:basedOn w:val="DefaultParagraphFont"/>
    <w:rsid w:val="00CD1ECB"/>
  </w:style>
  <w:style w:type="paragraph" w:customStyle="1" w:styleId="Briefingheading1">
    <w:name w:val="Briefing heading 1"/>
    <w:basedOn w:val="Normal"/>
    <w:next w:val="Normal"/>
    <w:qFormat/>
    <w:rsid w:val="00790E3B"/>
    <w:pPr>
      <w:keepNext/>
      <w:spacing w:before="120" w:after="120"/>
      <w:jc w:val="left"/>
    </w:pPr>
    <w:rPr>
      <w:rFonts w:ascii="Arial" w:hAnsi="Arial"/>
      <w:b/>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632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FR/TXT/PDF/?uri=CELEX:52024DC0021" TargetMode="External"/><Relationship Id="rId1" Type="http://schemas.openxmlformats.org/officeDocument/2006/relationships/hyperlink" Target="https://www.eba.europa.eu/sites/default/files/2024-01/8039a4ea-6e61-45a9-a746-058fd070c34a/EBA%20Dashboard%20-%20Q3%20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8946F0AA494C4BB25CCD4EAB82602F" ma:contentTypeVersion="17" ma:contentTypeDescription="Create a new document." ma:contentTypeScope="" ma:versionID="c4afaad0d03cff5a18e579eec2728de4">
  <xsd:schema xmlns:xsd="http://www.w3.org/2001/XMLSchema" xmlns:xs="http://www.w3.org/2001/XMLSchema" xmlns:p="http://schemas.microsoft.com/office/2006/metadata/properties" xmlns:ns2="6f72634d-5da9-4e9f-98c3-3013ce1d074f" xmlns:ns3="013aa35d-30e5-41d1-9a7b-1c862c539650" targetNamespace="http://schemas.microsoft.com/office/2006/metadata/properties" ma:root="true" ma:fieldsID="8cc4737aaf3d8b08aa2024c3e11f1907" ns2:_="" ns3:_="">
    <xsd:import namespace="6f72634d-5da9-4e9f-98c3-3013ce1d074f"/>
    <xsd:import namespace="013aa35d-30e5-41d1-9a7b-1c862c539650"/>
    <xsd:element name="properties">
      <xsd:complexType>
        <xsd:sequence>
          <xsd:element name="documentManagement">
            <xsd:complexType>
              <xsd:all>
                <xsd:element ref="ns2:Permission" minOccurs="0"/>
                <xsd:element ref="ns2:MediaServiceMetadata" minOccurs="0"/>
                <xsd:element ref="ns2:MediaServiceFastMetadata" minOccurs="0"/>
                <xsd:element ref="ns2:_Flow_SignoffStatus" minOccurs="0"/>
                <xsd:element ref="ns2:a748822c573043839fa7ab8b42cedc90" minOccurs="0"/>
                <xsd:element ref="ns3:TaxCatchAll"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634d-5da9-4e9f-98c3-3013ce1d074f" elementFormDefault="qualified">
    <xsd:import namespace="http://schemas.microsoft.com/office/2006/documentManagement/types"/>
    <xsd:import namespace="http://schemas.microsoft.com/office/infopath/2007/PartnerControls"/>
    <xsd:element name="Permission" ma:index="8" nillable="true" ma:displayName="Permission" ma:default="FISMA A2 only" ma:format="Dropdown" ma:internalName="Permiss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_Flow_SignoffStatus" ma:index="11" nillable="true" ma:displayName="Sign-off status" ma:internalName="Sign_x002d_off_x0020_status">
      <xsd:simpleType>
        <xsd:restriction base="dms:Text"/>
      </xsd:simpleType>
    </xsd:element>
    <xsd:element name="a748822c573043839fa7ab8b42cedc90" ma:index="13" nillable="true" ma:taxonomy="true" ma:internalName="a748822c573043839fa7ab8b42cedc90" ma:taxonomyFieldName="Doc_x0020_Status" ma:displayName="Doc Status" ma:default="" ma:fieldId="{a748822c-5730-4383-9fa7-ab8b42cedc90}" ma:sspId="22b2fad6-9d2c-441c-a321-3f5f1e9bd928" ma:termSetId="ed292b5c-f70b-45a5-b497-91902792a28c" ma:anchorId="00000000-0000-0000-0000-000000000000" ma:open="fals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 ma:index="24"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13aa35d-30e5-41d1-9a7b-1c862c5396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7ce17c-9498-44a9-84ac-9d8956980c39}" ma:internalName="TaxCatchAll" ma:showField="CatchAllData" ma:web="013aa35d-30e5-41d1-9a7b-1c862c539650">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72634d-5da9-4e9f-98c3-3013ce1d07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013aa35d-30e5-41d1-9a7b-1c862c539650" xsi:nil="true"/>
    <Date xmlns="6f72634d-5da9-4e9f-98c3-3013ce1d074f" xsi:nil="true"/>
    <a748822c573043839fa7ab8b42cedc90 xmlns="6f72634d-5da9-4e9f-98c3-3013ce1d07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a748822c573043839fa7ab8b42cedc90>
    <Permission xmlns="6f72634d-5da9-4e9f-98c3-3013ce1d074f">FISMA A2 only</Permission>
    <_Flow_SignoffStatus xmlns="6f72634d-5da9-4e9f-98c3-3013ce1d074f" xsi:nil="true"/>
  </documentManagement>
</p:properties>
</file>

<file path=customXml/itemProps1.xml><?xml version="1.0" encoding="utf-8"?>
<ds:datastoreItem xmlns:ds="http://schemas.openxmlformats.org/officeDocument/2006/customXml" ds:itemID="{0574D9FB-F68F-468B-8419-55B341E86B3E}">
  <ds:schemaRefs>
    <ds:schemaRef ds:uri="http://schemas.microsoft.com/sharepoint/v3/contenttype/forms"/>
  </ds:schemaRefs>
</ds:datastoreItem>
</file>

<file path=customXml/itemProps2.xml><?xml version="1.0" encoding="utf-8"?>
<ds:datastoreItem xmlns:ds="http://schemas.openxmlformats.org/officeDocument/2006/customXml" ds:itemID="{CF1D8507-D276-4B83-A06B-17663E4D15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634d-5da9-4e9f-98c3-3013ce1d074f"/>
    <ds:schemaRef ds:uri="013aa35d-30e5-41d1-9a7b-1c862c5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2204B-0F3D-44E4-9220-7E81A8248F1B}">
  <ds:schemaRefs>
    <ds:schemaRef ds:uri="http://schemas.openxmlformats.org/officeDocument/2006/bibliography"/>
  </ds:schemaRefs>
</ds:datastoreItem>
</file>

<file path=customXml/itemProps4.xml><?xml version="1.0" encoding="utf-8"?>
<ds:datastoreItem xmlns:ds="http://schemas.openxmlformats.org/officeDocument/2006/customXml" ds:itemID="{86B12DBE-639F-407B-BB84-732F5580E86A}">
  <ds:schemaRefs>
    <ds:schemaRef ds:uri="http://schemas.microsoft.com/office/2006/metadata/properties"/>
    <ds:schemaRef ds:uri="http://purl.org/dc/elements/1.1/"/>
    <ds:schemaRef ds:uri="http://purl.org/dc/dcmitype/"/>
    <ds:schemaRef ds:uri="http://purl.org/dc/terms/"/>
    <ds:schemaRef ds:uri="013aa35d-30e5-41d1-9a7b-1c862c539650"/>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6f72634d-5da9-4e9f-98c3-3013ce1d07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3630</Words>
  <Characters>20006</Characters>
  <Application>Microsoft Office Word</Application>
  <DocSecurity>0</DocSecurity>
  <Lines>281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2024-05-15T08:28:00Z</dcterms:created>
  <dcterms:modified xsi:type="dcterms:W3CDTF">2024-05-15T08:28:00Z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0x010100F08946F0AA494C4BB25CCD4EAB82602F</vt:lpwstr>
  </property>
  <property fmtid="{D5CDD505-2E9C-101B-9397-08002B2CF9AE}" pid="3" name="MediaServiceImageTags">
    <vt:lpwstr/>
  </property>
  <property fmtid="{D5CDD505-2E9C-101B-9397-08002B2CF9AE}" pid="4" name="Doc Status">
    <vt:lpwstr/>
  </property>
  <property fmtid="{D5CDD505-2E9C-101B-9397-08002B2CF9AE}" pid="5" name="MSIP_Label_6bd9ddd1-4d20-43f6-abfa-fc3c07406f94_Enabled">
    <vt:lpwstr>true</vt:lpwstr>
  </property>
  <property fmtid="{D5CDD505-2E9C-101B-9397-08002B2CF9AE}" pid="6" name="MSIP_Label_6bd9ddd1-4d20-43f6-abfa-fc3c07406f94_SetDate">
    <vt:lpwstr>2024-03-21T17:14:23Z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404cf7a4-a926-4305-9994-f78ae999a2a8</vt:lpwstr>
  </property>
  <property fmtid="{D5CDD505-2E9C-101B-9397-08002B2CF9AE}" pid="11" name="MSIP_Label_6bd9ddd1-4d20-43f6-abfa-fc3c07406f94_ContentBits">
    <vt:lpwstr>0</vt:lpwstr>
  </property>
</Properties>
</file>