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5731" w14:textId="369ECBC0" w:rsidR="0014494B" w:rsidRPr="002127AB" w:rsidRDefault="0014494B" w:rsidP="0014494B">
      <w:pPr>
        <w:spacing w:after="600"/>
        <w:jc w:val="center"/>
        <w:rPr>
          <w:rFonts w:ascii="Times New Roman" w:hAnsi="Times New Roman"/>
          <w:b/>
          <w:bCs/>
        </w:rPr>
      </w:pPr>
      <w:bookmarkStart w:id="0" w:name="books"/>
      <w:r>
        <w:rPr>
          <w:rFonts w:ascii="Times New Roman" w:hAnsi="Times New Roman"/>
          <w:b/>
        </w:rPr>
        <w:t>Suite donnée à la résolution non législative du Parlement européen sur la construction d’une stratégie portuaire européenne globale</w:t>
      </w:r>
    </w:p>
    <w:bookmarkEnd w:id="0"/>
    <w:p w14:paraId="7670C1FF" w14:textId="26BDB75E" w:rsidR="0014494B" w:rsidRPr="002127AB" w:rsidRDefault="0014494B" w:rsidP="0014494B">
      <w:pPr>
        <w:numPr>
          <w:ilvl w:val="0"/>
          <w:numId w:val="33"/>
        </w:numPr>
        <w:ind w:left="567" w:hanging="567"/>
        <w:rPr>
          <w:rFonts w:ascii="Times New Roman" w:hAnsi="Times New Roman"/>
          <w:b/>
          <w:szCs w:val="24"/>
        </w:rPr>
      </w:pPr>
      <w:r>
        <w:rPr>
          <w:rFonts w:ascii="Times New Roman" w:hAnsi="Times New Roman"/>
          <w:b/>
        </w:rPr>
        <w:t xml:space="preserve">État membre </w:t>
      </w:r>
      <w:proofErr w:type="gramStart"/>
      <w:r>
        <w:rPr>
          <w:rFonts w:ascii="Times New Roman" w:hAnsi="Times New Roman"/>
          <w:b/>
        </w:rPr>
        <w:t>rapporteur:</w:t>
      </w:r>
      <w:proofErr w:type="gramEnd"/>
      <w:r>
        <w:rPr>
          <w:rFonts w:ascii="Times New Roman" w:hAnsi="Times New Roman"/>
        </w:rPr>
        <w:t xml:space="preserve"> Tom BERENDSEN (PPE/NL)</w:t>
      </w:r>
    </w:p>
    <w:p w14:paraId="5ECF539D" w14:textId="19657AB0" w:rsidR="0014494B" w:rsidRPr="002127AB" w:rsidRDefault="0014494B" w:rsidP="0014494B">
      <w:pPr>
        <w:numPr>
          <w:ilvl w:val="0"/>
          <w:numId w:val="33"/>
        </w:numPr>
        <w:ind w:left="567" w:hanging="567"/>
        <w:rPr>
          <w:rFonts w:ascii="Times New Roman" w:hAnsi="Times New Roman"/>
          <w:b/>
          <w:szCs w:val="24"/>
        </w:rPr>
      </w:pPr>
      <w:r>
        <w:rPr>
          <w:rFonts w:ascii="Times New Roman" w:hAnsi="Times New Roman"/>
          <w:b/>
        </w:rPr>
        <w:t xml:space="preserve">Numéros de </w:t>
      </w:r>
      <w:proofErr w:type="gramStart"/>
      <w:r>
        <w:rPr>
          <w:rFonts w:ascii="Times New Roman" w:hAnsi="Times New Roman"/>
          <w:b/>
        </w:rPr>
        <w:t>référence:</w:t>
      </w:r>
      <w:proofErr w:type="gramEnd"/>
      <w:r>
        <w:rPr>
          <w:rFonts w:ascii="Times New Roman" w:hAnsi="Times New Roman"/>
          <w:b/>
        </w:rPr>
        <w:t xml:space="preserve"> </w:t>
      </w:r>
      <w:bookmarkStart w:id="1" w:name="Sujet"/>
      <w:r>
        <w:rPr>
          <w:rFonts w:ascii="Times New Roman" w:hAnsi="Times New Roman"/>
        </w:rPr>
        <w:t>2023/2059 (INI) / A9-0443/2023 / P9_TA(2024)0025</w:t>
      </w:r>
    </w:p>
    <w:bookmarkEnd w:id="1"/>
    <w:p w14:paraId="52C7912A" w14:textId="0A7AC3CD" w:rsidR="0014494B" w:rsidRPr="002127AB" w:rsidRDefault="0014494B" w:rsidP="0014494B">
      <w:pPr>
        <w:numPr>
          <w:ilvl w:val="0"/>
          <w:numId w:val="33"/>
        </w:numPr>
        <w:ind w:left="567" w:hanging="567"/>
        <w:rPr>
          <w:rFonts w:ascii="Times New Roman" w:hAnsi="Times New Roman"/>
          <w:szCs w:val="24"/>
        </w:rPr>
      </w:pPr>
      <w:r>
        <w:rPr>
          <w:rFonts w:ascii="Times New Roman" w:hAnsi="Times New Roman"/>
          <w:b/>
        </w:rPr>
        <w:t>Date d</w:t>
      </w:r>
      <w:r w:rsidR="00690ACA">
        <w:rPr>
          <w:rFonts w:ascii="Times New Roman" w:hAnsi="Times New Roman"/>
          <w:b/>
        </w:rPr>
        <w:t>’</w:t>
      </w:r>
      <w:r>
        <w:rPr>
          <w:rFonts w:ascii="Times New Roman" w:hAnsi="Times New Roman"/>
          <w:b/>
        </w:rPr>
        <w:t xml:space="preserve">adoption de la </w:t>
      </w:r>
      <w:proofErr w:type="gramStart"/>
      <w:r>
        <w:rPr>
          <w:rFonts w:ascii="Times New Roman" w:hAnsi="Times New Roman"/>
          <w:b/>
        </w:rPr>
        <w:t>résolution:</w:t>
      </w:r>
      <w:proofErr w:type="gramEnd"/>
      <w:r>
        <w:rPr>
          <w:rFonts w:ascii="Times New Roman" w:hAnsi="Times New Roman"/>
        </w:rPr>
        <w:t xml:space="preserve"> 17 janvier 2024</w:t>
      </w:r>
    </w:p>
    <w:p w14:paraId="4D18DE03" w14:textId="3554235E" w:rsidR="0014494B" w:rsidRPr="002127AB" w:rsidRDefault="0014494B" w:rsidP="0014494B">
      <w:pPr>
        <w:numPr>
          <w:ilvl w:val="0"/>
          <w:numId w:val="33"/>
        </w:numPr>
        <w:ind w:left="567" w:hanging="567"/>
        <w:rPr>
          <w:rFonts w:ascii="Times New Roman" w:hAnsi="Times New Roman"/>
          <w:szCs w:val="24"/>
        </w:rPr>
      </w:pPr>
      <w:r>
        <w:rPr>
          <w:rFonts w:ascii="Times New Roman" w:hAnsi="Times New Roman"/>
        </w:rPr>
        <w:t>Commission parlementaire compétente commission des transports et du tourisme (TRAN)</w:t>
      </w:r>
    </w:p>
    <w:p w14:paraId="4E09E631" w14:textId="77777777" w:rsidR="0014494B" w:rsidRPr="002127AB" w:rsidRDefault="0014494B" w:rsidP="0014494B">
      <w:pPr>
        <w:widowControl w:val="0"/>
        <w:numPr>
          <w:ilvl w:val="0"/>
          <w:numId w:val="33"/>
        </w:numPr>
        <w:ind w:left="567" w:hanging="567"/>
        <w:rPr>
          <w:rFonts w:ascii="Times New Roman" w:hAnsi="Times New Roman"/>
          <w:szCs w:val="24"/>
        </w:rPr>
      </w:pPr>
      <w:r>
        <w:rPr>
          <w:rFonts w:ascii="Times New Roman" w:hAnsi="Times New Roman"/>
          <w:b/>
        </w:rPr>
        <w:t xml:space="preserve">Analyse/évaluation succincte de la résolution et des demandes qu’elle </w:t>
      </w:r>
      <w:proofErr w:type="gramStart"/>
      <w:r>
        <w:rPr>
          <w:rFonts w:ascii="Times New Roman" w:hAnsi="Times New Roman"/>
          <w:b/>
        </w:rPr>
        <w:t>contient:</w:t>
      </w:r>
      <w:proofErr w:type="gramEnd"/>
    </w:p>
    <w:p w14:paraId="6DB750FB" w14:textId="26A0E90A" w:rsidR="00DE2497" w:rsidRPr="002127AB" w:rsidRDefault="00CC0C42" w:rsidP="00882BD3">
      <w:pPr>
        <w:widowControl w:val="0"/>
        <w:spacing w:after="120"/>
        <w:rPr>
          <w:rFonts w:ascii="Times New Roman" w:hAnsi="Times New Roman"/>
          <w:szCs w:val="24"/>
        </w:rPr>
      </w:pPr>
      <w:r>
        <w:rPr>
          <w:rFonts w:ascii="Times New Roman" w:hAnsi="Times New Roman"/>
        </w:rPr>
        <w:t xml:space="preserve">Le rapport du Parlement européen sur la </w:t>
      </w:r>
      <w:r>
        <w:rPr>
          <w:rFonts w:ascii="Times New Roman" w:hAnsi="Times New Roman"/>
          <w:b/>
        </w:rPr>
        <w:t>construction d’une stratégie portuaire européenne globale</w:t>
      </w:r>
      <w:r>
        <w:rPr>
          <w:rFonts w:ascii="Times New Roman" w:hAnsi="Times New Roman"/>
        </w:rPr>
        <w:t xml:space="preserve"> couvre un grand nombre de questions liées aux ports relevant de 4 rubriques (</w:t>
      </w:r>
      <w:r>
        <w:rPr>
          <w:rFonts w:ascii="Times New Roman" w:hAnsi="Times New Roman"/>
          <w:b/>
        </w:rPr>
        <w:t>influence étrangère</w:t>
      </w:r>
      <w:r>
        <w:rPr>
          <w:rFonts w:ascii="Times New Roman" w:hAnsi="Times New Roman"/>
        </w:rPr>
        <w:t xml:space="preserve">, paragraphes 1 à </w:t>
      </w:r>
      <w:proofErr w:type="gramStart"/>
      <w:r>
        <w:rPr>
          <w:rFonts w:ascii="Times New Roman" w:hAnsi="Times New Roman"/>
        </w:rPr>
        <w:t>16;</w:t>
      </w:r>
      <w:proofErr w:type="gramEnd"/>
      <w:r>
        <w:rPr>
          <w:rFonts w:ascii="Times New Roman" w:hAnsi="Times New Roman"/>
        </w:rPr>
        <w:t xml:space="preserve"> </w:t>
      </w:r>
      <w:r>
        <w:rPr>
          <w:rFonts w:ascii="Times New Roman" w:hAnsi="Times New Roman"/>
          <w:b/>
        </w:rPr>
        <w:t>sécurité</w:t>
      </w:r>
      <w:r>
        <w:rPr>
          <w:rFonts w:ascii="Times New Roman" w:hAnsi="Times New Roman"/>
        </w:rPr>
        <w:t xml:space="preserve">, points 17 à 26; </w:t>
      </w:r>
      <w:r>
        <w:rPr>
          <w:rFonts w:ascii="Times New Roman" w:hAnsi="Times New Roman"/>
          <w:b/>
        </w:rPr>
        <w:t>rôle des ports dans la transition énergétique</w:t>
      </w:r>
      <w:r>
        <w:rPr>
          <w:rFonts w:ascii="Times New Roman" w:hAnsi="Times New Roman"/>
        </w:rPr>
        <w:t xml:space="preserve">, points 27 à 33; et </w:t>
      </w:r>
      <w:r>
        <w:rPr>
          <w:rFonts w:ascii="Times New Roman" w:hAnsi="Times New Roman"/>
          <w:b/>
        </w:rPr>
        <w:t>compétitivité des ports et des entreprises</w:t>
      </w:r>
      <w:r>
        <w:rPr>
          <w:rFonts w:ascii="Times New Roman" w:hAnsi="Times New Roman"/>
        </w:rPr>
        <w:t>, points 34 à 50).</w:t>
      </w:r>
    </w:p>
    <w:p w14:paraId="0B5985FD" w14:textId="4A8A7FD7" w:rsidR="00511AF9" w:rsidRPr="002127AB" w:rsidRDefault="00DE2497" w:rsidP="00882BD3">
      <w:pPr>
        <w:widowControl w:val="0"/>
        <w:spacing w:after="120"/>
        <w:rPr>
          <w:rFonts w:ascii="Times New Roman" w:hAnsi="Times New Roman"/>
          <w:szCs w:val="24"/>
        </w:rPr>
      </w:pPr>
      <w:r>
        <w:rPr>
          <w:rFonts w:ascii="Times New Roman" w:hAnsi="Times New Roman"/>
        </w:rPr>
        <w:t xml:space="preserve">Dans ces domaines, il invite </w:t>
      </w:r>
      <w:proofErr w:type="gramStart"/>
      <w:r>
        <w:rPr>
          <w:rFonts w:ascii="Times New Roman" w:hAnsi="Times New Roman"/>
        </w:rPr>
        <w:t>notamment:</w:t>
      </w:r>
      <w:proofErr w:type="gramEnd"/>
    </w:p>
    <w:p w14:paraId="17529471" w14:textId="612D2900" w:rsidR="00915567" w:rsidRPr="00175357" w:rsidRDefault="00511AF9" w:rsidP="00882BD3">
      <w:pPr>
        <w:pStyle w:val="ListParagraph"/>
        <w:widowControl w:val="0"/>
        <w:numPr>
          <w:ilvl w:val="0"/>
          <w:numId w:val="35"/>
        </w:numPr>
        <w:spacing w:after="120" w:line="240" w:lineRule="auto"/>
        <w:contextualSpacing w:val="0"/>
        <w:jc w:val="both"/>
        <w:rPr>
          <w:rFonts w:ascii="Times New Roman" w:hAnsi="Times New Roman"/>
          <w:sz w:val="24"/>
          <w:szCs w:val="24"/>
        </w:rPr>
      </w:pPr>
      <w:r>
        <w:rPr>
          <w:rFonts w:ascii="Times New Roman" w:hAnsi="Times New Roman"/>
          <w:sz w:val="24"/>
        </w:rPr>
        <w:t xml:space="preserve">la Commission à prendre des initiatives supplémentaires pour réduire l’influence étrangère et limiter les investissements des pays tiers dans les ports de </w:t>
      </w:r>
      <w:proofErr w:type="gramStart"/>
      <w:r>
        <w:rPr>
          <w:rFonts w:ascii="Times New Roman" w:hAnsi="Times New Roman"/>
          <w:sz w:val="24"/>
        </w:rPr>
        <w:t>l’Union;</w:t>
      </w:r>
      <w:proofErr w:type="gramEnd"/>
    </w:p>
    <w:p w14:paraId="28F383EC" w14:textId="4BA55F02" w:rsidR="0089634C" w:rsidRPr="00175357" w:rsidRDefault="0089634C" w:rsidP="00882BD3">
      <w:pPr>
        <w:pStyle w:val="ListParagraph"/>
        <w:widowControl w:val="0"/>
        <w:numPr>
          <w:ilvl w:val="0"/>
          <w:numId w:val="35"/>
        </w:numPr>
        <w:spacing w:after="120" w:line="240" w:lineRule="auto"/>
        <w:contextualSpacing w:val="0"/>
        <w:jc w:val="both"/>
        <w:rPr>
          <w:rFonts w:ascii="Times New Roman" w:hAnsi="Times New Roman"/>
          <w:sz w:val="24"/>
          <w:szCs w:val="24"/>
        </w:rPr>
      </w:pPr>
      <w:r>
        <w:rPr>
          <w:rFonts w:ascii="Times New Roman" w:hAnsi="Times New Roman"/>
          <w:sz w:val="24"/>
        </w:rPr>
        <w:t xml:space="preserve">la Commission et les États membres à répondre à la nécessité de prévenir et de réduire les risques d’espionnage et de sabotage dans les ports et d’autres infrastructures critiques, notamment les risques liés à la numérisation et à la </w:t>
      </w:r>
      <w:proofErr w:type="gramStart"/>
      <w:r>
        <w:rPr>
          <w:rFonts w:ascii="Times New Roman" w:hAnsi="Times New Roman"/>
          <w:sz w:val="24"/>
        </w:rPr>
        <w:t>cybersécurité;</w:t>
      </w:r>
      <w:proofErr w:type="gramEnd"/>
    </w:p>
    <w:p w14:paraId="075F45B2" w14:textId="432878BE" w:rsidR="008B3741" w:rsidRPr="00175357" w:rsidRDefault="0089634C" w:rsidP="00882BD3">
      <w:pPr>
        <w:pStyle w:val="ListParagraph"/>
        <w:widowControl w:val="0"/>
        <w:numPr>
          <w:ilvl w:val="0"/>
          <w:numId w:val="35"/>
        </w:numPr>
        <w:spacing w:after="120" w:line="240" w:lineRule="auto"/>
        <w:contextualSpacing w:val="0"/>
        <w:jc w:val="both"/>
        <w:rPr>
          <w:rFonts w:ascii="Times New Roman" w:hAnsi="Times New Roman"/>
          <w:sz w:val="24"/>
          <w:szCs w:val="24"/>
        </w:rPr>
      </w:pPr>
      <w:r>
        <w:rPr>
          <w:rFonts w:ascii="Times New Roman" w:hAnsi="Times New Roman"/>
          <w:sz w:val="24"/>
        </w:rPr>
        <w:t>la Commission et les États membres à répondre au besoin croissant d’investissements dans les ports et les terminaux ainsi que dans leurs infrastructures, compte tenu de leur rôle dans leur transition énergétique et de la nécessité de soutenir le transfert modal, ainsi qu’aux besoins en matière de formation, d’éducation et de bonnes conditions sociales pour la main-</w:t>
      </w:r>
      <w:proofErr w:type="gramStart"/>
      <w:r>
        <w:rPr>
          <w:rFonts w:ascii="Times New Roman" w:hAnsi="Times New Roman"/>
          <w:sz w:val="24"/>
        </w:rPr>
        <w:t>d’œuvre;</w:t>
      </w:r>
      <w:proofErr w:type="gramEnd"/>
    </w:p>
    <w:p w14:paraId="77E189B0" w14:textId="3826A31D" w:rsidR="0089634C" w:rsidRPr="00175357" w:rsidRDefault="008B3741" w:rsidP="00882BD3">
      <w:pPr>
        <w:pStyle w:val="ListParagraph"/>
        <w:widowControl w:val="0"/>
        <w:numPr>
          <w:ilvl w:val="0"/>
          <w:numId w:val="35"/>
        </w:numPr>
        <w:spacing w:after="120" w:line="240" w:lineRule="auto"/>
        <w:contextualSpacing w:val="0"/>
        <w:jc w:val="both"/>
        <w:rPr>
          <w:rFonts w:ascii="Times New Roman" w:hAnsi="Times New Roman"/>
          <w:sz w:val="24"/>
          <w:szCs w:val="24"/>
        </w:rPr>
      </w:pPr>
      <w:r>
        <w:rPr>
          <w:rFonts w:ascii="Times New Roman" w:hAnsi="Times New Roman"/>
          <w:sz w:val="24"/>
        </w:rPr>
        <w:t>la Commission à donner la priorité au renforcement de la compétitivité des ports et des entreprises européens et à l’élimination de la concurrence par les prix («sous-tarification»), à veiller à ce que la législation européenne n’entraîne pas de fuites de carbone et d’entreprises vers des ports situés en dehors de l’Union, à garantir des contrôles douaniers normalisés, à garantir une concurrence loyale et la réciprocité à l’égard des opérateurs de pays tiers tels que la Chine, notamment dans le cadre de l’initiative «Global Gateway» de l’Union, à améliorer la capacité et la résilience des liaisons avec l’arrière-pays, notamment face au changement climatique, à définir une stratégie industrielle ambitieuse pour la construction maritime, telle que la construction navale, à stimuler l’innovation et la numérisation dans les ports, et à allouer davantage de fonds aux ports pour qu’ils restent compétitifs;</w:t>
      </w:r>
    </w:p>
    <w:p w14:paraId="63356ACD" w14:textId="7B0C444E" w:rsidR="00382F60" w:rsidRPr="002127AB" w:rsidRDefault="00382F60" w:rsidP="00882BD3">
      <w:pPr>
        <w:pStyle w:val="ListParagraph"/>
        <w:widowControl w:val="0"/>
        <w:numPr>
          <w:ilvl w:val="0"/>
          <w:numId w:val="35"/>
        </w:numPr>
        <w:spacing w:after="120" w:line="240" w:lineRule="auto"/>
        <w:contextualSpacing w:val="0"/>
        <w:jc w:val="both"/>
        <w:rPr>
          <w:rFonts w:ascii="Times New Roman" w:hAnsi="Times New Roman"/>
          <w:szCs w:val="24"/>
        </w:rPr>
      </w:pPr>
      <w:r>
        <w:rPr>
          <w:rFonts w:ascii="Times New Roman" w:hAnsi="Times New Roman"/>
          <w:sz w:val="24"/>
        </w:rPr>
        <w:t>la Commission à présenter une stratégie portuaire exhaustive qui aborde les points susmentionnés avant la fin de 2024.</w:t>
      </w:r>
    </w:p>
    <w:p w14:paraId="53A5A7DA" w14:textId="77777777" w:rsidR="0014494B" w:rsidRPr="002127AB" w:rsidRDefault="0014494B" w:rsidP="0014494B">
      <w:pPr>
        <w:widowControl w:val="0"/>
        <w:numPr>
          <w:ilvl w:val="0"/>
          <w:numId w:val="33"/>
        </w:numPr>
        <w:ind w:left="567" w:hanging="567"/>
        <w:rPr>
          <w:rFonts w:ascii="Times New Roman" w:hAnsi="Times New Roman"/>
          <w:b/>
          <w:i/>
          <w:szCs w:val="24"/>
        </w:rPr>
      </w:pPr>
      <w:r>
        <w:rPr>
          <w:rFonts w:ascii="Times New Roman" w:hAnsi="Times New Roman"/>
          <w:b/>
        </w:rPr>
        <w:t xml:space="preserve">Réponse à ces demandes et aperçu des mesures que la Commission a prises ou envisage de </w:t>
      </w:r>
      <w:proofErr w:type="gramStart"/>
      <w:r>
        <w:rPr>
          <w:rFonts w:ascii="Times New Roman" w:hAnsi="Times New Roman"/>
          <w:b/>
        </w:rPr>
        <w:t>prendre:</w:t>
      </w:r>
      <w:proofErr w:type="gramEnd"/>
    </w:p>
    <w:p w14:paraId="6FEE5F94" w14:textId="54A2111E" w:rsidR="00A34188" w:rsidRPr="002127AB" w:rsidRDefault="00F30B7F" w:rsidP="00C06398">
      <w:pPr>
        <w:pStyle w:val="Briefingtext"/>
        <w:spacing w:after="120"/>
        <w:rPr>
          <w:rFonts w:ascii="Times New Roman" w:hAnsi="Times New Roman" w:cs="Times New Roman"/>
          <w:sz w:val="24"/>
        </w:rPr>
      </w:pPr>
      <w:r>
        <w:rPr>
          <w:rFonts w:ascii="Times New Roman" w:hAnsi="Times New Roman"/>
          <w:sz w:val="24"/>
        </w:rPr>
        <w:lastRenderedPageBreak/>
        <w:t xml:space="preserve">La Commission convient pleinement de la nécessité de soutenir et d’améliorer </w:t>
      </w:r>
      <w:r>
        <w:rPr>
          <w:rFonts w:ascii="Times New Roman" w:hAnsi="Times New Roman"/>
          <w:b/>
          <w:sz w:val="24"/>
        </w:rPr>
        <w:t>la compétitivité, la résilience et la double transition écologique et numérique des ports de l’UE</w:t>
      </w:r>
      <w:r>
        <w:rPr>
          <w:rFonts w:ascii="Times New Roman" w:hAnsi="Times New Roman"/>
          <w:sz w:val="24"/>
        </w:rPr>
        <w:t xml:space="preserve"> et de l’ensemble du secteur des transports de l’UE. Cela permettra au secteur de se développer de manière durable, tant sur le plan social que sur le plan environnemental. Ces priorités sont pleinement conformes aux objectifs de la Commission dans le cadre de la stratégie de mobilité durable et intelligente à partir de 2020, qui jette les bases du développement stratégique futur de l’ensemble du </w:t>
      </w:r>
      <w:r>
        <w:rPr>
          <w:rFonts w:ascii="Times New Roman" w:hAnsi="Times New Roman"/>
          <w:b/>
          <w:sz w:val="24"/>
        </w:rPr>
        <w:t>système de transport européen, notamment des ports</w:t>
      </w:r>
      <w:r>
        <w:rPr>
          <w:rFonts w:ascii="Times New Roman" w:hAnsi="Times New Roman"/>
          <w:sz w:val="24"/>
        </w:rPr>
        <w:t>.</w:t>
      </w:r>
    </w:p>
    <w:p w14:paraId="417DC8EA" w14:textId="725AF3A5" w:rsidR="00B57F19" w:rsidRPr="002127AB" w:rsidRDefault="00150876" w:rsidP="00C06398">
      <w:pPr>
        <w:pStyle w:val="Briefingtext"/>
        <w:spacing w:after="120"/>
        <w:rPr>
          <w:rFonts w:ascii="Times New Roman" w:hAnsi="Times New Roman" w:cs="Times New Roman"/>
          <w:sz w:val="24"/>
        </w:rPr>
      </w:pPr>
      <w:r>
        <w:rPr>
          <w:rFonts w:ascii="Times New Roman" w:hAnsi="Times New Roman"/>
          <w:sz w:val="24"/>
        </w:rPr>
        <w:t xml:space="preserve">La révision du </w:t>
      </w:r>
      <w:r>
        <w:rPr>
          <w:rFonts w:ascii="Times New Roman" w:hAnsi="Times New Roman"/>
          <w:b/>
          <w:sz w:val="24"/>
        </w:rPr>
        <w:t>règlement RTE-T</w:t>
      </w:r>
      <w:r w:rsidR="001C430E">
        <w:rPr>
          <w:rStyle w:val="FootnoteReference"/>
          <w:rFonts w:ascii="Times New Roman" w:hAnsi="Times New Roman" w:cs="Times New Roman"/>
          <w:b/>
          <w:bCs/>
          <w:sz w:val="24"/>
        </w:rPr>
        <w:footnoteReference w:id="2"/>
      </w:r>
      <w:r>
        <w:rPr>
          <w:rFonts w:ascii="Times New Roman" w:hAnsi="Times New Roman"/>
          <w:sz w:val="24"/>
        </w:rPr>
        <w:t xml:space="preserve"> fournira le</w:t>
      </w:r>
      <w:r>
        <w:rPr>
          <w:rFonts w:ascii="Times New Roman" w:hAnsi="Times New Roman"/>
        </w:rPr>
        <w:t xml:space="preserve"> </w:t>
      </w:r>
      <w:r>
        <w:rPr>
          <w:rFonts w:ascii="Times New Roman" w:hAnsi="Times New Roman"/>
          <w:b/>
          <w:snapToGrid w:val="0"/>
        </w:rPr>
        <w:t>cadre stratégique du réseau européen de transport, y compris des ports</w:t>
      </w:r>
      <w:r>
        <w:rPr>
          <w:rFonts w:ascii="Times New Roman" w:hAnsi="Times New Roman"/>
        </w:rPr>
        <w:t>.</w:t>
      </w:r>
      <w:r>
        <w:rPr>
          <w:rFonts w:ascii="Times New Roman" w:hAnsi="Times New Roman"/>
          <w:sz w:val="24"/>
        </w:rPr>
        <w:t xml:space="preserve"> Le règlement révisé accordera une importance accrue au transport maritime et aux ports en créant un </w:t>
      </w:r>
      <w:r>
        <w:rPr>
          <w:rFonts w:ascii="Times New Roman" w:hAnsi="Times New Roman"/>
          <w:b/>
          <w:sz w:val="24"/>
        </w:rPr>
        <w:t>espace maritime européen</w:t>
      </w:r>
      <w:r>
        <w:rPr>
          <w:rFonts w:ascii="Times New Roman" w:hAnsi="Times New Roman"/>
          <w:sz w:val="24"/>
        </w:rPr>
        <w:t xml:space="preserve"> en tant que dimension maritime du RTE-T. Le rôle croissant des ports dans la transition énergétique se traduit également par l’ajout de plusieurs ports au réseau RTE-T. La résilience et la flexibilité de l’approche du réseau inscrite dans le RTE-T ont été démontrées dans le contexte de perturbations et de défis importants survenus dans le cadre de situations de crise telles que la pandémie de COVID-19 et la guerre d’agression menée par la Russie contre l’Ukraine. Au cours de cette période, l’ensemble du système de transport européen, y compris les ports européens et leurs liaisons avec l’arrière-pays, a été au cœur des efforts déployés par la Commission pour assurer le bon fonctionnement des chaînes d’approvisionnement.</w:t>
      </w:r>
    </w:p>
    <w:p w14:paraId="114F3004" w14:textId="46F11E97" w:rsidR="00A34188" w:rsidRPr="008D46F6" w:rsidRDefault="00A34188" w:rsidP="00C06398">
      <w:pPr>
        <w:pStyle w:val="Briefingtext"/>
        <w:spacing w:after="120"/>
        <w:rPr>
          <w:rFonts w:ascii="Times New Roman" w:hAnsi="Times New Roman"/>
          <w:bCs/>
        </w:rPr>
      </w:pPr>
      <w:r>
        <w:rPr>
          <w:rFonts w:ascii="Times New Roman" w:hAnsi="Times New Roman"/>
          <w:sz w:val="24"/>
        </w:rPr>
        <w:t xml:space="preserve">L’économie européenne bénéficie des investissements dans les ports, y compris des investissements en provenance de pays tiers, ce qui facilite le commerce international et contribue à créer des emplois et de la croissance. Les entreprises européennes figurent, par exemple, parmi les leaders mondiaux du transport maritime et de la logistique. L’UE doit toutefois veiller à ce que les investissements en provenance de pays tiers n’entraînent pas de dépendances stratégiques et ne présentent pas de risques pour la sécurité et l’ordre public européens. Ces aspects sont au cœur de la </w:t>
      </w:r>
      <w:r>
        <w:rPr>
          <w:rFonts w:ascii="Times New Roman" w:hAnsi="Times New Roman"/>
          <w:b/>
          <w:sz w:val="24"/>
        </w:rPr>
        <w:t>stratégie de sécurité économique</w:t>
      </w:r>
      <w:r>
        <w:rPr>
          <w:rFonts w:ascii="Times New Roman" w:hAnsi="Times New Roman"/>
          <w:sz w:val="24"/>
        </w:rPr>
        <w:t xml:space="preserve"> et des différents instruments horizontaux mis en place au niveau de l’UE ces dernières années pour garantir la sécurité des actifs économiques critiques, y compris les infrastructures de transport et les ports. Parmi ces instruments, on peut citer le </w:t>
      </w:r>
      <w:r>
        <w:rPr>
          <w:rFonts w:ascii="Times New Roman" w:hAnsi="Times New Roman"/>
          <w:b/>
          <w:sz w:val="24"/>
        </w:rPr>
        <w:t>règlement relatif au filtrage des investissements directs étrangers</w:t>
      </w:r>
      <w:r>
        <w:rPr>
          <w:rFonts w:ascii="Times New Roman" w:hAnsi="Times New Roman"/>
          <w:sz w:val="24"/>
        </w:rPr>
        <w:t xml:space="preserve">, le </w:t>
      </w:r>
      <w:r>
        <w:rPr>
          <w:rFonts w:ascii="Times New Roman" w:hAnsi="Times New Roman"/>
          <w:b/>
          <w:sz w:val="24"/>
        </w:rPr>
        <w:t>règlement relatif aux subventions étrangères</w:t>
      </w:r>
      <w:r>
        <w:rPr>
          <w:rFonts w:ascii="Times New Roman" w:hAnsi="Times New Roman"/>
          <w:sz w:val="24"/>
        </w:rPr>
        <w:t xml:space="preserve">, la </w:t>
      </w:r>
      <w:r>
        <w:rPr>
          <w:rFonts w:ascii="Times New Roman" w:hAnsi="Times New Roman"/>
          <w:b/>
          <w:sz w:val="24"/>
        </w:rPr>
        <w:t>directive sur la résilience des entités critiques</w:t>
      </w:r>
      <w:r>
        <w:rPr>
          <w:rFonts w:ascii="Times New Roman" w:hAnsi="Times New Roman"/>
          <w:sz w:val="24"/>
        </w:rPr>
        <w:t xml:space="preserve"> et la </w:t>
      </w:r>
      <w:r>
        <w:rPr>
          <w:rFonts w:ascii="Times New Roman" w:hAnsi="Times New Roman"/>
          <w:b/>
          <w:sz w:val="24"/>
        </w:rPr>
        <w:t>directive sur la sécurité des réseaux et des systèmes d’information</w:t>
      </w:r>
      <w:r>
        <w:rPr>
          <w:rFonts w:ascii="Times New Roman" w:hAnsi="Times New Roman"/>
          <w:sz w:val="24"/>
        </w:rPr>
        <w:t xml:space="preserve"> </w:t>
      </w:r>
      <w:r>
        <w:rPr>
          <w:rFonts w:ascii="Times New Roman" w:hAnsi="Times New Roman"/>
          <w:b/>
          <w:sz w:val="24"/>
        </w:rPr>
        <w:t>(directive SRI 2)</w:t>
      </w:r>
      <w:r>
        <w:rPr>
          <w:rFonts w:ascii="Times New Roman" w:hAnsi="Times New Roman"/>
          <w:sz w:val="24"/>
        </w:rPr>
        <w:t xml:space="preserve">, qui couvrent notamment les aspects de la cybersécurité. La </w:t>
      </w:r>
      <w:r>
        <w:rPr>
          <w:rFonts w:ascii="Times New Roman" w:hAnsi="Times New Roman"/>
          <w:b/>
          <w:sz w:val="24"/>
        </w:rPr>
        <w:t>révision du RTE-T</w:t>
      </w:r>
      <w:r>
        <w:rPr>
          <w:rFonts w:ascii="Times New Roman" w:hAnsi="Times New Roman"/>
          <w:sz w:val="24"/>
        </w:rPr>
        <w:t xml:space="preserve"> comprend également une disposition sur la protection du réseau transeuropéen de transport contre les risques pour la sécurité ou l’ordre public. Le règlement dispose que les États membres mettent tout en œuvre pour garantir que le RTE-T est protégé contre les risques pour la sécurité ou l’ordre public, en évaluant les </w:t>
      </w:r>
      <w:proofErr w:type="gramStart"/>
      <w:r>
        <w:rPr>
          <w:rFonts w:ascii="Times New Roman" w:hAnsi="Times New Roman"/>
          <w:sz w:val="24"/>
        </w:rPr>
        <w:t>risques potentiels</w:t>
      </w:r>
      <w:proofErr w:type="gramEnd"/>
      <w:r>
        <w:rPr>
          <w:rFonts w:ascii="Times New Roman" w:hAnsi="Times New Roman"/>
          <w:sz w:val="24"/>
        </w:rPr>
        <w:t xml:space="preserve"> découlant de participations ou de contributions d’une entreprise d’un pays tiers à un projet d’intérêt commun. </w:t>
      </w:r>
      <w:r>
        <w:rPr>
          <w:rFonts w:ascii="Times New Roman" w:hAnsi="Times New Roman"/>
        </w:rPr>
        <w:t xml:space="preserve">Récemment, dans le cadre du </w:t>
      </w:r>
      <w:r>
        <w:rPr>
          <w:rFonts w:ascii="Times New Roman" w:hAnsi="Times New Roman"/>
          <w:b/>
        </w:rPr>
        <w:t>train de mesures sur la sécurité économique</w:t>
      </w:r>
      <w:r>
        <w:rPr>
          <w:rFonts w:ascii="Times New Roman" w:hAnsi="Times New Roman"/>
        </w:rPr>
        <w:t xml:space="preserve">, la Commission a présenté une proposition visant à </w:t>
      </w:r>
      <w:r>
        <w:rPr>
          <w:rFonts w:ascii="Times New Roman" w:hAnsi="Times New Roman"/>
          <w:b/>
        </w:rPr>
        <w:t>renforcer le règlement relatif au filtrage des investissements directs étrangers</w:t>
      </w:r>
      <w:r>
        <w:rPr>
          <w:rFonts w:ascii="Times New Roman" w:hAnsi="Times New Roman"/>
        </w:rPr>
        <w:t xml:space="preserve"> (</w:t>
      </w:r>
      <w:r>
        <w:rPr>
          <w:rFonts w:ascii="Times New Roman" w:hAnsi="Times New Roman"/>
          <w:b/>
        </w:rPr>
        <w:t>règlement sur le filtrage des IDE</w:t>
      </w:r>
      <w:r>
        <w:rPr>
          <w:rFonts w:ascii="Times New Roman" w:hAnsi="Times New Roman"/>
        </w:rPr>
        <w:t xml:space="preserve">) et, notamment à contraindre les États </w:t>
      </w:r>
      <w:proofErr w:type="gramStart"/>
      <w:r>
        <w:rPr>
          <w:rFonts w:ascii="Times New Roman" w:hAnsi="Times New Roman"/>
        </w:rPr>
        <w:t>membres;</w:t>
      </w:r>
      <w:proofErr w:type="gramEnd"/>
      <w:r>
        <w:rPr>
          <w:rFonts w:ascii="Times New Roman" w:hAnsi="Times New Roman"/>
        </w:rPr>
        <w:t xml:space="preserve"> à mettre en œuvre un mécanisme de filtrage.</w:t>
      </w:r>
      <w:r>
        <w:rPr>
          <w:rFonts w:ascii="Times New Roman" w:hAnsi="Times New Roman"/>
          <w:sz w:val="24"/>
        </w:rPr>
        <w:t xml:space="preserve"> Il est essentiel que ces instruments soient pleinement mis en œuvre.</w:t>
      </w:r>
    </w:p>
    <w:p w14:paraId="2FCA25FC" w14:textId="4D7CE07B" w:rsidR="00331405" w:rsidRPr="002127AB" w:rsidRDefault="00331405" w:rsidP="00C06398">
      <w:pPr>
        <w:widowControl w:val="0"/>
        <w:spacing w:after="120"/>
        <w:rPr>
          <w:rFonts w:ascii="Times New Roman" w:hAnsi="Times New Roman"/>
          <w:b/>
          <w:i/>
          <w:szCs w:val="24"/>
        </w:rPr>
      </w:pPr>
      <w:r>
        <w:rPr>
          <w:rFonts w:ascii="Times New Roman" w:hAnsi="Times New Roman"/>
          <w:b/>
          <w:i/>
        </w:rPr>
        <w:t>Influence étrangère</w:t>
      </w:r>
    </w:p>
    <w:p w14:paraId="21B3ED50" w14:textId="2FDE6280" w:rsidR="00842470" w:rsidRPr="002127AB" w:rsidRDefault="006746D9" w:rsidP="00C06398">
      <w:pPr>
        <w:widowControl w:val="0"/>
        <w:spacing w:after="120"/>
        <w:rPr>
          <w:rFonts w:ascii="Times New Roman" w:hAnsi="Times New Roman"/>
          <w:bCs/>
          <w:szCs w:val="24"/>
        </w:rPr>
      </w:pPr>
      <w:r>
        <w:rPr>
          <w:rFonts w:ascii="Times New Roman" w:hAnsi="Times New Roman"/>
        </w:rPr>
        <w:t>En ce qui concerne l’</w:t>
      </w:r>
      <w:r>
        <w:rPr>
          <w:rFonts w:ascii="Times New Roman" w:hAnsi="Times New Roman"/>
          <w:b/>
        </w:rPr>
        <w:t>influence étrangère dans les ports de l’UE</w:t>
      </w:r>
      <w:r>
        <w:rPr>
          <w:rFonts w:ascii="Times New Roman" w:hAnsi="Times New Roman"/>
        </w:rPr>
        <w:t xml:space="preserve"> (paragraphes 3, 6, 7, 8, 9, 12, 13, 2 et 20), la Commission est d’avis que la poursuite et la continuité des services de transport revêtent une importance stratégique essentielle pour l’ensemble de l’UE.</w:t>
      </w:r>
      <w:r>
        <w:rPr>
          <w:rFonts w:ascii="Times New Roman" w:hAnsi="Times New Roman"/>
          <w:snapToGrid w:val="0"/>
        </w:rPr>
        <w:t xml:space="preserve"> Les nœuds de transport, tels que les ports en particulier, en tant que plateformes de transport et de logistique, reliant tous les modes de transport concernés, sont essentiels pour la </w:t>
      </w:r>
      <w:r>
        <w:rPr>
          <w:rFonts w:ascii="Times New Roman" w:hAnsi="Times New Roman"/>
          <w:snapToGrid w:val="0"/>
        </w:rPr>
        <w:lastRenderedPageBreak/>
        <w:t>connectivité intérieure et internationale de l’UE.</w:t>
      </w:r>
    </w:p>
    <w:p w14:paraId="4A51E36D" w14:textId="0DC08C1B" w:rsidR="006B215D" w:rsidRPr="00A07DA5" w:rsidRDefault="00F80970" w:rsidP="00C06398">
      <w:pPr>
        <w:widowControl w:val="0"/>
        <w:spacing w:after="120"/>
        <w:rPr>
          <w:rFonts w:ascii="Times New Roman" w:hAnsi="Times New Roman"/>
        </w:rPr>
      </w:pPr>
      <w:r>
        <w:rPr>
          <w:rFonts w:ascii="Times New Roman" w:hAnsi="Times New Roman"/>
        </w:rPr>
        <w:t xml:space="preserve">Bien que l’UE reste ouverte aux investissements étrangers, cette ouverture doit être accompagnée de contrôles appropriés afin de garantir que ces investissements ne constituent pas un risque pour la sécurité ou l’ordre public dans l’UE. En 2019, l’UE a établi un </w:t>
      </w:r>
      <w:r>
        <w:rPr>
          <w:rFonts w:ascii="Times New Roman" w:hAnsi="Times New Roman"/>
          <w:b/>
        </w:rPr>
        <w:t>cadre pour le filtrage des investissements directs étrangers</w:t>
      </w:r>
      <w:r>
        <w:rPr>
          <w:rFonts w:ascii="Times New Roman" w:hAnsi="Times New Roman"/>
        </w:rPr>
        <w:t xml:space="preserve">. Il prévoit un mécanisme de coopération entre la Commission et les États membres afin d’identifier, d’évaluer et d’atténuer les </w:t>
      </w:r>
      <w:proofErr w:type="gramStart"/>
      <w:r>
        <w:rPr>
          <w:rFonts w:ascii="Times New Roman" w:hAnsi="Times New Roman"/>
        </w:rPr>
        <w:t>risques potentiels</w:t>
      </w:r>
      <w:proofErr w:type="gramEnd"/>
      <w:r>
        <w:rPr>
          <w:rFonts w:ascii="Times New Roman" w:hAnsi="Times New Roman"/>
        </w:rPr>
        <w:t xml:space="preserve"> que constitue un IDE pour la sécurité ou l’ordre public. L’évaluation des risques peut tenir compte des effets potentiels des IDE sur les infrastructures critiques dans l’UE, notamment les ports, et de la question de savoir si le gouvernement d’un pays tiers contrôle directement ou indirectement l’investisseur étranger.</w:t>
      </w:r>
    </w:p>
    <w:p w14:paraId="0F91A0F4" w14:textId="108273CD" w:rsidR="00F80970" w:rsidRPr="002127AB" w:rsidRDefault="00F80970" w:rsidP="00C06398">
      <w:pPr>
        <w:widowControl w:val="0"/>
        <w:spacing w:after="120"/>
        <w:rPr>
          <w:rFonts w:ascii="Times New Roman" w:hAnsi="Times New Roman"/>
          <w:bCs/>
          <w:szCs w:val="24"/>
        </w:rPr>
      </w:pPr>
      <w:r>
        <w:rPr>
          <w:rFonts w:ascii="Times New Roman" w:hAnsi="Times New Roman"/>
        </w:rPr>
        <w:t xml:space="preserve">Le 24 janvier 2024, la Commission a présenté une proposition législative de </w:t>
      </w:r>
      <w:r>
        <w:rPr>
          <w:rFonts w:ascii="Times New Roman" w:hAnsi="Times New Roman"/>
          <w:b/>
        </w:rPr>
        <w:t>révision du règlement sur le filtrage des IDE</w:t>
      </w:r>
      <w:r>
        <w:rPr>
          <w:rFonts w:ascii="Times New Roman" w:hAnsi="Times New Roman"/>
        </w:rPr>
        <w:t>. La proposition vise à remédier aux lacunes existantes et à améliorer l’efficacité du système en: 1) veillant à ce que tous les États membres disposent d’un mécanisme de filtrage répondant à des règles nationales mieux harmonisées; 2) définissant un champ d’application sectoriel minimal dans lequel tous les États membres doivent filtrer les investissements étrangers (y compris les parties et les participants au réseau transeuropéen de transport); et 3) en élargissant le filtrage aux investissements réalisés par des investisseurs de l’UE qui sont contrôlés en dernier ressort par des particuliers ou des entreprises d’un pays tiers.</w:t>
      </w:r>
    </w:p>
    <w:p w14:paraId="298C4D8C" w14:textId="35BF6BA0" w:rsidR="003A4A44" w:rsidRPr="00A07DA5" w:rsidRDefault="00F80970" w:rsidP="00C06398">
      <w:pPr>
        <w:widowControl w:val="0"/>
        <w:spacing w:after="120"/>
        <w:rPr>
          <w:rFonts w:ascii="Times New Roman" w:hAnsi="Times New Roman"/>
          <w:szCs w:val="24"/>
          <w:shd w:val="clear" w:color="auto" w:fill="FFFFFF"/>
        </w:rPr>
      </w:pPr>
      <w:r>
        <w:rPr>
          <w:rFonts w:ascii="Times New Roman" w:hAnsi="Times New Roman"/>
        </w:rPr>
        <w:t>La proposition de révision du règlement sur le filtrage des IDE améliore les informations dont disposent la Commission et les autorités de filtrage des États membres sur les investissements étrangers ayant une incidence sur les infrastructures critiques de l’UE, telles que le réseau transeuropéen de transport, qui comprend les ports d’importance stratégique pour la sécurité et l’ordre public de l’UE ainsi que pour la mobilité militaire, et les technologies critiques, qui peuvent inclure la propriété intellectuelle (paragraphe 20). En outre, la révision proposée vise à améliorer la transparence du filtrage des investissements au niveau national en exigeant de tous les États membres qu’ils publient un rapport annuel contenant des données agrégées et anonymisées sur les investissements examinés, y compris les résultats des décisions de filtrage, les nationalités ou le pays d’établissement des parties aux investissements notifiés à l’autorité de filtrage, ainsi que les secteurs économiques dans lesquels ces transactions ont eu lieu.</w:t>
      </w:r>
    </w:p>
    <w:p w14:paraId="5F1C1E9B" w14:textId="5F931543" w:rsidR="003A4A44" w:rsidRPr="00A07DA5" w:rsidRDefault="003A4A44" w:rsidP="00C06398">
      <w:pPr>
        <w:widowControl w:val="0"/>
        <w:spacing w:after="120"/>
        <w:rPr>
          <w:rFonts w:ascii="Times New Roman" w:hAnsi="Times New Roman"/>
          <w:szCs w:val="24"/>
          <w:shd w:val="clear" w:color="auto" w:fill="FFFFFF"/>
        </w:rPr>
      </w:pPr>
      <w:r>
        <w:rPr>
          <w:rFonts w:ascii="Times New Roman" w:hAnsi="Times New Roman"/>
        </w:rPr>
        <w:t>En outre, la proposition introduit la possibilité pour la Commission d’émettre un avis dûment motivé adressé à tous les États membres si elle considère que, s’ils venaient à être réalisés, plusieurs investissements étrangers ou autres investissements similaires, considérés conjointement et compte tenu de leurs caractéristiques, seraient susceptibles d’avoir une incidence sur la sécurité ou l’ordre public de l’Union.</w:t>
      </w:r>
    </w:p>
    <w:p w14:paraId="77F58CEC" w14:textId="72C08786" w:rsidR="00F80970" w:rsidRPr="002127AB" w:rsidRDefault="00F80970" w:rsidP="00C06398">
      <w:pPr>
        <w:widowControl w:val="0"/>
        <w:spacing w:after="120"/>
        <w:rPr>
          <w:rFonts w:ascii="Times New Roman" w:hAnsi="Times New Roman"/>
          <w:szCs w:val="24"/>
        </w:rPr>
      </w:pPr>
      <w:r>
        <w:rPr>
          <w:rFonts w:ascii="Times New Roman" w:hAnsi="Times New Roman"/>
        </w:rPr>
        <w:t>La révision proposée maintient toutefois les principes clés du système actuel, qui prévoient que la décision finale est prise par l’État membre dans lequel l’investissement a lieu et que les motifs du filtrage sont limités à la sécurité et à l’ordre public, qui doivent être interprétés conformément au droit de l’Union et aux engagements internationaux de l’Union et de ses États membres.</w:t>
      </w:r>
    </w:p>
    <w:p w14:paraId="203B096B" w14:textId="28A39285" w:rsidR="005A39D3" w:rsidRPr="008D46F6" w:rsidRDefault="005A39D3" w:rsidP="00C06398">
      <w:pPr>
        <w:widowControl w:val="0"/>
        <w:spacing w:after="120"/>
        <w:rPr>
          <w:rFonts w:ascii="Times New Roman" w:hAnsi="Times New Roman"/>
          <w:bCs/>
          <w:szCs w:val="24"/>
        </w:rPr>
      </w:pPr>
      <w:r>
        <w:rPr>
          <w:rFonts w:ascii="Times New Roman" w:hAnsi="Times New Roman"/>
        </w:rPr>
        <w:t>La Commission convient que les</w:t>
      </w:r>
      <w:r>
        <w:rPr>
          <w:rFonts w:ascii="Times New Roman" w:hAnsi="Times New Roman"/>
          <w:b/>
        </w:rPr>
        <w:t xml:space="preserve"> dispositions de l’article 47 du règlement RTE-T révisé</w:t>
      </w:r>
      <w:r>
        <w:rPr>
          <w:rFonts w:ascii="Times New Roman" w:hAnsi="Times New Roman"/>
        </w:rPr>
        <w:t xml:space="preserve"> constituent un élément essentiel de la politique relative au RTE-T et un complément important aux dispositions du règlement sur les IDE (paragraphe 9). Compte tenu de leur processus d’adhésion, les pays visés par l’élargissement doivent également transposer les dispositions du règlement sur les IDE. Ce processus soutient le suivi de la participation des pays tiers dans les ports dans le cadre de la politique d’élargissement. En outre, dans les pays du voisinage, la Commission, par l’intermédiaire de ses délégations, surveille déjà la participation des pays tiers aux ports stratégiques clés.</w:t>
      </w:r>
    </w:p>
    <w:p w14:paraId="0A6B94C7" w14:textId="128BB34C" w:rsidR="00B54359" w:rsidRPr="002127AB" w:rsidRDefault="00734743" w:rsidP="00C06398">
      <w:pPr>
        <w:widowControl w:val="0"/>
        <w:spacing w:after="120"/>
        <w:rPr>
          <w:rFonts w:ascii="Times New Roman" w:hAnsi="Times New Roman"/>
          <w:snapToGrid w:val="0"/>
          <w:szCs w:val="24"/>
        </w:rPr>
      </w:pPr>
      <w:r>
        <w:rPr>
          <w:rFonts w:ascii="Times New Roman" w:hAnsi="Times New Roman"/>
          <w:snapToGrid w:val="0"/>
        </w:rPr>
        <w:lastRenderedPageBreak/>
        <w:t xml:space="preserve">En ce qui concerne le paragraphe 5, le </w:t>
      </w:r>
      <w:r>
        <w:rPr>
          <w:rFonts w:ascii="Times New Roman" w:hAnsi="Times New Roman"/>
          <w:b/>
          <w:snapToGrid w:val="0"/>
        </w:rPr>
        <w:t>règlement RTE-T révisé fournit le cadre stratégique du réseau européen de transport, y compris des ports</w:t>
      </w:r>
      <w:r>
        <w:rPr>
          <w:rFonts w:ascii="Times New Roman" w:hAnsi="Times New Roman"/>
          <w:snapToGrid w:val="0"/>
        </w:rPr>
        <w:t>. Les ports peuvent être reliés par des liaisons maritimes au sein de l’espace maritime européen, qui constitue la dimension maritime du RTE-T. Toutefois, toute coopération stratégique entre ports doit éviter d’aboutir à des accords anticoncurrentiels entre ports et doit être soumise au respect des règles de concurrence (voir également la réponse au point 39).</w:t>
      </w:r>
    </w:p>
    <w:p w14:paraId="20D2D7D1" w14:textId="4583B254" w:rsidR="008C5395" w:rsidRPr="002127AB" w:rsidRDefault="008C5395" w:rsidP="00C06398">
      <w:pPr>
        <w:pStyle w:val="pf0"/>
        <w:spacing w:before="0" w:beforeAutospacing="0" w:after="120" w:afterAutospacing="0"/>
        <w:jc w:val="both"/>
        <w:rPr>
          <w:bCs/>
        </w:rPr>
      </w:pPr>
      <w:r>
        <w:t xml:space="preserve">En ce qui concerne le paragraphe 10, le </w:t>
      </w:r>
      <w:r>
        <w:rPr>
          <w:b/>
        </w:rPr>
        <w:t>règlement (UE) 2022/2560 relatif aux subventions étrangères faussant le marché intérieur (règlement sur les subventions étrangères)</w:t>
      </w:r>
      <w:r>
        <w:t xml:space="preserve"> est entré en vigueur le 12 janvier 2023 et s’applique depuis le 12 juillet 2023. Outre les obligations de notification ex ante pour les concentrations et les procédures de passation de marchés publics dépassant certains seuils, la Commission peut, pour toutes les autres situations de marché, ouvrir des enquêtes de sa propre initiative (ex </w:t>
      </w:r>
      <w:proofErr w:type="spellStart"/>
      <w:r>
        <w:t>officio</w:t>
      </w:r>
      <w:proofErr w:type="spellEnd"/>
      <w:r>
        <w:t>) lorsqu’elle soupçonne l’existence d’une subvention étrangère. Le règlement s</w:t>
      </w:r>
      <w:r w:rsidR="00690ACA">
        <w:t>’</w:t>
      </w:r>
      <w:r>
        <w:t>applique donc de la même manière à tous les secteurs de l’économie et à toutes les entreprises exerçant des activités dans l’UE. Néanmoins, il prévoit la possibilité pour la Commission de mener des enquêtes sur le marché dans des secteurs spécifiques, tels que les ports.</w:t>
      </w:r>
    </w:p>
    <w:p w14:paraId="297BB332" w14:textId="6F4B74DB" w:rsidR="00825956" w:rsidRPr="002127AB" w:rsidRDefault="00725772" w:rsidP="00C06398">
      <w:pPr>
        <w:pStyle w:val="pf0"/>
        <w:spacing w:before="0" w:beforeAutospacing="0" w:after="120" w:afterAutospacing="0"/>
        <w:jc w:val="both"/>
      </w:pPr>
      <w:r>
        <w:t xml:space="preserve">En ce qui concerne le paragraphe 11, </w:t>
      </w:r>
      <w:r>
        <w:rPr>
          <w:rStyle w:val="cf01"/>
          <w:rFonts w:ascii="Times New Roman" w:hAnsi="Times New Roman"/>
          <w:sz w:val="24"/>
        </w:rPr>
        <w:t xml:space="preserve">le 10 octobre 2023, la Commission a adopté la décision de ne pas prolonger au-delà d’avril 2024 le </w:t>
      </w:r>
      <w:r>
        <w:rPr>
          <w:rStyle w:val="cf01"/>
          <w:rFonts w:ascii="Times New Roman" w:hAnsi="Times New Roman"/>
          <w:b/>
          <w:sz w:val="24"/>
        </w:rPr>
        <w:t>règlement d’exemption par catégorie en faveur des consortiums</w:t>
      </w:r>
      <w:r>
        <w:rPr>
          <w:rStyle w:val="cf01"/>
          <w:rFonts w:ascii="Times New Roman" w:hAnsi="Times New Roman"/>
          <w:sz w:val="24"/>
        </w:rPr>
        <w:t xml:space="preserve">, à la suite d’une évaluation approfondie. De plus amples informations peuvent être consultées en suivant le lien </w:t>
      </w:r>
      <w:proofErr w:type="gramStart"/>
      <w:r>
        <w:rPr>
          <w:rStyle w:val="cf01"/>
          <w:rFonts w:ascii="Times New Roman" w:hAnsi="Times New Roman"/>
          <w:sz w:val="24"/>
        </w:rPr>
        <w:t>suivant:</w:t>
      </w:r>
      <w:proofErr w:type="gramEnd"/>
      <w:r>
        <w:rPr>
          <w:rStyle w:val="cf01"/>
          <w:rFonts w:ascii="Times New Roman" w:hAnsi="Times New Roman"/>
          <w:sz w:val="24"/>
        </w:rPr>
        <w:t xml:space="preserve"> </w:t>
      </w:r>
      <w:hyperlink r:id="rId11" w:history="1">
        <w:r>
          <w:rPr>
            <w:rStyle w:val="cf01"/>
            <w:rFonts w:ascii="Times New Roman" w:hAnsi="Times New Roman"/>
            <w:sz w:val="24"/>
            <w:u w:val="single"/>
          </w:rPr>
          <w:t>Transport maritime (europa.eu)</w:t>
        </w:r>
      </w:hyperlink>
      <w:r>
        <w:rPr>
          <w:rStyle w:val="cf01"/>
          <w:rFonts w:ascii="Times New Roman" w:hAnsi="Times New Roman"/>
          <w:sz w:val="24"/>
        </w:rPr>
        <w:t>. La Commission suit de près l’évolution de la situation dans le secteur de la logistique maritime et est prête à intervenir si nécessaire.</w:t>
      </w:r>
    </w:p>
    <w:p w14:paraId="21EAC7F9" w14:textId="06158854" w:rsidR="00734743" w:rsidRPr="002127AB" w:rsidRDefault="00725772" w:rsidP="00C06398">
      <w:pPr>
        <w:widowControl w:val="0"/>
        <w:spacing w:after="120"/>
        <w:rPr>
          <w:rFonts w:ascii="Times New Roman" w:hAnsi="Times New Roman"/>
          <w:bCs/>
          <w:szCs w:val="24"/>
        </w:rPr>
      </w:pPr>
      <w:r>
        <w:rPr>
          <w:rFonts w:ascii="Times New Roman" w:hAnsi="Times New Roman"/>
        </w:rPr>
        <w:t xml:space="preserve">En ce qui concerne le paragraphe 14, le </w:t>
      </w:r>
      <w:r>
        <w:rPr>
          <w:rFonts w:ascii="Times New Roman" w:hAnsi="Times New Roman"/>
          <w:b/>
        </w:rPr>
        <w:t>règlement sur les services portuaires</w:t>
      </w:r>
      <w:r w:rsidR="000216CB" w:rsidRPr="002127AB">
        <w:rPr>
          <w:rStyle w:val="FootnoteReference"/>
          <w:rFonts w:ascii="Times New Roman" w:hAnsi="Times New Roman"/>
          <w:bCs/>
          <w:szCs w:val="24"/>
        </w:rPr>
        <w:footnoteReference w:id="3"/>
      </w:r>
      <w:r>
        <w:rPr>
          <w:rFonts w:ascii="Times New Roman" w:hAnsi="Times New Roman"/>
        </w:rPr>
        <w:t xml:space="preserve"> reconnaît les différentes structures portuaires et les différents modèles de gouvernance portuaire dans les États membres et le rôle important du gestionnaire du port, ou de l’autorité compétente, pour assurer la fourniture de services portuaires, y compris au moyen de concessions et de contrats de location.</w:t>
      </w:r>
    </w:p>
    <w:p w14:paraId="47064F4F" w14:textId="74D35466" w:rsidR="00734743" w:rsidRPr="002127AB" w:rsidRDefault="00066283" w:rsidP="00C06398">
      <w:pPr>
        <w:widowControl w:val="0"/>
        <w:spacing w:after="120"/>
        <w:rPr>
          <w:rFonts w:ascii="Times New Roman" w:hAnsi="Times New Roman"/>
          <w:bCs/>
          <w:szCs w:val="24"/>
        </w:rPr>
      </w:pPr>
      <w:r>
        <w:rPr>
          <w:rFonts w:ascii="Times New Roman" w:hAnsi="Times New Roman"/>
        </w:rPr>
        <w:t xml:space="preserve">En ce qui concerne le paragraphe 16 et les investissements dans les </w:t>
      </w:r>
      <w:r>
        <w:rPr>
          <w:rFonts w:ascii="Times New Roman" w:hAnsi="Times New Roman"/>
          <w:b/>
        </w:rPr>
        <w:t>ports situés dans les territoires d’outre-mer et les régions ultrapériphériques</w:t>
      </w:r>
      <w:r>
        <w:rPr>
          <w:rFonts w:ascii="Times New Roman" w:hAnsi="Times New Roman"/>
        </w:rPr>
        <w:t xml:space="preserve">, le mécanisme pour l’interconnexion en Europe (MIE) consacre la majeure partie de son financement à des modes de transport durables, y compris au développement des ports maritimes sur le RTE-T. Dans les régions ultrapériphériques, un taux de cofinancement au titre du MIE </w:t>
      </w:r>
      <w:proofErr w:type="gramStart"/>
      <w:r>
        <w:rPr>
          <w:rFonts w:ascii="Times New Roman" w:hAnsi="Times New Roman"/>
        </w:rPr>
        <w:t>s’applique:</w:t>
      </w:r>
      <w:proofErr w:type="gramEnd"/>
      <w:r>
        <w:rPr>
          <w:rFonts w:ascii="Times New Roman" w:hAnsi="Times New Roman"/>
        </w:rPr>
        <w:t xml:space="preserve"> le MIE peut soutenir jusqu’à 70 % des coûts éligibles des travaux entrepris dans les régions ultrapériphériques. Le Fonds de cohésion et le Fonds européen de développement régional peuvent également soutenir des projets dans les ports situés dans les territoires d’outre-mer et les régions ultrapériphériques.</w:t>
      </w:r>
    </w:p>
    <w:p w14:paraId="4F5362F2" w14:textId="383DF82E" w:rsidR="00331405" w:rsidRPr="002127AB" w:rsidRDefault="00331405" w:rsidP="00C06398">
      <w:pPr>
        <w:widowControl w:val="0"/>
        <w:spacing w:after="120"/>
        <w:rPr>
          <w:rFonts w:ascii="Times New Roman" w:hAnsi="Times New Roman"/>
          <w:b/>
          <w:i/>
          <w:szCs w:val="24"/>
        </w:rPr>
      </w:pPr>
      <w:r>
        <w:rPr>
          <w:rFonts w:ascii="Times New Roman" w:hAnsi="Times New Roman"/>
          <w:b/>
          <w:i/>
        </w:rPr>
        <w:t>Sécurité</w:t>
      </w:r>
    </w:p>
    <w:p w14:paraId="2904D3B8" w14:textId="4BC57DE0" w:rsidR="00BD1043" w:rsidRPr="002127AB" w:rsidRDefault="00725772" w:rsidP="00C06398">
      <w:pPr>
        <w:widowControl w:val="0"/>
        <w:spacing w:after="120"/>
        <w:rPr>
          <w:rFonts w:ascii="Times New Roman" w:hAnsi="Times New Roman"/>
          <w:bCs/>
          <w:szCs w:val="24"/>
        </w:rPr>
      </w:pPr>
      <w:r>
        <w:rPr>
          <w:rFonts w:ascii="Times New Roman" w:hAnsi="Times New Roman"/>
        </w:rPr>
        <w:t xml:space="preserve">En ce qui concerne le paragraphe 17, la </w:t>
      </w:r>
      <w:r>
        <w:rPr>
          <w:rFonts w:ascii="Times New Roman" w:hAnsi="Times New Roman"/>
          <w:b/>
        </w:rPr>
        <w:t>directive sur la résilience des entités critiques (CER)</w:t>
      </w:r>
      <w:r>
        <w:rPr>
          <w:rFonts w:ascii="Times New Roman" w:hAnsi="Times New Roman"/>
        </w:rPr>
        <w:t xml:space="preserve"> crée un cadre général pour renforcer la résilience des entités critiques qui exploitent des infrastructures critiques, telles que les ports, face à tous les risques, qu’ils soient naturels ou d’origine humaine, accidentels ou intentionnels (par exemple, sabotage). Les États membres ont l’obligation de procéder à des évaluations des risques pour leurs services essentiels et de recenser ensuite leurs entités critiques. Une fois identifiées comme critiques, ces entités auront elles-mêmes l’obligation de prendre des mesures de renforcement de la résilience (par exemple, assurer une protection physique adéquate de leurs locaux et de leurs infrastructures critiques, prévenir les incidents, réagir, résister et </w:t>
      </w:r>
      <w:r>
        <w:rPr>
          <w:rFonts w:ascii="Times New Roman" w:hAnsi="Times New Roman"/>
        </w:rPr>
        <w:lastRenderedPageBreak/>
        <w:t>atténuer les conséquences des incidents).</w:t>
      </w:r>
    </w:p>
    <w:p w14:paraId="2ED86880" w14:textId="772A046F" w:rsidR="00D64B33" w:rsidRPr="002127AB" w:rsidRDefault="00BD1043" w:rsidP="00C06398">
      <w:pPr>
        <w:widowControl w:val="0"/>
        <w:spacing w:after="120"/>
        <w:rPr>
          <w:rFonts w:ascii="Times New Roman" w:hAnsi="Times New Roman"/>
          <w:bCs/>
          <w:szCs w:val="24"/>
        </w:rPr>
      </w:pPr>
      <w:r>
        <w:rPr>
          <w:rFonts w:ascii="Times New Roman" w:hAnsi="Times New Roman"/>
        </w:rPr>
        <w:t xml:space="preserve">En outre, la </w:t>
      </w:r>
      <w:r>
        <w:rPr>
          <w:rFonts w:ascii="Times New Roman" w:hAnsi="Times New Roman"/>
          <w:b/>
        </w:rPr>
        <w:t>législation de l’UE en matière de sûreté du transport maritime</w:t>
      </w:r>
      <w:r w:rsidR="00D64B33" w:rsidRPr="002127AB">
        <w:rPr>
          <w:rStyle w:val="FootnoteReference"/>
          <w:rFonts w:ascii="Times New Roman" w:hAnsi="Times New Roman"/>
          <w:bCs/>
          <w:szCs w:val="24"/>
          <w:lang w:val="en-US"/>
        </w:rPr>
        <w:footnoteReference w:id="4"/>
      </w:r>
      <w:r>
        <w:rPr>
          <w:rFonts w:ascii="Times New Roman" w:hAnsi="Times New Roman"/>
        </w:rPr>
        <w:t xml:space="preserve"> prévoit que les installations portuaires commerciales et les navires mettent en place des mesures pour se protéger des actes illicites intentionnels, principalement des attaques physiques, notamment le sabotage. Lorsqu’ils évaluent les risques pour la sécurité du point de vue de l’ensemble de la zone portuaire, les États membres devraient examiner si certaines zones du port sont utilisées à des fins militaires.</w:t>
      </w:r>
    </w:p>
    <w:p w14:paraId="1A1B9640" w14:textId="656DD851" w:rsidR="006F780E" w:rsidRPr="002127AB" w:rsidRDefault="00725772" w:rsidP="00C06398">
      <w:pPr>
        <w:widowControl w:val="0"/>
        <w:spacing w:after="120"/>
        <w:rPr>
          <w:rStyle w:val="cf01"/>
          <w:rFonts w:ascii="Times New Roman" w:hAnsi="Times New Roman" w:cs="Times New Roman"/>
          <w:sz w:val="24"/>
          <w:szCs w:val="24"/>
        </w:rPr>
      </w:pPr>
      <w:r>
        <w:rPr>
          <w:rFonts w:ascii="Times New Roman" w:hAnsi="Times New Roman"/>
        </w:rPr>
        <w:t xml:space="preserve">En ce qui concerne les paragraphes 18, 19, 21 et 23, la </w:t>
      </w:r>
      <w:r>
        <w:rPr>
          <w:rStyle w:val="cf01"/>
          <w:rFonts w:ascii="Times New Roman" w:hAnsi="Times New Roman"/>
          <w:b/>
          <w:sz w:val="24"/>
        </w:rPr>
        <w:t>directive (UE) 2022/2555 (directive SRI 2)</w:t>
      </w:r>
      <w:r>
        <w:rPr>
          <w:rStyle w:val="cf01"/>
          <w:rFonts w:ascii="Times New Roman" w:hAnsi="Times New Roman"/>
          <w:sz w:val="24"/>
        </w:rPr>
        <w:t xml:space="preserve"> établit des mesures visant à atteindre un niveau élevé commun de cybersécurité dans l’ensemble de l’UE, notamment en établissant des mesures de gestion des risques en matière de cybersécurité et des obligations de déclaration pour les entités essentielles et importantes ainsi que pour les entités recensées en tant qu’entités critiques en vertu de la directive (UE) 2022/2557 (directive CER).</w:t>
      </w:r>
    </w:p>
    <w:p w14:paraId="6B6E7B69" w14:textId="6BDC4B0C" w:rsidR="00AD65AE" w:rsidRPr="002127AB" w:rsidRDefault="006F780E" w:rsidP="00C06398">
      <w:pPr>
        <w:widowControl w:val="0"/>
        <w:spacing w:after="120"/>
        <w:rPr>
          <w:rFonts w:ascii="Times New Roman" w:hAnsi="Times New Roman"/>
          <w:bCs/>
          <w:szCs w:val="24"/>
        </w:rPr>
      </w:pPr>
      <w:r>
        <w:rPr>
          <w:rStyle w:val="cf01"/>
          <w:rFonts w:ascii="Times New Roman" w:hAnsi="Times New Roman"/>
          <w:sz w:val="24"/>
        </w:rPr>
        <w:t>Les travaux sur la sécurité de la chaîne d’approvisionnement des technologies de l’information et de la communication (TIC) critiques ont récemment été lancés en vue de la mise en œuvre de la directive (UE) 2022/2555 (directive SRI 2), qui prévoit que le groupe de coopération SRI, en coopération avec la Commission et l’Agence de l’Union européenne pour la cybersécurité (ENISA), peut procéder à des évaluations coordonnées des risques en matière de sécurité afin de traiter les principaux risques liés à la chaîne d’approvisionnement, en tenant compte des facteurs de risque techniques et, le cas échéant, non techniques. Les entités opérant dans les secteurs critiques couverts par la présente directive devraient tenir compte des résultats de ces évaluations et des mesures recommandées, en tout état de cause, en vue de leur conformité avec les mesures de gestion des risques en matière de cybersécurité prévues par ladite directive.</w:t>
      </w:r>
    </w:p>
    <w:p w14:paraId="20881C9C" w14:textId="2C952237" w:rsidR="006F780E" w:rsidRPr="002127AB" w:rsidRDefault="00200A83" w:rsidP="00C06398">
      <w:pPr>
        <w:widowControl w:val="0"/>
        <w:spacing w:after="120"/>
        <w:rPr>
          <w:rFonts w:ascii="Times New Roman" w:hAnsi="Times New Roman"/>
          <w:bCs/>
          <w:szCs w:val="24"/>
        </w:rPr>
      </w:pPr>
      <w:r>
        <w:rPr>
          <w:rFonts w:ascii="Times New Roman" w:hAnsi="Times New Roman"/>
        </w:rPr>
        <w:t xml:space="preserve">En mars 2023, la Commission a finalisé des orientations sur la manière de traiter la cybersécurité au niveau des installations portuaires et des ports, et sur la manière dont elle peut compléter les mesures mises en place au titre des directives SRI et SRI 2. L’ENISA a également publié des lignes directrices utiles concernant la cybersécurité dans les ports, tandis que l’AESM a publié des lignes directrices sur la cybersécurité des navires. Toutes ces actions visent à relever le niveau de cybersécurité dans le secteur maritime de l’UE et à compléter les règles horizontales de l’UE en matière de cybersécurité qui sont en cours de mise en place. La Commission collabore également avec les États membres et les pays tiers, tels que les États-Unis, pour mettre à jour les lignes directrices en matière de cybersécurité au niveau de l’Organisation maritime internationale et rechercher d’autres moyens d’accroître le niveau de cybersécurité du transport maritime international. </w:t>
      </w:r>
      <w:r>
        <w:rPr>
          <w:rStyle w:val="cf01"/>
          <w:rFonts w:ascii="Times New Roman" w:hAnsi="Times New Roman"/>
          <w:sz w:val="24"/>
        </w:rPr>
        <w:t xml:space="preserve">Les risques tout au long de la chaîne d’approvisionnement sont également signalés dans plusieurs </w:t>
      </w:r>
      <w:r>
        <w:rPr>
          <w:rStyle w:val="cf01"/>
          <w:rFonts w:ascii="Times New Roman" w:hAnsi="Times New Roman"/>
          <w:b/>
          <w:sz w:val="24"/>
        </w:rPr>
        <w:t>évaluations/rapports/conclusions concernant les risques au niveau de l’UE</w:t>
      </w:r>
      <w:r>
        <w:rPr>
          <w:rStyle w:val="cf01"/>
          <w:rFonts w:ascii="Times New Roman" w:hAnsi="Times New Roman"/>
          <w:sz w:val="24"/>
        </w:rPr>
        <w:t>, y compris l’appel de Nevers (télécommunications), la posture cyber (télécommunications, énergie) et les évaluations de l’exercice de sécurité économique.</w:t>
      </w:r>
    </w:p>
    <w:p w14:paraId="6187B96C" w14:textId="704E666E" w:rsidR="00DA6DD3" w:rsidRPr="002127AB" w:rsidRDefault="006F780E" w:rsidP="00C06398">
      <w:pPr>
        <w:widowControl w:val="0"/>
        <w:spacing w:after="120"/>
        <w:rPr>
          <w:rFonts w:ascii="Times New Roman" w:hAnsi="Times New Roman"/>
        </w:rPr>
      </w:pPr>
      <w:r>
        <w:rPr>
          <w:rFonts w:ascii="Times New Roman" w:hAnsi="Times New Roman"/>
        </w:rPr>
        <w:t xml:space="preserve">La Commission est consciente de l’évolution et de la promotion des </w:t>
      </w:r>
      <w:r>
        <w:rPr>
          <w:rFonts w:ascii="Times New Roman" w:hAnsi="Times New Roman"/>
          <w:b/>
        </w:rPr>
        <w:t>plateformes de partage de données contrôlées par des États tiers</w:t>
      </w:r>
      <w:r>
        <w:rPr>
          <w:rFonts w:ascii="Times New Roman" w:hAnsi="Times New Roman"/>
        </w:rPr>
        <w:t xml:space="preserve">. Si la réutilisation et le partage des données dans le domaine de la logistique contribuent à la visibilité, à l’efficacité, à l’agilité et à la résilience des chaînes d’approvisionnement européennes et mondiales, la Commission préfère et promeut des solutions équilibrées et neutres, conformément aux principes de la stratégie européenne pour les données et aux règles spécifiques prévues par la législation connexe, telle que le règlement sur la gouvernance européenne des données. </w:t>
      </w:r>
      <w:r>
        <w:rPr>
          <w:rFonts w:ascii="Times New Roman" w:hAnsi="Times New Roman"/>
        </w:rPr>
        <w:lastRenderedPageBreak/>
        <w:t>En conséquence, ces solutions doivent être élaborées et exploitées de manière fiable, sûre et sécurisée et disposer de structures de gouvernance ouvertes conformes à la souveraineté en matière de données, au sein desquelles les propriétaires de données contrôlent leurs données et leur réutilisation. La Commission entretient également des contacts réguliers avec les parties prenantes concernées afin de surveiller et d’analyser l’utilisation de plateformes de partage de données contrôlées par des États tiers par les acteurs de la chaîne d’approvisionnement, notamment les ports.</w:t>
      </w:r>
    </w:p>
    <w:p w14:paraId="32B27228" w14:textId="61530533" w:rsidR="00AD65AE" w:rsidRPr="002127AB" w:rsidRDefault="00AD65AE" w:rsidP="00C06398">
      <w:pPr>
        <w:spacing w:after="120"/>
        <w:rPr>
          <w:rFonts w:ascii="Times New Roman" w:hAnsi="Times New Roman"/>
        </w:rPr>
      </w:pPr>
      <w:r>
        <w:rPr>
          <w:rFonts w:ascii="Times New Roman" w:hAnsi="Times New Roman"/>
        </w:rPr>
        <w:t>En ce qui concerne les paragraphes 24 et 25, l’</w:t>
      </w:r>
      <w:r>
        <w:rPr>
          <w:rFonts w:ascii="Times New Roman" w:hAnsi="Times New Roman"/>
          <w:b/>
        </w:rPr>
        <w:t>alliance des ports européens</w:t>
      </w:r>
      <w:r>
        <w:rPr>
          <w:rFonts w:ascii="Times New Roman" w:hAnsi="Times New Roman"/>
        </w:rPr>
        <w:t xml:space="preserve"> est une initiative phare de la </w:t>
      </w:r>
      <w:r>
        <w:rPr>
          <w:rFonts w:ascii="Times New Roman" w:hAnsi="Times New Roman"/>
          <w:b/>
        </w:rPr>
        <w:t>feuille de route de l’UE en matière de lutte contre le trafic de drogue et la criminalité organisée</w:t>
      </w:r>
      <w:r>
        <w:rPr>
          <w:rFonts w:ascii="Times New Roman" w:hAnsi="Times New Roman"/>
        </w:rPr>
        <w:t>, pour laquelle la Commission collaborera avec les parties prenantes concernées, notamment les services répressifs, les douanes, les autorités portuaires et les organisations sectorielles représentant la chaîne logistique, afin de veiller à ce que les ports de l’UE soient résilients face à la menace croissante que représentent les réseaux criminels de trafic de drogue. La Commission a également adopté une proposition de recommandations du Conseil visant à donner suite aux principales conclusions de l’évaluation thématique de Schengen sur le trafic de drogue à destination de l’UE, qui a recensé plusieurs bonnes pratiques en matière de sécurité et de résilience des ports.</w:t>
      </w:r>
    </w:p>
    <w:p w14:paraId="7517C60D" w14:textId="10DBECB8" w:rsidR="008A6096" w:rsidRPr="004B2B0A" w:rsidRDefault="008A6096" w:rsidP="00C06398">
      <w:pPr>
        <w:widowControl w:val="0"/>
        <w:spacing w:after="120"/>
        <w:rPr>
          <w:rFonts w:ascii="Times New Roman" w:hAnsi="Times New Roman"/>
        </w:rPr>
      </w:pPr>
      <w:r>
        <w:rPr>
          <w:rFonts w:ascii="Times New Roman" w:hAnsi="Times New Roman"/>
        </w:rPr>
        <w:t xml:space="preserve">La </w:t>
      </w:r>
      <w:r>
        <w:rPr>
          <w:rFonts w:ascii="Times New Roman" w:hAnsi="Times New Roman"/>
          <w:b/>
        </w:rPr>
        <w:t>réforme de l’union douanière de l’UE</w:t>
      </w:r>
      <w:r>
        <w:rPr>
          <w:rFonts w:ascii="Times New Roman" w:hAnsi="Times New Roman"/>
        </w:rPr>
        <w:t>, proposée par la Commission en mai de l’année dernière, renforcera les capacités des douanes à surveiller les flux de marchandises entrant dans l’UE et en sortant. En ce qui concerne la fraude à la TVA, avec sa proposition relative à la TVA à l’ère numérique adoptée le 8 décembre 2022, la Commission a notamment proposé un nouveau système de déclaration numérique en temps réel aux fins de la TVA sur la base de la facturation électronique, qui fournira aux États membres les informations précieuses dont ils ont besoin pour intensifier la lutte contre la fraude à la TVA, en particulier la fraude carrousel. Le passage à la facturation électronique contribuera à réduire la fraude à la TVA de près de 11 milliards d’EUR par an.</w:t>
      </w:r>
    </w:p>
    <w:p w14:paraId="48129652" w14:textId="7D37F3F5" w:rsidR="00331405" w:rsidRPr="002127AB" w:rsidRDefault="001614F3" w:rsidP="00C06398">
      <w:pPr>
        <w:pStyle w:val="ListParagraph"/>
        <w:widowControl w:val="0"/>
        <w:spacing w:after="120" w:line="240" w:lineRule="auto"/>
        <w:ind w:left="0"/>
        <w:contextualSpacing w:val="0"/>
        <w:jc w:val="both"/>
        <w:rPr>
          <w:rFonts w:ascii="Times New Roman" w:hAnsi="Times New Roman"/>
          <w:b/>
          <w:i/>
          <w:szCs w:val="24"/>
        </w:rPr>
      </w:pPr>
      <w:r>
        <w:rPr>
          <w:rFonts w:ascii="Times New Roman" w:hAnsi="Times New Roman"/>
          <w:sz w:val="24"/>
        </w:rPr>
        <w:t xml:space="preserve">En ce qui concerne le paragraphe 26 et la </w:t>
      </w:r>
      <w:r>
        <w:rPr>
          <w:rFonts w:ascii="Times New Roman" w:hAnsi="Times New Roman"/>
          <w:b/>
          <w:sz w:val="24"/>
        </w:rPr>
        <w:t>résilience des ports au changement climatique et environnemental</w:t>
      </w:r>
      <w:r>
        <w:rPr>
          <w:rFonts w:ascii="Times New Roman" w:hAnsi="Times New Roman"/>
          <w:sz w:val="24"/>
        </w:rPr>
        <w:t>,</w:t>
      </w:r>
      <w:bookmarkStart w:id="2" w:name="_Hlk157779768"/>
      <w:r>
        <w:rPr>
          <w:rFonts w:ascii="Times New Roman" w:hAnsi="Times New Roman"/>
          <w:sz w:val="24"/>
        </w:rPr>
        <w:t xml:space="preserve"> conformément au règlement RTE-T révisé,</w:t>
      </w:r>
      <w:bookmarkEnd w:id="2"/>
      <w:r>
        <w:rPr>
          <w:rFonts w:ascii="Times New Roman" w:hAnsi="Times New Roman"/>
          <w:sz w:val="24"/>
        </w:rPr>
        <w:t xml:space="preserve"> la Commission a lancé une étude visant à recenser les principaux risques en matière de résilience climatique sur le réseau transeuropéen de transport (RTE-T), les mesures d’adaptation pertinentes pour y faire face et leurs coûts respectifs, ainsi que les investissements nécessaires à la mise en œuvre des mesures recensées. L’étude aidera la Commission à analyser les besoins en matière d’investissement en vue de rendre le réseau RTE-T résilient face au changement climatique. L’analyse englobe tous les modes de transport et comprendra une évaluation des risques climatiques pour les ports européens et les infrastructures de transport connexes sur le réseau RTE-T (notamment l’élévation du niveau de la mer, les inondations, la chaleur extrême).</w:t>
      </w:r>
    </w:p>
    <w:p w14:paraId="693D6A2B" w14:textId="45EAE6FD" w:rsidR="00331405" w:rsidRPr="002127AB" w:rsidRDefault="00331405" w:rsidP="00C06398">
      <w:pPr>
        <w:widowControl w:val="0"/>
        <w:spacing w:after="120"/>
        <w:rPr>
          <w:rFonts w:ascii="Times New Roman" w:hAnsi="Times New Roman"/>
          <w:b/>
          <w:i/>
          <w:szCs w:val="24"/>
        </w:rPr>
      </w:pPr>
      <w:r>
        <w:rPr>
          <w:rFonts w:ascii="Times New Roman" w:hAnsi="Times New Roman"/>
          <w:b/>
          <w:i/>
        </w:rPr>
        <w:t>Rôle des ports dans la transition énergétique</w:t>
      </w:r>
    </w:p>
    <w:p w14:paraId="40A7809D" w14:textId="69B77BD5" w:rsidR="00480C84" w:rsidRPr="002127AB" w:rsidRDefault="008C5395" w:rsidP="00C06398">
      <w:pPr>
        <w:widowControl w:val="0"/>
        <w:spacing w:after="120"/>
        <w:rPr>
          <w:rFonts w:ascii="Times New Roman" w:eastAsia="Calibri" w:hAnsi="Times New Roman"/>
        </w:rPr>
      </w:pPr>
      <w:r>
        <w:rPr>
          <w:rFonts w:ascii="Times New Roman" w:hAnsi="Times New Roman"/>
        </w:rPr>
        <w:t xml:space="preserve">En ce qui concerne le paragraphe 28, la </w:t>
      </w:r>
      <w:r>
        <w:rPr>
          <w:rFonts w:ascii="Times New Roman" w:hAnsi="Times New Roman"/>
          <w:b/>
        </w:rPr>
        <w:t>stratégie de l’UE pour l’hydrogène</w:t>
      </w:r>
      <w:r>
        <w:rPr>
          <w:rFonts w:ascii="Times New Roman" w:hAnsi="Times New Roman"/>
        </w:rPr>
        <w:t xml:space="preserve"> adoptée en 2020 fait du développement de l’hydrogène renouvelable une priorité pour l’UE. Dans le plan </w:t>
      </w:r>
      <w:proofErr w:type="spellStart"/>
      <w:r>
        <w:rPr>
          <w:rFonts w:ascii="Times New Roman" w:hAnsi="Times New Roman"/>
        </w:rPr>
        <w:t>REPowerEU</w:t>
      </w:r>
      <w:proofErr w:type="spellEnd"/>
      <w:r>
        <w:rPr>
          <w:rFonts w:ascii="Times New Roman" w:hAnsi="Times New Roman"/>
        </w:rPr>
        <w:t>, l’UE a exprimé une aspiration et un guide pour l’élaboration de ses politiques et son objectif de réduire sa dépendance aux combustibles fossiles russes dans les plus brefs délais.</w:t>
      </w:r>
    </w:p>
    <w:p w14:paraId="202C8B1F" w14:textId="62E5E394" w:rsidR="00FB7E00" w:rsidRPr="004B2B0A" w:rsidRDefault="008C5395" w:rsidP="00C06398">
      <w:pPr>
        <w:widowControl w:val="0"/>
        <w:spacing w:after="120"/>
        <w:rPr>
          <w:rFonts w:ascii="Times New Roman" w:hAnsi="Times New Roman"/>
        </w:rPr>
      </w:pPr>
      <w:r>
        <w:rPr>
          <w:rFonts w:ascii="Times New Roman" w:hAnsi="Times New Roman"/>
        </w:rPr>
        <w:t>En ce qui concerne le paragraphe 29, la Commission reconnaît pleinement l’</w:t>
      </w:r>
      <w:r>
        <w:rPr>
          <w:rFonts w:ascii="Times New Roman" w:hAnsi="Times New Roman"/>
          <w:b/>
        </w:rPr>
        <w:t>importance des ports dans la transition énergétique</w:t>
      </w:r>
      <w:r>
        <w:rPr>
          <w:rFonts w:ascii="Times New Roman" w:hAnsi="Times New Roman"/>
        </w:rPr>
        <w:t>. Dès lors, la Commission aborde le rôle des ports et les défis liés tant à leur propre empreinte environnementale qu’à leur capacité à contribuer à la décarbonation des activités industrielles et du transport maritime. Ces défis font l’objet d’un projet pilote intitulé</w:t>
      </w:r>
      <w:proofErr w:type="gramStart"/>
      <w:r>
        <w:rPr>
          <w:rFonts w:ascii="Times New Roman" w:hAnsi="Times New Roman"/>
        </w:rPr>
        <w:t xml:space="preserve"> «Port</w:t>
      </w:r>
      <w:proofErr w:type="gramEnd"/>
      <w:r>
        <w:rPr>
          <w:rFonts w:ascii="Times New Roman" w:hAnsi="Times New Roman"/>
        </w:rPr>
        <w:t xml:space="preserve"> </w:t>
      </w:r>
      <w:proofErr w:type="spellStart"/>
      <w:r>
        <w:rPr>
          <w:rFonts w:ascii="Times New Roman" w:hAnsi="Times New Roman"/>
        </w:rPr>
        <w:t>Electricity</w:t>
      </w:r>
      <w:proofErr w:type="spellEnd"/>
      <w:r>
        <w:rPr>
          <w:rFonts w:ascii="Times New Roman" w:hAnsi="Times New Roman"/>
        </w:rPr>
        <w:t xml:space="preserve"> Commercial Model», qui doit être finalisé au cours du premier semestre de 2024. Le projet pilote est une étude réalisée à la demande du Parlement européen.</w:t>
      </w:r>
    </w:p>
    <w:p w14:paraId="67E1F136" w14:textId="285884AD" w:rsidR="00FB7E00" w:rsidRPr="004B2B0A" w:rsidRDefault="00FB7E00" w:rsidP="00C06398">
      <w:pPr>
        <w:widowControl w:val="0"/>
        <w:spacing w:after="120"/>
        <w:rPr>
          <w:rFonts w:ascii="Times New Roman" w:hAnsi="Times New Roman"/>
        </w:rPr>
      </w:pPr>
      <w:r>
        <w:rPr>
          <w:rFonts w:ascii="Times New Roman" w:hAnsi="Times New Roman"/>
        </w:rPr>
        <w:lastRenderedPageBreak/>
        <w:t xml:space="preserve">Dans le cadre de la </w:t>
      </w:r>
      <w:r>
        <w:rPr>
          <w:rFonts w:ascii="Times New Roman" w:hAnsi="Times New Roman"/>
          <w:b/>
        </w:rPr>
        <w:t>coopération énergétique entre les pays des mers du Nord</w:t>
      </w:r>
      <w:r>
        <w:rPr>
          <w:rFonts w:ascii="Times New Roman" w:hAnsi="Times New Roman"/>
        </w:rPr>
        <w:t>, la Commission a participé à un projet de cartographie, de catégorisation et de hiérarchisation des besoins en matière d’infrastructures portuaires liés aux aménagements éoliens en mer.</w:t>
      </w:r>
    </w:p>
    <w:p w14:paraId="61EF935C" w14:textId="49171649" w:rsidR="00FB7E00" w:rsidRPr="004B2B0A" w:rsidRDefault="00FB7E00" w:rsidP="00C06398">
      <w:pPr>
        <w:spacing w:after="120"/>
        <w:rPr>
          <w:rFonts w:ascii="Times New Roman" w:hAnsi="Times New Roman"/>
        </w:rPr>
      </w:pPr>
      <w:r>
        <w:rPr>
          <w:rFonts w:ascii="Times New Roman" w:hAnsi="Times New Roman"/>
        </w:rPr>
        <w:t xml:space="preserve">La </w:t>
      </w:r>
      <w:r>
        <w:rPr>
          <w:rFonts w:ascii="Times New Roman" w:hAnsi="Times New Roman"/>
          <w:b/>
        </w:rPr>
        <w:t>directive révisée sur les énergies renouvelables</w:t>
      </w:r>
      <w:r>
        <w:rPr>
          <w:rFonts w:ascii="Times New Roman" w:hAnsi="Times New Roman"/>
        </w:rPr>
        <w:t xml:space="preserve"> impose aux États membres de nouvelles obligations de recenser les domaines dans lesquels le déploiement de projets dans le domaine des énergies renouvelables peut être soumis à des règles d’autorisation plus rapides et plus simples (zones d’accélération des énergies renouvelables). Les zones de transport et leurs environs, y compris les ports, pourraient être considérées comme des zones d’accélération des énergies renouvelables par les États membres.</w:t>
      </w:r>
    </w:p>
    <w:p w14:paraId="4D4D3F1A" w14:textId="56AC2806" w:rsidR="00FB7E00" w:rsidRPr="004B2B0A" w:rsidRDefault="00EA6A83" w:rsidP="00C06398">
      <w:pPr>
        <w:widowControl w:val="0"/>
        <w:spacing w:after="120"/>
        <w:rPr>
          <w:rFonts w:ascii="Times New Roman" w:hAnsi="Times New Roman"/>
        </w:rPr>
      </w:pPr>
      <w:r>
        <w:rPr>
          <w:rFonts w:ascii="Times New Roman" w:hAnsi="Times New Roman"/>
        </w:rPr>
        <w:t xml:space="preserve">En ce qui concerne le paragraphe 30, le </w:t>
      </w:r>
      <w:r>
        <w:rPr>
          <w:rFonts w:ascii="Times New Roman" w:hAnsi="Times New Roman"/>
          <w:b/>
        </w:rPr>
        <w:t>règlement relatif aux réseaux transeuropéens d</w:t>
      </w:r>
      <w:r w:rsidR="00690ACA">
        <w:rPr>
          <w:rFonts w:ascii="Times New Roman" w:hAnsi="Times New Roman"/>
          <w:b/>
        </w:rPr>
        <w:t>’</w:t>
      </w:r>
      <w:r>
        <w:rPr>
          <w:rFonts w:ascii="Times New Roman" w:hAnsi="Times New Roman"/>
          <w:b/>
        </w:rPr>
        <w:t>énergie (RTE-E)</w:t>
      </w:r>
      <w:r>
        <w:rPr>
          <w:rFonts w:ascii="Times New Roman" w:hAnsi="Times New Roman"/>
        </w:rPr>
        <w:t xml:space="preserve">, en vigueur depuis juin 2022, a été révisé afin de le mettre en conformité avec les priorités du pacte vert pour l’Europe et de renforcer les synergies avec d’autres instruments sectoriels tels que le règlement sur le réseau transeuropéen de transport (RTE-T) afin d’encourager la décarbonation en favorisant une approche plus </w:t>
      </w:r>
      <w:proofErr w:type="spellStart"/>
      <w:r>
        <w:rPr>
          <w:rFonts w:ascii="Times New Roman" w:hAnsi="Times New Roman"/>
        </w:rPr>
        <w:t>transsectorielle</w:t>
      </w:r>
      <w:proofErr w:type="spellEnd"/>
      <w:r>
        <w:rPr>
          <w:rFonts w:ascii="Times New Roman" w:hAnsi="Times New Roman"/>
        </w:rPr>
        <w:t>.</w:t>
      </w:r>
    </w:p>
    <w:p w14:paraId="27A4F133" w14:textId="1E180C7B" w:rsidR="00FB7E00" w:rsidRPr="002127AB" w:rsidRDefault="00FB7E00" w:rsidP="00C06398">
      <w:pPr>
        <w:spacing w:after="120"/>
        <w:rPr>
          <w:rFonts w:ascii="Times New Roman" w:hAnsi="Times New Roman"/>
        </w:rPr>
      </w:pPr>
      <w:r>
        <w:rPr>
          <w:rFonts w:ascii="Times New Roman" w:hAnsi="Times New Roman"/>
        </w:rPr>
        <w:t>Compte tenu de l’augmentation significative attendue de la demande d’électricité provenant du secteur des transports, le règlement RTE-E a élargi et simplifié les critères de sélection des technologies de réseaux intelligents afin de permettre de nouvelles synergies avec le règlement RTE-T. Les infrastructures pour l’hydrogène, introduites pour la première fois dans le champ d’application du règlement RTE-E révisé, permettent de sélectionner tout équipement ou installation permettant l’utilisation d’hydrogène ou de carburants dérivés de l’hydrogène dans le secteur des transports au sein du réseau central du RTE-T.</w:t>
      </w:r>
    </w:p>
    <w:p w14:paraId="5E4EDC87" w14:textId="45EC5E89" w:rsidR="00FB7E00" w:rsidRPr="002127AB" w:rsidRDefault="00374029" w:rsidP="00C06398">
      <w:pPr>
        <w:widowControl w:val="0"/>
        <w:spacing w:after="120"/>
        <w:rPr>
          <w:rFonts w:ascii="Times New Roman" w:hAnsi="Times New Roman"/>
          <w:bCs/>
          <w:szCs w:val="24"/>
        </w:rPr>
      </w:pPr>
      <w:r>
        <w:rPr>
          <w:rFonts w:ascii="Times New Roman" w:hAnsi="Times New Roman"/>
        </w:rPr>
        <w:t xml:space="preserve">La révision du </w:t>
      </w:r>
      <w:r>
        <w:rPr>
          <w:rFonts w:ascii="Times New Roman" w:hAnsi="Times New Roman"/>
          <w:b/>
        </w:rPr>
        <w:t>règlement RTE-T</w:t>
      </w:r>
      <w:r>
        <w:rPr>
          <w:rFonts w:ascii="Times New Roman" w:hAnsi="Times New Roman"/>
        </w:rPr>
        <w:t xml:space="preserve"> invite la Commission et les États membres à promouvoir des projets d’intérêt commun qui visent en particulier à renforcer, dans la mesure du possible, la décarbonation de tous les modes de transport grâce à des synergies avec le RTE-E. Ces infrastructures peuvent inclure l’accès au réseau, les gazoducs et d’autres installations nécessaires à l’approvisionnement énergétique. En outre, en ce qui concerne les priorités de financement également, une coordination et un alignement accrus devraient être envisagés.</w:t>
      </w:r>
    </w:p>
    <w:p w14:paraId="4696955F" w14:textId="789BB559" w:rsidR="00A4522E" w:rsidRPr="002127AB" w:rsidRDefault="009D4D33" w:rsidP="00C06398">
      <w:pPr>
        <w:spacing w:after="120"/>
        <w:rPr>
          <w:rFonts w:ascii="Times New Roman" w:hAnsi="Times New Roman"/>
          <w:bCs/>
          <w:szCs w:val="24"/>
        </w:rPr>
      </w:pPr>
      <w:r>
        <w:rPr>
          <w:rFonts w:ascii="Times New Roman" w:hAnsi="Times New Roman"/>
        </w:rPr>
        <w:t xml:space="preserve">En ce qui concerne le paragraphe 31, la </w:t>
      </w:r>
      <w:r>
        <w:rPr>
          <w:rFonts w:ascii="Times New Roman" w:hAnsi="Times New Roman"/>
          <w:b/>
        </w:rPr>
        <w:t>directive 2019/883 relative aux installations de réception portuaires</w:t>
      </w:r>
      <w:r>
        <w:rPr>
          <w:rFonts w:ascii="Times New Roman" w:hAnsi="Times New Roman"/>
        </w:rPr>
        <w:t xml:space="preserve"> oblige déjà les navires à déposer leurs résidus d’hydrocarbures dans des installations de réception des déchets adéquates conformément aux règles de la convention internationale pour la prévention de la pollution par les navires (MARPOL). À l’avenir, la protection des ports et des canaux de transport contre les déversements d</w:t>
      </w:r>
      <w:r w:rsidR="00690ACA">
        <w:rPr>
          <w:rFonts w:ascii="Times New Roman" w:hAnsi="Times New Roman"/>
        </w:rPr>
        <w:t>’</w:t>
      </w:r>
      <w:r>
        <w:rPr>
          <w:rFonts w:ascii="Times New Roman" w:hAnsi="Times New Roman"/>
        </w:rPr>
        <w:t xml:space="preserve">hydrocarbure sera renforcée par la </w:t>
      </w:r>
      <w:r>
        <w:rPr>
          <w:rFonts w:ascii="Times New Roman" w:hAnsi="Times New Roman"/>
          <w:b/>
        </w:rPr>
        <w:t>directive révisée sur la criminalité environnementale</w:t>
      </w:r>
      <w:r>
        <w:rPr>
          <w:rFonts w:ascii="Times New Roman" w:hAnsi="Times New Roman"/>
        </w:rPr>
        <w:t xml:space="preserve">, ainsi que par la modification de la </w:t>
      </w:r>
      <w:r>
        <w:rPr>
          <w:rFonts w:ascii="Times New Roman" w:hAnsi="Times New Roman"/>
          <w:b/>
        </w:rPr>
        <w:t>directive sur la pollution causée par les navires</w:t>
      </w:r>
      <w:r>
        <w:rPr>
          <w:rFonts w:ascii="Times New Roman" w:hAnsi="Times New Roman"/>
        </w:rPr>
        <w:t>.</w:t>
      </w:r>
    </w:p>
    <w:p w14:paraId="109A3A09" w14:textId="46F84AD1" w:rsidR="009D4D33" w:rsidRPr="002127AB" w:rsidRDefault="00A4522E" w:rsidP="00C06398">
      <w:pPr>
        <w:spacing w:after="120"/>
        <w:rPr>
          <w:rFonts w:ascii="Calibri" w:hAnsi="Calibri"/>
          <w:sz w:val="22"/>
        </w:rPr>
      </w:pPr>
      <w:r>
        <w:rPr>
          <w:rFonts w:ascii="Times New Roman" w:hAnsi="Times New Roman"/>
          <w:shd w:val="clear" w:color="auto" w:fill="FFFFFF"/>
        </w:rPr>
        <w:t xml:space="preserve">La </w:t>
      </w:r>
      <w:r>
        <w:rPr>
          <w:rFonts w:ascii="Times New Roman" w:hAnsi="Times New Roman"/>
          <w:b/>
          <w:shd w:val="clear" w:color="auto" w:fill="FFFFFF"/>
        </w:rPr>
        <w:t>plateforme des acteurs européens de l’économie circulaire</w:t>
      </w:r>
      <w:r>
        <w:rPr>
          <w:rFonts w:ascii="Times New Roman" w:hAnsi="Times New Roman"/>
          <w:shd w:val="clear" w:color="auto" w:fill="FFFFFF"/>
        </w:rPr>
        <w:t xml:space="preserve"> présente déjà</w:t>
      </w:r>
      <w:hyperlink r:id="rId12" w:history="1">
        <w:r>
          <w:rPr>
            <w:rStyle w:val="Hyperlink"/>
            <w:rFonts w:ascii="Times New Roman" w:hAnsi="Times New Roman"/>
            <w:color w:val="auto"/>
            <w:u w:val="none"/>
            <w:shd w:val="clear" w:color="auto" w:fill="FFFFFF"/>
          </w:rPr>
          <w:t xml:space="preserve"> de bonnes pratiques</w:t>
        </w:r>
      </w:hyperlink>
      <w:r>
        <w:rPr>
          <w:rFonts w:ascii="Times New Roman" w:hAnsi="Times New Roman"/>
          <w:shd w:val="clear" w:color="auto" w:fill="FFFFFF"/>
        </w:rPr>
        <w:t xml:space="preserve"> dans les ports et des orientations sont fournies par les parties prenantes. Des ports importants en Europe, tels qu’Anvers, ont notamment présenté des stratégies d’économie circulaire visant à réduire l’impact environnemental de leurs activités.</w:t>
      </w:r>
    </w:p>
    <w:p w14:paraId="7BD0E2CB" w14:textId="125EFF4B" w:rsidR="00CA7016" w:rsidRPr="002127AB" w:rsidRDefault="00CA7016" w:rsidP="00C06398">
      <w:pPr>
        <w:pStyle w:val="ListParagraph"/>
        <w:widowControl w:val="0"/>
        <w:spacing w:after="120" w:line="240" w:lineRule="auto"/>
        <w:ind w:left="0"/>
        <w:contextualSpacing w:val="0"/>
        <w:jc w:val="both"/>
        <w:rPr>
          <w:rFonts w:ascii="Times New Roman" w:hAnsi="Times New Roman"/>
          <w:bCs/>
          <w:sz w:val="24"/>
          <w:szCs w:val="24"/>
        </w:rPr>
      </w:pPr>
      <w:r>
        <w:rPr>
          <w:rFonts w:ascii="Times New Roman" w:hAnsi="Times New Roman"/>
          <w:sz w:val="24"/>
        </w:rPr>
        <w:t xml:space="preserve">En ce qui concerne les paragraphes 32 et 46 et le </w:t>
      </w:r>
      <w:r>
        <w:rPr>
          <w:rFonts w:ascii="Times New Roman" w:hAnsi="Times New Roman"/>
          <w:b/>
          <w:sz w:val="24"/>
        </w:rPr>
        <w:t>transfert modal</w:t>
      </w:r>
      <w:r>
        <w:rPr>
          <w:rFonts w:ascii="Times New Roman" w:hAnsi="Times New Roman"/>
          <w:sz w:val="24"/>
        </w:rPr>
        <w:t xml:space="preserve">, le </w:t>
      </w:r>
      <w:r>
        <w:rPr>
          <w:rFonts w:ascii="Times New Roman" w:hAnsi="Times New Roman"/>
          <w:b/>
          <w:sz w:val="24"/>
        </w:rPr>
        <w:t>pacte vert pour l’Europe</w:t>
      </w:r>
      <w:r>
        <w:rPr>
          <w:rFonts w:ascii="Times New Roman" w:hAnsi="Times New Roman"/>
          <w:sz w:val="24"/>
        </w:rPr>
        <w:t xml:space="preserve"> demande une réduction de 90 % des émissions de gaz à effet de serre provenant des transports, afin que l’Union devienne une économie neutre pour le climat d’ici à 2050. La stratégie de mobilité durable et intelligente décrit clairement la manière dont le système de transport européen entend y parvenir. Elle estime que la part du marché du trafic de fret ferroviaire augmentera de 50 % d’ici à 2030 et doublera d’ici à 2050; le transport par voies navigables intérieures et le transport maritime à courte distance devraient augmenter de 25 % d’ici à 2030 et de 50 % d’ici à 2050; La réalisation du réseau transeuropéen de </w:t>
      </w:r>
      <w:r>
        <w:rPr>
          <w:rFonts w:ascii="Times New Roman" w:hAnsi="Times New Roman"/>
          <w:sz w:val="24"/>
        </w:rPr>
        <w:lastRenderedPageBreak/>
        <w:t>transport créera les conditions propices en termes d’infrastructures permettant de rendre les transports plus durables, abordables et inclusifs, de rendre largement disponibles des solutions de remplacement durables dans un système de transport multimodal et de mettre en place les incitations appropriées pour stimuler la transition</w:t>
      </w:r>
      <w:bookmarkStart w:id="3" w:name="_Hlk157780509"/>
      <w:r>
        <w:rPr>
          <w:rFonts w:ascii="Times New Roman" w:hAnsi="Times New Roman"/>
          <w:sz w:val="24"/>
        </w:rPr>
        <w:t>. La proposition de révision du règlement RTE-T</w:t>
      </w:r>
      <w:bookmarkEnd w:id="3"/>
      <w:r>
        <w:rPr>
          <w:rFonts w:ascii="Times New Roman" w:hAnsi="Times New Roman"/>
          <w:sz w:val="24"/>
        </w:rPr>
        <w:t xml:space="preserve"> reconnaît que le transport maritime à courte distance peut contribuer de manière substantielle à la décarbonation du transport en transportant davantage de marchandises et de passagers par voie maritime. Le nouveau concept global d’espace maritime européen sera favorisé au moyen de la création ou de la modernisation des transports maritimes à courte distance ainsi que du développement des ports maritimes et de leurs liaisons avec l’arrière-pays pour donner lieu à une intégration efficace et durable avec les autres modes de transport.</w:t>
      </w:r>
    </w:p>
    <w:p w14:paraId="33B0426C" w14:textId="12535FB0" w:rsidR="00DA64E1" w:rsidRPr="003D4198" w:rsidRDefault="00CA7016" w:rsidP="00C06398">
      <w:pPr>
        <w:spacing w:after="120"/>
        <w:rPr>
          <w:rFonts w:ascii="Times New Roman" w:hAnsi="Times New Roman"/>
          <w:bCs/>
          <w:szCs w:val="24"/>
        </w:rPr>
      </w:pPr>
      <w:bookmarkStart w:id="4" w:name="_Hlk157784160"/>
      <w:r>
        <w:rPr>
          <w:rFonts w:ascii="Times New Roman" w:hAnsi="Times New Roman"/>
        </w:rPr>
        <w:t xml:space="preserve">Le </w:t>
      </w:r>
      <w:r>
        <w:rPr>
          <w:rFonts w:ascii="Times New Roman" w:hAnsi="Times New Roman"/>
          <w:b/>
        </w:rPr>
        <w:t>règlement RTE-T révisé</w:t>
      </w:r>
      <w:r>
        <w:rPr>
          <w:rFonts w:ascii="Times New Roman" w:hAnsi="Times New Roman"/>
        </w:rPr>
        <w:t xml:space="preserve"> définit plusieurs exigences en matière d’infrastructures de transport pour les ports maritimes du réseau central et du réseau global du RTE-T. Il s’agit notamment de l’obligation de veiller à ce que les ports maritimes dont le volume annuel total de fret dépasse deux millions de tonnes soient reliés aux infrastructures ferroviaires et routières et, dans la mesure du possible, aux voies navigables intérieures; tout port maritime qui assure le trafic de fret offre au moins un terminal de fret multimodal qui soit ouvert à tous les opérateurs et utilisateurs de manière non discriminatoire et qui applique des redevances transparentes et non discriminatoires; les canaux maritimes, les chenaux portuaires et les estuaires qui relient deux mers ou qui permettent l’accès de la mer à des ports maritimes répondent à des normes minimales de bon état de navigation; et les ports maritimes reliés aux voies navigables intérieures sont équipés d’une capacité de manutention pour les bateaux de navigation intérieure. Toutes ces exigences, si elles sont mises en œuvre en temps utile, devraient grandement faciliter un transfert modal et améliorer les liaisons avec l’arrière-pays.</w:t>
      </w:r>
    </w:p>
    <w:bookmarkEnd w:id="4"/>
    <w:p w14:paraId="74313DD2" w14:textId="15BEC776" w:rsidR="00C57E72" w:rsidRPr="002127AB" w:rsidRDefault="00C57E72" w:rsidP="00C06398">
      <w:pPr>
        <w:pStyle w:val="NormalHanging12a"/>
        <w:widowControl w:val="0"/>
        <w:spacing w:after="120"/>
        <w:ind w:left="0" w:firstLine="0"/>
        <w:jc w:val="both"/>
      </w:pPr>
      <w:r>
        <w:t xml:space="preserve">En ce qui concerne le paragraphe 33, les employeurs et les travailleurs du secteur maritime sont soumis au vaste ensemble de directives de l’UE fixant des prescriptions minimales dans le domaine de la </w:t>
      </w:r>
      <w:r>
        <w:rPr>
          <w:b/>
        </w:rPr>
        <w:t xml:space="preserve">sécurité et de la santé au </w:t>
      </w:r>
      <w:proofErr w:type="gramStart"/>
      <w:r>
        <w:rPr>
          <w:b/>
        </w:rPr>
        <w:t>travail</w:t>
      </w:r>
      <w:r>
        <w:t>:</w:t>
      </w:r>
      <w:proofErr w:type="gramEnd"/>
      <w:r>
        <w:t xml:space="preserve"> la directive-cadre 89/391</w:t>
      </w:r>
      <w:r w:rsidRPr="002127AB">
        <w:rPr>
          <w:rStyle w:val="FootnoteReference"/>
        </w:rPr>
        <w:footnoteReference w:id="5"/>
      </w:r>
      <w:r>
        <w:t xml:space="preserve"> impose à l’employeur d’évaluer tous les risques et de mettre en place des mesures de prévention et de protection appropriées, ainsi qu’une formation adéquate en matière de sécurité et de santé. Même si certaines directives visent spécifiquement le secteur maritime, telles que la directive 92/29/CEE relative à l’assistance médicale à bord des navires</w:t>
      </w:r>
      <w:r w:rsidRPr="002127AB">
        <w:rPr>
          <w:rStyle w:val="FootnoteReference"/>
          <w:lang w:val="en-IE"/>
        </w:rPr>
        <w:footnoteReference w:id="6"/>
      </w:r>
      <w:r>
        <w:t xml:space="preserve"> et la directive 93/103/CE relative aux navires de pêche</w:t>
      </w:r>
      <w:r w:rsidRPr="002127AB">
        <w:rPr>
          <w:rStyle w:val="FootnoteReference"/>
          <w:lang w:val="en-IE"/>
        </w:rPr>
        <w:footnoteReference w:id="7"/>
      </w:r>
      <w:r>
        <w:t>, d’autres peuvent également s’appliquer, comme la directive 90/269/CEE relative à la manutention manuelle de charges</w:t>
      </w:r>
      <w:r w:rsidRPr="002127AB">
        <w:rPr>
          <w:rStyle w:val="FootnoteReference"/>
        </w:rPr>
        <w:footnoteReference w:id="8"/>
      </w:r>
      <w:r>
        <w:t>, la directive 2009/104/CE sur l’utilisation des équipements de travail</w:t>
      </w:r>
      <w:r w:rsidRPr="002127AB">
        <w:rPr>
          <w:rStyle w:val="FootnoteReference"/>
        </w:rPr>
        <w:footnoteReference w:id="9"/>
      </w:r>
      <w:r>
        <w:t>, la directive 89/656/CEE sur les équipements de protection individuelle</w:t>
      </w:r>
      <w:r w:rsidRPr="002127AB">
        <w:rPr>
          <w:rStyle w:val="FootnoteReference"/>
        </w:rPr>
        <w:footnoteReference w:id="10"/>
      </w:r>
      <w:r>
        <w:t xml:space="preserve">, la directive 2002/44/CE concernant les </w:t>
      </w:r>
      <w:r>
        <w:lastRenderedPageBreak/>
        <w:t>vibrations</w:t>
      </w:r>
      <w:r w:rsidRPr="002127AB">
        <w:rPr>
          <w:rStyle w:val="FootnoteReference"/>
        </w:rPr>
        <w:footnoteReference w:id="11"/>
      </w:r>
      <w:r>
        <w:t xml:space="preserve"> et la directive 2003/10/CE relative au bruit</w:t>
      </w:r>
      <w:r w:rsidRPr="002127AB">
        <w:rPr>
          <w:rStyle w:val="FootnoteReference"/>
        </w:rPr>
        <w:footnoteReference w:id="12"/>
      </w:r>
      <w:r>
        <w:t>. Celles-ci contiennent des dispositions spécifiques supplémentaires pour la protection des travailleurs.</w:t>
      </w:r>
    </w:p>
    <w:p w14:paraId="201D89D1" w14:textId="3E1F7A3B" w:rsidR="00C57E72" w:rsidRPr="002127AB" w:rsidRDefault="00C57E72" w:rsidP="00C06398">
      <w:pPr>
        <w:spacing w:after="120"/>
        <w:rPr>
          <w:rFonts w:ascii="Times New Roman" w:hAnsi="Times New Roman"/>
          <w:snapToGrid w:val="0"/>
        </w:rPr>
      </w:pPr>
      <w:r>
        <w:rPr>
          <w:rFonts w:ascii="Times New Roman" w:hAnsi="Times New Roman"/>
          <w:snapToGrid w:val="0"/>
        </w:rPr>
        <w:t xml:space="preserve">Comme l’a récemment rappelé la déclaration tripartite signée lors du sommet des partenaires sociaux de Val Duchesse le 31 janvier 2024, la Commission s’est engagée à promouvoir et à renforcer le </w:t>
      </w:r>
      <w:r>
        <w:rPr>
          <w:rFonts w:ascii="Times New Roman" w:hAnsi="Times New Roman"/>
          <w:b/>
          <w:snapToGrid w:val="0"/>
        </w:rPr>
        <w:t>dialogue social</w:t>
      </w:r>
      <w:r>
        <w:rPr>
          <w:rFonts w:ascii="Times New Roman" w:hAnsi="Times New Roman"/>
          <w:snapToGrid w:val="0"/>
        </w:rPr>
        <w:t>. En janvier 2023, la Commission a présenté une nouvelle initiative de dialogue social consistant en une communication et une proposition de recommandation du Conseil, qui a été adoptée en juin 2023 par le Conseil. La Commission continue également de soutenir les partenaires sociaux sectoriels de l’UE dans le secteur portuaire en organisant les réunions de leur comité de dialogue social sectoriel.</w:t>
      </w:r>
    </w:p>
    <w:p w14:paraId="416C893A" w14:textId="3557B6F9" w:rsidR="00C57E72" w:rsidRPr="002127AB" w:rsidRDefault="00C57E72" w:rsidP="00C06398">
      <w:pPr>
        <w:spacing w:after="120"/>
        <w:rPr>
          <w:rFonts w:ascii="Times New Roman" w:hAnsi="Times New Roman"/>
          <w:snapToGrid w:val="0"/>
        </w:rPr>
      </w:pPr>
      <w:r>
        <w:rPr>
          <w:rFonts w:ascii="Times New Roman" w:hAnsi="Times New Roman"/>
          <w:snapToGrid w:val="0"/>
        </w:rPr>
        <w:t xml:space="preserve">Avec le soutien de la Commission, les parties prenantes du secteur de la construction navale et des technologies maritimes ont établi </w:t>
      </w:r>
      <w:r>
        <w:rPr>
          <w:rFonts w:ascii="Times New Roman" w:hAnsi="Times New Roman"/>
          <w:b/>
          <w:snapToGrid w:val="0"/>
        </w:rPr>
        <w:t>un partenariat à grande échelle dans le cadre du pacte pour les compétences</w:t>
      </w:r>
      <w:r>
        <w:rPr>
          <w:rFonts w:ascii="Times New Roman" w:hAnsi="Times New Roman"/>
          <w:snapToGrid w:val="0"/>
        </w:rPr>
        <w:t xml:space="preserve"> [</w:t>
      </w:r>
      <w:proofErr w:type="spellStart"/>
      <w:r w:rsidR="00690ACA">
        <w:fldChar w:fldCharType="begin"/>
      </w:r>
      <w:r w:rsidR="00690ACA">
        <w:instrText>HYPERLINK "https://pact-for-skills.ec.europa.eu/about/industrial-ecosystems-and-partnerships/agri-food_en"</w:instrText>
      </w:r>
      <w:r w:rsidR="00690ACA">
        <w:fldChar w:fldCharType="separate"/>
      </w:r>
      <w:r>
        <w:rPr>
          <w:rFonts w:ascii="Times New Roman" w:hAnsi="Times New Roman"/>
          <w:snapToGrid w:val="0"/>
        </w:rPr>
        <w:t>Mobility</w:t>
      </w:r>
      <w:proofErr w:type="spellEnd"/>
      <w:r>
        <w:rPr>
          <w:rFonts w:ascii="Times New Roman" w:hAnsi="Times New Roman"/>
          <w:snapToGrid w:val="0"/>
        </w:rPr>
        <w:t>-Transport (europa.eu)</w:t>
      </w:r>
      <w:r w:rsidR="00690ACA">
        <w:rPr>
          <w:rFonts w:ascii="Times New Roman" w:hAnsi="Times New Roman"/>
          <w:snapToGrid w:val="0"/>
        </w:rPr>
        <w:fldChar w:fldCharType="end"/>
      </w:r>
      <w:r>
        <w:rPr>
          <w:rFonts w:ascii="Times New Roman" w:hAnsi="Times New Roman"/>
          <w:snapToGrid w:val="0"/>
        </w:rPr>
        <w:t xml:space="preserve">]. Les partenaires sociaux européens de ce secteur, notamment SEA Europe et </w:t>
      </w:r>
      <w:proofErr w:type="spellStart"/>
      <w:r>
        <w:rPr>
          <w:rFonts w:ascii="Times New Roman" w:hAnsi="Times New Roman"/>
          <w:snapToGrid w:val="0"/>
        </w:rPr>
        <w:t>industriAll</w:t>
      </w:r>
      <w:proofErr w:type="spellEnd"/>
      <w:r>
        <w:rPr>
          <w:rFonts w:ascii="Times New Roman" w:hAnsi="Times New Roman"/>
          <w:snapToGrid w:val="0"/>
        </w:rPr>
        <w:t>, sont membres de ce partenariat. Il vise, entre autres, à suivre l’évolution de l’offre et la demande de compétences et à anticiper les besoins en compétences, notamment pour la transition écologique et numérique.</w:t>
      </w:r>
    </w:p>
    <w:p w14:paraId="161230E8" w14:textId="0CBC3E4C" w:rsidR="00DB5942" w:rsidRPr="002127AB" w:rsidRDefault="00DB5942" w:rsidP="00C06398">
      <w:pPr>
        <w:widowControl w:val="0"/>
        <w:spacing w:after="120"/>
        <w:rPr>
          <w:rFonts w:ascii="Times New Roman" w:hAnsi="Times New Roman"/>
          <w:bCs/>
          <w:szCs w:val="24"/>
        </w:rPr>
      </w:pPr>
      <w:r>
        <w:rPr>
          <w:rFonts w:ascii="Times New Roman" w:hAnsi="Times New Roman"/>
        </w:rPr>
        <w:t xml:space="preserve">La Commission partage l’avis selon lequel les </w:t>
      </w:r>
      <w:r>
        <w:rPr>
          <w:rFonts w:ascii="Times New Roman" w:hAnsi="Times New Roman"/>
          <w:b/>
        </w:rPr>
        <w:t>travailleurs du secteur des transports devraient jouer un rôle central dans la transition numérique et écologique</w:t>
      </w:r>
      <w:r>
        <w:rPr>
          <w:rFonts w:ascii="Times New Roman" w:hAnsi="Times New Roman"/>
        </w:rPr>
        <w:t xml:space="preserve"> et que le </w:t>
      </w:r>
      <w:r>
        <w:rPr>
          <w:rFonts w:ascii="Times New Roman" w:hAnsi="Times New Roman"/>
          <w:b/>
        </w:rPr>
        <w:t>perfectionnement et la reconversion</w:t>
      </w:r>
      <w:r>
        <w:rPr>
          <w:rFonts w:ascii="Times New Roman" w:hAnsi="Times New Roman"/>
        </w:rPr>
        <w:t xml:space="preserve"> professionnels proactifs sont des éléments essentiels pour répondre à l’évolution des exigences en matière de compétences déclenchée par la numérisation et la décarbonation des ports et du secteur maritime. La stratégie européenne en matière de compétences fixe des objectifs quantitatifs ambitieux en matière de perfectionnement et de reconversion professionnels à atteindre en réponse à l’évolution de la nature des emplois dans le secteur des transports, avec le soutien de fonds de l’UE (par exemple, le Fonds social européen +, le Fonds pour une transition juste et la facilité pour la reprise et la résilience). Dans le cadre de l’Année européenne des compétences, la Commission a adopté la </w:t>
      </w:r>
      <w:r>
        <w:rPr>
          <w:rFonts w:ascii="Times New Roman" w:hAnsi="Times New Roman"/>
          <w:i/>
        </w:rPr>
        <w:t>recommandation sur les moyens de faire face à l’incidence de l’automatisation et de la numérisation sur la main-d’œuvre du secteur des transports</w:t>
      </w:r>
      <w:r w:rsidRPr="002127AB">
        <w:rPr>
          <w:rStyle w:val="FootnoteReference"/>
          <w:rFonts w:ascii="Times New Roman" w:hAnsi="Times New Roman"/>
          <w:bCs/>
          <w:szCs w:val="24"/>
        </w:rPr>
        <w:footnoteReference w:id="13"/>
      </w:r>
      <w:r>
        <w:rPr>
          <w:rFonts w:ascii="Times New Roman" w:hAnsi="Times New Roman"/>
        </w:rPr>
        <w:t>, qui vise à relever les défis et à tirer parti des possibilités liées à la sensibilisation, au perfectionnement et à la reconversion professionnels, à l’amélioration des conditions de travail, à la gestion du changement et au financement.</w:t>
      </w:r>
    </w:p>
    <w:p w14:paraId="30DACEE1" w14:textId="64DF1487" w:rsidR="00DB5942" w:rsidRPr="002127AB" w:rsidRDefault="00C06398" w:rsidP="00C06398">
      <w:pPr>
        <w:widowControl w:val="0"/>
        <w:spacing w:after="120"/>
        <w:rPr>
          <w:rFonts w:ascii="Times New Roman" w:hAnsi="Times New Roman"/>
          <w:bCs/>
          <w:szCs w:val="24"/>
        </w:rPr>
      </w:pPr>
      <w:r>
        <w:rPr>
          <w:rFonts w:ascii="Times New Roman" w:hAnsi="Times New Roman"/>
        </w:rPr>
        <w:t xml:space="preserve">En ce qui concerne l’objectif visant à </w:t>
      </w:r>
      <w:r>
        <w:rPr>
          <w:rFonts w:ascii="Times New Roman" w:hAnsi="Times New Roman"/>
          <w:b/>
        </w:rPr>
        <w:t>rendre le secteur plus attrayant pour les femmes</w:t>
      </w:r>
      <w:r>
        <w:rPr>
          <w:rFonts w:ascii="Times New Roman" w:hAnsi="Times New Roman"/>
        </w:rPr>
        <w:t xml:space="preserve">, la Commission a ciblé activement la question en dialoguant avec les parties prenantes des industries portuaire et maritime par l’intermédiaire de réseaux (les femmes dans les transports </w:t>
      </w:r>
      <w:r w:rsidR="00690ACA">
        <w:rPr>
          <w:rFonts w:ascii="Times New Roman" w:hAnsi="Times New Roman"/>
        </w:rPr>
        <w:t>—</w:t>
      </w:r>
      <w:r>
        <w:rPr>
          <w:rFonts w:ascii="Times New Roman" w:hAnsi="Times New Roman"/>
        </w:rPr>
        <w:t xml:space="preserve"> Plateforme de l’Union européenne pour le changement et le réseau des ambassadeurs de la diversité dans les transports), en soutenant l’organisation d’événements de promotion des bonnes pratiques dans le secteur (</w:t>
      </w:r>
      <w:proofErr w:type="spellStart"/>
      <w:r>
        <w:rPr>
          <w:rFonts w:ascii="Times New Roman" w:hAnsi="Times New Roman"/>
          <w:i/>
          <w:iCs/>
        </w:rPr>
        <w:t>Honours</w:t>
      </w:r>
      <w:proofErr w:type="spellEnd"/>
      <w:r>
        <w:rPr>
          <w:rFonts w:ascii="Times New Roman" w:hAnsi="Times New Roman"/>
          <w:i/>
          <w:iCs/>
        </w:rPr>
        <w:t xml:space="preserve"> for Diversity and Inclusion in Maritime</w:t>
      </w:r>
      <w:r w:rsidR="00DB5942" w:rsidRPr="002127AB">
        <w:rPr>
          <w:rStyle w:val="FootnoteReference"/>
          <w:rFonts w:ascii="Times New Roman" w:hAnsi="Times New Roman"/>
          <w:bCs/>
          <w:szCs w:val="24"/>
        </w:rPr>
        <w:footnoteReference w:id="14"/>
      </w:r>
      <w:r>
        <w:rPr>
          <w:rFonts w:ascii="Times New Roman" w:hAnsi="Times New Roman"/>
        </w:rPr>
        <w:t xml:space="preserve"> </w:t>
      </w:r>
      <w:r w:rsidR="00690ACA">
        <w:rPr>
          <w:rFonts w:ascii="Times New Roman" w:hAnsi="Times New Roman"/>
        </w:rPr>
        <w:t>—</w:t>
      </w:r>
      <w:r>
        <w:rPr>
          <w:rFonts w:ascii="Times New Roman" w:hAnsi="Times New Roman"/>
        </w:rPr>
        <w:t xml:space="preserve"> Prix de la diversité et de l’inclusion dans le secteur maritime) et en publiant des études: </w:t>
      </w:r>
      <w:proofErr w:type="spellStart"/>
      <w:r>
        <w:rPr>
          <w:rFonts w:ascii="Times New Roman" w:hAnsi="Times New Roman"/>
          <w:i/>
        </w:rPr>
        <w:t>Study</w:t>
      </w:r>
      <w:proofErr w:type="spellEnd"/>
      <w:r>
        <w:rPr>
          <w:rFonts w:ascii="Times New Roman" w:hAnsi="Times New Roman"/>
          <w:i/>
        </w:rPr>
        <w:t xml:space="preserve"> on good staff </w:t>
      </w:r>
      <w:proofErr w:type="spellStart"/>
      <w:r>
        <w:rPr>
          <w:rFonts w:ascii="Times New Roman" w:hAnsi="Times New Roman"/>
          <w:i/>
        </w:rPr>
        <w:t>scheduling</w:t>
      </w:r>
      <w:proofErr w:type="spellEnd"/>
      <w:r>
        <w:rPr>
          <w:rFonts w:ascii="Times New Roman" w:hAnsi="Times New Roman"/>
          <w:i/>
        </w:rPr>
        <w:t xml:space="preserve"> and </w:t>
      </w:r>
      <w:proofErr w:type="spellStart"/>
      <w:r>
        <w:rPr>
          <w:rFonts w:ascii="Times New Roman" w:hAnsi="Times New Roman"/>
          <w:i/>
        </w:rPr>
        <w:t>rostering</w:t>
      </w:r>
      <w:proofErr w:type="spellEnd"/>
      <w:r>
        <w:rPr>
          <w:rFonts w:ascii="Times New Roman" w:hAnsi="Times New Roman"/>
          <w:i/>
        </w:rPr>
        <w:t xml:space="preserve"> practices in transport</w:t>
      </w:r>
      <w:r w:rsidR="00DB5942" w:rsidRPr="002127AB">
        <w:rPr>
          <w:rStyle w:val="FootnoteReference"/>
          <w:rFonts w:ascii="Times New Roman" w:hAnsi="Times New Roman"/>
          <w:bCs/>
          <w:szCs w:val="24"/>
        </w:rPr>
        <w:footnoteReference w:id="15"/>
      </w:r>
      <w:r>
        <w:rPr>
          <w:rFonts w:ascii="Times New Roman" w:hAnsi="Times New Roman"/>
        </w:rPr>
        <w:t xml:space="preserve"> (Étude </w:t>
      </w:r>
      <w:r>
        <w:rPr>
          <w:rFonts w:ascii="Times New Roman" w:hAnsi="Times New Roman"/>
        </w:rPr>
        <w:lastRenderedPageBreak/>
        <w:t xml:space="preserve">sur les bonnes pratiques en matière de programmation et d’affectation du personnel dans le secteur des transports) et </w:t>
      </w:r>
      <w:r>
        <w:rPr>
          <w:rFonts w:ascii="Times New Roman" w:hAnsi="Times New Roman"/>
          <w:i/>
        </w:rPr>
        <w:t xml:space="preserve">Business case to </w:t>
      </w:r>
      <w:proofErr w:type="spellStart"/>
      <w:r>
        <w:rPr>
          <w:rFonts w:ascii="Times New Roman" w:hAnsi="Times New Roman"/>
          <w:i/>
        </w:rPr>
        <w:t>increase</w:t>
      </w:r>
      <w:proofErr w:type="spellEnd"/>
      <w:r>
        <w:rPr>
          <w:rFonts w:ascii="Times New Roman" w:hAnsi="Times New Roman"/>
          <w:i/>
        </w:rPr>
        <w:t xml:space="preserve"> </w:t>
      </w:r>
      <w:proofErr w:type="spellStart"/>
      <w:r>
        <w:rPr>
          <w:rFonts w:ascii="Times New Roman" w:hAnsi="Times New Roman"/>
          <w:i/>
        </w:rPr>
        <w:t>female</w:t>
      </w:r>
      <w:proofErr w:type="spellEnd"/>
      <w:r>
        <w:rPr>
          <w:rFonts w:ascii="Times New Roman" w:hAnsi="Times New Roman"/>
          <w:i/>
        </w:rPr>
        <w:t xml:space="preserve"> </w:t>
      </w:r>
      <w:proofErr w:type="spellStart"/>
      <w:r>
        <w:rPr>
          <w:rFonts w:ascii="Times New Roman" w:hAnsi="Times New Roman"/>
          <w:i/>
        </w:rPr>
        <w:t>employment</w:t>
      </w:r>
      <w:proofErr w:type="spellEnd"/>
      <w:r>
        <w:rPr>
          <w:rFonts w:ascii="Times New Roman" w:hAnsi="Times New Roman"/>
          <w:i/>
        </w:rPr>
        <w:t xml:space="preserve"> in transport</w:t>
      </w:r>
      <w:r w:rsidR="00DB5942" w:rsidRPr="002127AB">
        <w:rPr>
          <w:rStyle w:val="FootnoteReference"/>
          <w:rFonts w:ascii="Times New Roman" w:hAnsi="Times New Roman"/>
          <w:bCs/>
          <w:szCs w:val="24"/>
        </w:rPr>
        <w:footnoteReference w:id="16"/>
      </w:r>
      <w:r>
        <w:rPr>
          <w:rFonts w:ascii="Times New Roman" w:hAnsi="Times New Roman"/>
        </w:rPr>
        <w:t xml:space="preserve"> (Arguments en faveur de l’emploi des femmes dans les transports).</w:t>
      </w:r>
    </w:p>
    <w:p w14:paraId="0B2D3FA7" w14:textId="346E15BA" w:rsidR="00C57E72" w:rsidRPr="002127AB" w:rsidRDefault="00C57E72" w:rsidP="00C06398">
      <w:pPr>
        <w:spacing w:after="120"/>
        <w:rPr>
          <w:rFonts w:ascii="Times New Roman" w:hAnsi="Times New Roman"/>
          <w:snapToGrid w:val="0"/>
        </w:rPr>
      </w:pPr>
      <w:r>
        <w:rPr>
          <w:rFonts w:ascii="Times New Roman" w:hAnsi="Times New Roman"/>
          <w:snapToGrid w:val="0"/>
        </w:rPr>
        <w:t xml:space="preserve">La recommandation du Conseil visant à assurer une transition équitable vers la neutralité climatique (2022/C 243/04) fournit des orientations concrètes aux États membres pour traiter </w:t>
      </w:r>
      <w:r>
        <w:rPr>
          <w:rFonts w:ascii="Times New Roman" w:hAnsi="Times New Roman"/>
          <w:b/>
          <w:snapToGrid w:val="0"/>
        </w:rPr>
        <w:t>les aspects relatifs à l</w:t>
      </w:r>
      <w:r w:rsidR="00690ACA">
        <w:rPr>
          <w:rFonts w:ascii="Times New Roman" w:hAnsi="Times New Roman"/>
          <w:b/>
          <w:snapToGrid w:val="0"/>
        </w:rPr>
        <w:t>’</w:t>
      </w:r>
      <w:r>
        <w:rPr>
          <w:rFonts w:ascii="Times New Roman" w:hAnsi="Times New Roman"/>
          <w:b/>
          <w:snapToGrid w:val="0"/>
        </w:rPr>
        <w:t>emploi et à la politique sociale des politiques en matière de climat, d’énergie et d’environnement</w:t>
      </w:r>
      <w:r>
        <w:rPr>
          <w:rFonts w:ascii="Times New Roman" w:hAnsi="Times New Roman"/>
          <w:snapToGrid w:val="0"/>
        </w:rPr>
        <w:t>, en particulier dans les secteurs les plus touchés, tels que les transports.</w:t>
      </w:r>
    </w:p>
    <w:p w14:paraId="5FAC4E60" w14:textId="63513EEA" w:rsidR="00331405" w:rsidRPr="002127AB" w:rsidRDefault="00331405" w:rsidP="00C06398">
      <w:pPr>
        <w:widowControl w:val="0"/>
        <w:spacing w:after="120"/>
        <w:rPr>
          <w:rFonts w:ascii="Times New Roman" w:hAnsi="Times New Roman"/>
          <w:b/>
          <w:i/>
          <w:szCs w:val="24"/>
        </w:rPr>
      </w:pPr>
      <w:r>
        <w:rPr>
          <w:rFonts w:ascii="Times New Roman" w:hAnsi="Times New Roman"/>
          <w:b/>
          <w:i/>
        </w:rPr>
        <w:t>Compétitivité des ports et des entreprises de l’UE</w:t>
      </w:r>
    </w:p>
    <w:p w14:paraId="6DFEB997" w14:textId="782AC6E2" w:rsidR="00640ECB" w:rsidRPr="002127AB" w:rsidRDefault="00331405" w:rsidP="00C06398">
      <w:pPr>
        <w:spacing w:after="120"/>
        <w:rPr>
          <w:rFonts w:ascii="Times New Roman" w:hAnsi="Times New Roman"/>
          <w:bCs/>
          <w:szCs w:val="24"/>
        </w:rPr>
      </w:pPr>
      <w:r>
        <w:rPr>
          <w:rFonts w:ascii="Times New Roman" w:hAnsi="Times New Roman"/>
        </w:rPr>
        <w:t xml:space="preserve">La compétitivité de l’ensemble du système de transport de l’UE, notamment des ports, est au cœur de la </w:t>
      </w:r>
      <w:r>
        <w:rPr>
          <w:rFonts w:ascii="Times New Roman" w:hAnsi="Times New Roman"/>
          <w:b/>
        </w:rPr>
        <w:t>stratégie de mobilité durable et intelligente</w:t>
      </w:r>
      <w:r>
        <w:rPr>
          <w:rFonts w:ascii="Times New Roman" w:hAnsi="Times New Roman"/>
        </w:rPr>
        <w:t>.</w:t>
      </w:r>
    </w:p>
    <w:p w14:paraId="33845FAB" w14:textId="52F6C4A5" w:rsidR="002E7FFD" w:rsidRPr="00683752" w:rsidRDefault="002E7FFD" w:rsidP="00C06398">
      <w:pPr>
        <w:spacing w:after="120"/>
        <w:rPr>
          <w:rFonts w:ascii="Times New Roman" w:hAnsi="Times New Roman"/>
          <w:bCs/>
          <w:szCs w:val="24"/>
        </w:rPr>
      </w:pPr>
      <w:r>
        <w:rPr>
          <w:rFonts w:ascii="Times New Roman" w:hAnsi="Times New Roman"/>
        </w:rPr>
        <w:t xml:space="preserve">En ce qui concerne les paragraphes 35 et 36, le </w:t>
      </w:r>
      <w:r>
        <w:rPr>
          <w:rFonts w:ascii="Times New Roman" w:hAnsi="Times New Roman"/>
          <w:b/>
        </w:rPr>
        <w:t xml:space="preserve">contournement éventuel des obligations au titre du système d’échange de quotas d’émission </w:t>
      </w:r>
      <w:r>
        <w:rPr>
          <w:rFonts w:ascii="Times New Roman" w:hAnsi="Times New Roman"/>
        </w:rPr>
        <w:t>(</w:t>
      </w:r>
      <w:r>
        <w:rPr>
          <w:rFonts w:ascii="Times New Roman" w:hAnsi="Times New Roman"/>
          <w:b/>
        </w:rPr>
        <w:t>SEQE</w:t>
      </w:r>
      <w:r>
        <w:rPr>
          <w:rFonts w:ascii="Times New Roman" w:hAnsi="Times New Roman"/>
        </w:rPr>
        <w:t>) a été examiné attentivement dans l’analyse d’impact</w:t>
      </w:r>
      <w:r w:rsidR="0007413C">
        <w:rPr>
          <w:rStyle w:val="FootnoteReference"/>
          <w:rFonts w:ascii="Times New Roman" w:hAnsi="Times New Roman"/>
          <w:bCs/>
        </w:rPr>
        <w:footnoteReference w:id="17"/>
      </w:r>
      <w:r>
        <w:rPr>
          <w:rFonts w:ascii="Times New Roman" w:hAnsi="Times New Roman"/>
        </w:rPr>
        <w:t xml:space="preserve"> qui accompagnait la proposition relative au SEQE en 2021 et a fait l’objet de discussions approfondies avec le Parlement européen et le Conseil. Une approche similaire a également été adoptée lors de l’élaboration du règlement de l’UE relatif à l’utilisation de carburants renouvelables et bas carbone dans le transport maritime. En conséquence, la directive SEQE et le règlement </w:t>
      </w:r>
      <w:proofErr w:type="spellStart"/>
      <w:r>
        <w:rPr>
          <w:rFonts w:ascii="Times New Roman" w:hAnsi="Times New Roman"/>
        </w:rPr>
        <w:t>FuelEU</w:t>
      </w:r>
      <w:proofErr w:type="spellEnd"/>
      <w:r>
        <w:rPr>
          <w:rFonts w:ascii="Times New Roman" w:hAnsi="Times New Roman"/>
        </w:rPr>
        <w:t xml:space="preserve"> Maritime comprennent plusieurs mesures visant à atténuer le risque éventuel de contournement, y compris une mesure visant à lutter contre le risque de délocalisation des activités de transbordement, qui consiste à ne pas tenir compte des arrêts effectués par les porte-conteneurs dans certains ports voisins de transbordement de conteneurs où le risque est le plus élevé.</w:t>
      </w:r>
    </w:p>
    <w:p w14:paraId="3AB20C5F" w14:textId="6D0648BA" w:rsidR="002E7FFD" w:rsidRPr="002127AB" w:rsidRDefault="002E7FFD" w:rsidP="00C06398">
      <w:pPr>
        <w:spacing w:after="120"/>
        <w:rPr>
          <w:rFonts w:ascii="Times New Roman" w:hAnsi="Times New Roman"/>
          <w:bCs/>
          <w:szCs w:val="24"/>
        </w:rPr>
      </w:pPr>
      <w:r>
        <w:rPr>
          <w:rFonts w:ascii="Times New Roman" w:hAnsi="Times New Roman"/>
        </w:rPr>
        <w:t>En outre, conformément à la clause concernant les rapports et le réexamen de la directive SEQE et du règlement de l’UE relatif à l’utilisation de carburants renouvelables et bas carbone dans le transport maritime, la Commission s’emploie déjà à surveiller étroitement les éventuels comportements d’évitement et les incidences en ce qui concerne, entre autres, les éventuelles augmentations des coûts de transport, les distorsions du marché et les modifications du trafic portuaire, telles que le contournement des ports et les changements de plateformes de transbordement, la compétitivité globale du secteur maritime dans les États membres, et en particulier les incidences sur les services de transport maritime qui constituent des services essentiels de continuité territoriale. Elle fera rapport tous les deux ans au Parlement européen et au Conseil sur la mise en œuvre du SEQE en ce qui concerne le transport maritime et du règlement de l’UE relatif à l’utilisation de carburants renouvelables et bas carbone dans le transport maritime. Le cas échéant, la Commission peut proposer des mesures visant à garantir la mise en œuvre effective du SEQE et du règlement de l’UE relatif à l’utilisation de carburants renouvelables et bas carbone dans le transport maritime.</w:t>
      </w:r>
    </w:p>
    <w:p w14:paraId="5B915AAC" w14:textId="1BAF42F7" w:rsidR="002E7FFD" w:rsidRPr="002127AB" w:rsidRDefault="004D2319" w:rsidP="00C06398">
      <w:pPr>
        <w:spacing w:after="120"/>
        <w:rPr>
          <w:rFonts w:ascii="Times New Roman" w:hAnsi="Times New Roman"/>
          <w:bCs/>
          <w:szCs w:val="24"/>
        </w:rPr>
      </w:pPr>
      <w:r>
        <w:rPr>
          <w:rFonts w:ascii="Times New Roman" w:hAnsi="Times New Roman"/>
        </w:rPr>
        <w:t xml:space="preserve">Il importe de rappeler que la </w:t>
      </w:r>
      <w:r>
        <w:rPr>
          <w:rFonts w:ascii="Times New Roman" w:hAnsi="Times New Roman"/>
          <w:b/>
        </w:rPr>
        <w:t>transition écologique offre des possibilités de décarboner le secteur maritime et d’accroître sa compétitivité et sa résilience au changement climatique</w:t>
      </w:r>
      <w:r>
        <w:rPr>
          <w:rFonts w:ascii="Times New Roman" w:hAnsi="Times New Roman"/>
        </w:rPr>
        <w:t xml:space="preserve">. Le secteur du transport maritime, notamment les ports de l’UE, peut bénéficier des recettes que les États membres tirent des mises aux enchères des quotas d’émissions ou du Fonds pour l’innovation. 20 millions de quotas du SEQE (soit environ 1,6 milliard d’EUR au prix de 80 EUR par quota) devraient être déployés jusqu’en 2030 par </w:t>
      </w:r>
      <w:r>
        <w:rPr>
          <w:rFonts w:ascii="Times New Roman" w:hAnsi="Times New Roman"/>
        </w:rPr>
        <w:lastRenderedPageBreak/>
        <w:t>l’intermédiaire du Fonds pour l’innovation afin de soutenir la décarbonation du secteur maritime, notamment au moyen de thèmes spécifiques dans les futurs appels à propositions.</w:t>
      </w:r>
    </w:p>
    <w:p w14:paraId="590FD57E" w14:textId="5087BC7A" w:rsidR="00EC5BF3" w:rsidRPr="002127AB" w:rsidRDefault="00EC5BF3" w:rsidP="00C06398">
      <w:pPr>
        <w:widowControl w:val="0"/>
        <w:spacing w:after="120"/>
        <w:rPr>
          <w:rFonts w:ascii="Times New Roman" w:hAnsi="Times New Roman"/>
          <w:snapToGrid w:val="0"/>
          <w:szCs w:val="24"/>
        </w:rPr>
      </w:pPr>
      <w:r>
        <w:rPr>
          <w:rFonts w:ascii="Times New Roman" w:hAnsi="Times New Roman"/>
          <w:snapToGrid w:val="0"/>
        </w:rPr>
        <w:t>En ce qui concerne les paragraphes 4 et 37 sur les besoins d’investissement des ports, la Commission a lancé une étude visant à déterminer les besoins d’investissement du réseau RTE-T, y compris les ports maritimes, et la quantification des investissements. Il importe de consacrer des investissements suffisants pour achever le RTE-T, étant donné que le non-achèvement du RTE-T entrave la création d’un réseau de transport efficace et performant et pourrait également entraîner la perte d’avantages économiques, notamment d’emplois associés à l’achèvement du RTE-T. Cette étude devrait contribuer à un débat éclairé sur les nouvelles perspectives financières pour l’après-2027 et sur la possibilité d’associer des capitaux privés à la finalisation du réseau RTE-T.</w:t>
      </w:r>
    </w:p>
    <w:p w14:paraId="10493324" w14:textId="4CE78D96" w:rsidR="009D42D1" w:rsidRPr="002127AB" w:rsidRDefault="009D42D1" w:rsidP="00C06398">
      <w:pPr>
        <w:widowControl w:val="0"/>
        <w:spacing w:after="120"/>
        <w:rPr>
          <w:rFonts w:ascii="Times New Roman" w:hAnsi="Times New Roman"/>
          <w:bCs/>
          <w:szCs w:val="24"/>
        </w:rPr>
      </w:pPr>
      <w:r>
        <w:rPr>
          <w:rFonts w:ascii="Times New Roman" w:hAnsi="Times New Roman"/>
        </w:rPr>
        <w:t>En ce qui concerne le paragraphe 38, la Commission convient qu’</w:t>
      </w:r>
      <w:r>
        <w:rPr>
          <w:rFonts w:ascii="Times New Roman" w:hAnsi="Times New Roman"/>
          <w:b/>
        </w:rPr>
        <w:t>il convient d’éviter des</w:t>
      </w:r>
      <w:r>
        <w:rPr>
          <w:rFonts w:ascii="Times New Roman" w:hAnsi="Times New Roman"/>
        </w:rPr>
        <w:t xml:space="preserve"> </w:t>
      </w:r>
      <w:r>
        <w:rPr>
          <w:rFonts w:ascii="Times New Roman" w:hAnsi="Times New Roman"/>
          <w:b/>
        </w:rPr>
        <w:t>charges administratives excessives</w:t>
      </w:r>
      <w:r>
        <w:rPr>
          <w:rFonts w:ascii="Times New Roman" w:hAnsi="Times New Roman"/>
        </w:rPr>
        <w:t xml:space="preserve"> et tiendra dûment compte de cet aspect lorsqu’elle évaluera si des initiatives supplémentaires sont nécessaires pour compléter la mise en œuvre des mesures et instruments actuels.</w:t>
      </w:r>
    </w:p>
    <w:p w14:paraId="47BA090E" w14:textId="062C815B" w:rsidR="00D5283A" w:rsidRPr="002127AB" w:rsidRDefault="00D5283A" w:rsidP="00C06398">
      <w:pPr>
        <w:widowControl w:val="0"/>
        <w:spacing w:after="120"/>
        <w:rPr>
          <w:rFonts w:ascii="Times New Roman" w:hAnsi="Times New Roman"/>
          <w:szCs w:val="24"/>
        </w:rPr>
      </w:pPr>
      <w:r>
        <w:rPr>
          <w:rFonts w:ascii="Times New Roman" w:hAnsi="Times New Roman"/>
        </w:rPr>
        <w:t>En ce qui concerne le paragraphe 39, l’</w:t>
      </w:r>
      <w:r>
        <w:rPr>
          <w:rFonts w:ascii="Times New Roman" w:hAnsi="Times New Roman"/>
          <w:b/>
        </w:rPr>
        <w:t>appel en faveur d’une coopération accrue entre les ports européens et de l’élimination des pratiques préjudiciables telles que la</w:t>
      </w:r>
      <w:proofErr w:type="gramStart"/>
      <w:r>
        <w:rPr>
          <w:rFonts w:ascii="Times New Roman" w:hAnsi="Times New Roman"/>
          <w:b/>
        </w:rPr>
        <w:t xml:space="preserve"> «sous</w:t>
      </w:r>
      <w:proofErr w:type="gramEnd"/>
      <w:r>
        <w:rPr>
          <w:rFonts w:ascii="Times New Roman" w:hAnsi="Times New Roman"/>
          <w:b/>
        </w:rPr>
        <w:t>-tarification» pose problème</w:t>
      </w:r>
      <w:r>
        <w:rPr>
          <w:rFonts w:ascii="Times New Roman" w:hAnsi="Times New Roman"/>
        </w:rPr>
        <w:t xml:space="preserve">, car il </w:t>
      </w:r>
      <w:r>
        <w:rPr>
          <w:rStyle w:val="cf01"/>
          <w:rFonts w:ascii="Times New Roman" w:hAnsi="Times New Roman"/>
          <w:sz w:val="24"/>
        </w:rPr>
        <w:t>fait référence à des décisions commerciales prises par les ports (tarification en particulier) qui devraient être prises de manière indépendante en vertu du droit de la concurrence.</w:t>
      </w:r>
      <w:r>
        <w:rPr>
          <w:rStyle w:val="cf11"/>
          <w:rFonts w:ascii="Times New Roman" w:hAnsi="Times New Roman"/>
          <w:sz w:val="24"/>
        </w:rPr>
        <w:t xml:space="preserve"> En effet,</w:t>
      </w:r>
      <w:r>
        <w:rPr>
          <w:rStyle w:val="cf21"/>
          <w:rFonts w:ascii="Times New Roman" w:hAnsi="Times New Roman"/>
          <w:sz w:val="24"/>
        </w:rPr>
        <w:t xml:space="preserve"> l’article 101 du traité sur le fonctionnement de l’Union européenne interdit les accords anticoncurrentiels entre entreprises. La coopération entre les ports en vue, par exemple, d’éliminer la</w:t>
      </w:r>
      <w:proofErr w:type="gramStart"/>
      <w:r>
        <w:rPr>
          <w:rStyle w:val="cf21"/>
          <w:rFonts w:ascii="Times New Roman" w:hAnsi="Times New Roman"/>
          <w:sz w:val="24"/>
        </w:rPr>
        <w:t xml:space="preserve"> «sous</w:t>
      </w:r>
      <w:proofErr w:type="gramEnd"/>
      <w:r>
        <w:rPr>
          <w:rStyle w:val="cf21"/>
          <w:rFonts w:ascii="Times New Roman" w:hAnsi="Times New Roman"/>
          <w:sz w:val="24"/>
        </w:rPr>
        <w:t>-tarification» (c’est-à-dire éviter la concurrence sur les prix) risque d’encourager/faciliter les ententes ou d’autres pratiques anticoncurrentielles entre ports. Chaque entreprise, y compris les ports, doit déterminer de manière indépendante son comportement sur le marché.</w:t>
      </w:r>
    </w:p>
    <w:p w14:paraId="78CAF30E" w14:textId="3EF7AEE6" w:rsidR="00D5283A" w:rsidRPr="002127AB" w:rsidRDefault="007532A8" w:rsidP="00C06398">
      <w:pPr>
        <w:widowControl w:val="0"/>
        <w:spacing w:after="120"/>
        <w:rPr>
          <w:rFonts w:ascii="Times New Roman" w:hAnsi="Times New Roman"/>
          <w:bCs/>
          <w:szCs w:val="24"/>
        </w:rPr>
      </w:pPr>
      <w:r>
        <w:rPr>
          <w:rFonts w:ascii="Times New Roman" w:hAnsi="Times New Roman"/>
        </w:rPr>
        <w:t xml:space="preserve">Dans ce contexte, le </w:t>
      </w:r>
      <w:r>
        <w:rPr>
          <w:rFonts w:ascii="Times New Roman" w:hAnsi="Times New Roman"/>
          <w:b/>
        </w:rPr>
        <w:t>règlement sur les services portuaires</w:t>
      </w:r>
      <w:r>
        <w:rPr>
          <w:rFonts w:ascii="Times New Roman" w:hAnsi="Times New Roman"/>
        </w:rPr>
        <w:t xml:space="preserve"> [règlement (UE) 2017/352] établit des règles communes en matière de transparence financière des ports, notamment des dispositions relatives aux redevances de services portuaires et aux redevances d’infrastructure portuaire.</w:t>
      </w:r>
    </w:p>
    <w:p w14:paraId="3D84BCFD" w14:textId="03DDCD60" w:rsidR="003A43E5" w:rsidRPr="00A07DA5" w:rsidRDefault="003A43E5" w:rsidP="00C06398">
      <w:pPr>
        <w:pStyle w:val="NormalHanging12a"/>
        <w:spacing w:after="120"/>
        <w:ind w:left="0" w:firstLine="0"/>
        <w:jc w:val="both"/>
      </w:pPr>
      <w:r>
        <w:t>En ce qui concerne les paragraphes 40, 41 et 42, la réforme des douanes proposée par la Commission en 2023 envisage de renforcer la coopération entre les douanes et les autres autorités en vue d’une meilleure application des interdictions et restrictions. La principale fonction de l’</w:t>
      </w:r>
      <w:r>
        <w:rPr>
          <w:b/>
        </w:rPr>
        <w:t>Autorité douanière de l’UE</w:t>
      </w:r>
      <w:r>
        <w:t xml:space="preserve"> sera de mettre en commun l’expertise et les compétences qui sont actuellement dispersées dans l’ensemble de l’UE en vue d’orienter, de coordonner et de soutenir les autorités douanières nationales dans l’UE. Les activités de gestion des risques au niveau de l’UE permettront un ciblage plus harmonisé et plus efficace pour faire face aux risques financiers et non financiers. Cela permettra de renforcer la surveillance des chaînes d’approvisionnement en collaboration avec les autorités douanières au niveau national et de l’UE qui</w:t>
      </w:r>
      <w:proofErr w:type="gramStart"/>
      <w:r>
        <w:t xml:space="preserve"> «agiront</w:t>
      </w:r>
      <w:proofErr w:type="gramEnd"/>
      <w:r>
        <w:t xml:space="preserve"> comme une entité unique» lorsqu’il s’agira d’assurer le contrôle de la frontière extérieure de l’UE en ce qui concerne les marchandises. La </w:t>
      </w:r>
      <w:r>
        <w:rPr>
          <w:b/>
        </w:rPr>
        <w:t>plateforme des données douanières de l’UE</w:t>
      </w:r>
      <w:r>
        <w:t xml:space="preserve"> permettra une fourniture plus efficace de données par des entreprises privées et un meilleur partage des données entre les autorités douanières et entre les autorités douanières et les autres autorités nationales.</w:t>
      </w:r>
    </w:p>
    <w:p w14:paraId="3B9D7A03" w14:textId="51049754" w:rsidR="00A151CD" w:rsidRPr="002127AB" w:rsidRDefault="003A43E5" w:rsidP="00C06398">
      <w:pPr>
        <w:pStyle w:val="NormalHanging12a"/>
        <w:widowControl w:val="0"/>
        <w:spacing w:after="120"/>
        <w:ind w:left="0" w:firstLine="0"/>
        <w:jc w:val="both"/>
        <w:rPr>
          <w:szCs w:val="24"/>
        </w:rPr>
      </w:pPr>
      <w:r>
        <w:t>Le règlement (UE) 2022/2399 établissant l’</w:t>
      </w:r>
      <w:hyperlink r:id="rId13" w:history="1">
        <w:r>
          <w:rPr>
            <w:rStyle w:val="Hyperlink"/>
            <w:b/>
            <w:color w:val="auto"/>
            <w:u w:val="none"/>
          </w:rPr>
          <w:t>environnement de guichet unique de l’UE pour les douanes</w:t>
        </w:r>
      </w:hyperlink>
      <w:r>
        <w:t xml:space="preserve"> fournit un nouveau cadre juridique visant à améliorer le partage d’informations et la coopération numérique entre les administrations douanières et les autres autorités publiques chargées de faire respecter les formalités non douanières à la frontière de l’UE dans des domaines tels que la santé et la sécurité, la protection de </w:t>
      </w:r>
      <w:r>
        <w:lastRenderedPageBreak/>
        <w:t>l’environnement, la sécurité des aliments et des produits et l’agriculture. Cela permet aux opérateurs économiques d’apurer plus facilement certaines formalités douanières et contribue à une application homogène des contrôles douaniers dans l’ensemble de l’UE.</w:t>
      </w:r>
    </w:p>
    <w:p w14:paraId="235EA048" w14:textId="4A913AE5" w:rsidR="00A151CD" w:rsidRPr="002127AB" w:rsidRDefault="004D2319" w:rsidP="00C06398">
      <w:pPr>
        <w:pStyle w:val="NormalHanging12a"/>
        <w:spacing w:after="120"/>
        <w:ind w:left="0" w:firstLine="0"/>
        <w:jc w:val="both"/>
        <w:rPr>
          <w:szCs w:val="24"/>
        </w:rPr>
      </w:pPr>
      <w:r>
        <w:t xml:space="preserve">En ce qui concerne le paragraphe 44 sur le </w:t>
      </w:r>
      <w:r>
        <w:rPr>
          <w:b/>
        </w:rPr>
        <w:t>cabotage maritime</w:t>
      </w:r>
      <w:r>
        <w:t>, le règlement (CE) n° 3577/92 concernant l</w:t>
      </w:r>
      <w:r w:rsidR="00690ACA">
        <w:t>’</w:t>
      </w:r>
      <w:r>
        <w:t>application du principe de la libre circulation des services aux transports maritimes à l</w:t>
      </w:r>
      <w:r w:rsidR="00690ACA">
        <w:t>’</w:t>
      </w:r>
      <w:r>
        <w:t>intérieur des États membres (cabotage maritime) n’accorder le droit de fournir des services de cabotage maritime (c’est-à-dire le transport de marchandises ou de passagers à l’intérieur du même pays) qu’aux ressortissants de l’UE ou aux armateurs de l’UE. Le marché du cabotage de l’UE est fermé à tout pays tiers, notamment à la Chine. La seule possibilité pour les entreprises chinoises de fournir de tels services est de se constituer en sociétés dans l’UE conformément au droit de l’Union. La Chine dispose d’une législation nationale correspondante interdisant aux entreprises étrangères de l’UE de fournir des services de cabotage en Chine. Par conséquent, il n’est pas exact que les transports de cabotage constituent un élément central du modèle commercial des compagnies maritimes chinoises dans l’UE.</w:t>
      </w:r>
    </w:p>
    <w:p w14:paraId="72B249FC" w14:textId="6F1C7C64" w:rsidR="00A151CD" w:rsidRPr="002127AB" w:rsidRDefault="00A151CD" w:rsidP="00C06398">
      <w:pPr>
        <w:pStyle w:val="NormalHanging12a"/>
        <w:spacing w:after="120"/>
        <w:ind w:left="0" w:firstLine="0"/>
        <w:jc w:val="both"/>
        <w:rPr>
          <w:szCs w:val="24"/>
        </w:rPr>
      </w:pPr>
      <w:r>
        <w:t>Dans le même temps, les services de transport maritime international entre la Chine et différents États membres de l’UE sont autorisés, conformément à l’accord de transport maritime conclu entre l’UE et la Chine en 2008. Les transports de cabotage sont exclus du champ d’application de l’accord, conformément aux engagements commerciaux standard de l’UE dans ce secteur. Il ne serait pas possible de restreindre l’accès aux services de transport maritime international au sein de l’UE sans une modification des politiques commerciales horizontales et des engagements internationaux existants avec les pays tiers. Au lieu de cela, l’UE pourrait s’efforcer d’améliorer l’accès des opérateurs de l’UE au marché chinois en insistant sur l’octroi de l’autorisation aux entreprises de l’UE d’exploiter des relais internationaux en Chine. Cela pourrait se faire dans le cadre de l’ATM, lors des réunions annuelles de mise en œuvre. L’objectif ultime de l’UE est de libéraliser, à terme, le marché chinois du relais international.</w:t>
      </w:r>
    </w:p>
    <w:p w14:paraId="65C63EB1" w14:textId="65874242" w:rsidR="00DD2035" w:rsidRPr="002127AB" w:rsidRDefault="00DD2035" w:rsidP="00C06398">
      <w:pPr>
        <w:spacing w:after="120"/>
        <w:rPr>
          <w:rFonts w:ascii="Times New Roman" w:hAnsi="Times New Roman"/>
          <w:sz w:val="22"/>
        </w:rPr>
      </w:pPr>
      <w:r>
        <w:rPr>
          <w:rFonts w:ascii="Times New Roman" w:hAnsi="Times New Roman"/>
        </w:rPr>
        <w:t>En ce qui concerne le paragraphe 45, la Commission partage le point de vue sur l’importance de l’initiative</w:t>
      </w:r>
      <w:proofErr w:type="gramStart"/>
      <w:r>
        <w:rPr>
          <w:rFonts w:ascii="Times New Roman" w:hAnsi="Times New Roman"/>
        </w:rPr>
        <w:t xml:space="preserve"> «</w:t>
      </w:r>
      <w:r>
        <w:rPr>
          <w:rFonts w:ascii="Times New Roman" w:hAnsi="Times New Roman"/>
          <w:b/>
        </w:rPr>
        <w:t>Global</w:t>
      </w:r>
      <w:proofErr w:type="gramEnd"/>
      <w:r>
        <w:rPr>
          <w:rFonts w:ascii="Times New Roman" w:hAnsi="Times New Roman"/>
          <w:b/>
        </w:rPr>
        <w:t xml:space="preserve"> Gateway</w:t>
      </w:r>
      <w:r>
        <w:rPr>
          <w:rFonts w:ascii="Times New Roman" w:hAnsi="Times New Roman"/>
        </w:rPr>
        <w:t>» pour renforcer le rôle des ports dans le monde entier en renforçant la résilience des chaînes d’approvisionnement et en décarbonant le transport maritime, et s’emploie à étendre à cet effet l’initiative phare 2023 relative au corridor maritime vert mondial</w:t>
      </w:r>
      <w:r w:rsidR="0007413C" w:rsidRPr="0007413C">
        <w:rPr>
          <w:rStyle w:val="FootnoteReference"/>
          <w:rFonts w:ascii="Times New Roman" w:hAnsi="Times New Roman"/>
        </w:rPr>
        <w:footnoteReference w:id="18"/>
      </w:r>
      <w:r>
        <w:rPr>
          <w:rFonts w:ascii="Times New Roman" w:hAnsi="Times New Roman"/>
        </w:rPr>
        <w:t>.</w:t>
      </w:r>
    </w:p>
    <w:p w14:paraId="10F4DCFB" w14:textId="41DB4B27" w:rsidR="003A6618" w:rsidRPr="002127AB" w:rsidRDefault="003A6618" w:rsidP="00C06398">
      <w:pPr>
        <w:spacing w:after="120"/>
        <w:rPr>
          <w:rFonts w:ascii="Times New Roman" w:hAnsi="Times New Roman"/>
          <w:snapToGrid w:val="0"/>
          <w:szCs w:val="24"/>
        </w:rPr>
      </w:pPr>
      <w:r>
        <w:rPr>
          <w:rFonts w:ascii="Times New Roman" w:hAnsi="Times New Roman"/>
          <w:snapToGrid w:val="0"/>
        </w:rPr>
        <w:t>En ce qui concerne la suggestion, au paragraphe 47, de créer un</w:t>
      </w:r>
      <w:proofErr w:type="gramStart"/>
      <w:r>
        <w:rPr>
          <w:rFonts w:ascii="Times New Roman" w:hAnsi="Times New Roman"/>
          <w:snapToGrid w:val="0"/>
        </w:rPr>
        <w:t xml:space="preserve"> «atlas</w:t>
      </w:r>
      <w:proofErr w:type="gramEnd"/>
      <w:r>
        <w:rPr>
          <w:rFonts w:ascii="Times New Roman" w:hAnsi="Times New Roman"/>
          <w:snapToGrid w:val="0"/>
        </w:rPr>
        <w:t xml:space="preserve">» des ports européens, il convient de noter que la base de données </w:t>
      </w:r>
      <w:proofErr w:type="spellStart"/>
      <w:r>
        <w:rPr>
          <w:rFonts w:ascii="Times New Roman" w:hAnsi="Times New Roman"/>
          <w:snapToGrid w:val="0"/>
        </w:rPr>
        <w:t>TENtec</w:t>
      </w:r>
      <w:proofErr w:type="spellEnd"/>
      <w:r>
        <w:rPr>
          <w:rFonts w:ascii="Times New Roman" w:hAnsi="Times New Roman"/>
          <w:snapToGrid w:val="0"/>
        </w:rPr>
        <w:t xml:space="preserve"> est un outil bien établi et complet qui contient une multitude d’informations sur tous les modes de transport sur le réseau RTE-T. Il est essentiel que les données et paramètres qui y sont disponibles soient collectés de manière normalisée, actualisée et fiable. Pour ce faire, les services de la Commission s’appuient dans une large mesure sur la coopération avec les États membres, les ports et Eurostat et d’autres parties prenantes qui disposent ou peuvent collecter les informations pertinentes.</w:t>
      </w:r>
    </w:p>
    <w:p w14:paraId="7746A36D" w14:textId="1105D5A4" w:rsidR="00A13F0B" w:rsidRPr="002127AB" w:rsidRDefault="003844F0" w:rsidP="00C06398">
      <w:pPr>
        <w:spacing w:after="120"/>
        <w:rPr>
          <w:rFonts w:ascii="Times New Roman" w:hAnsi="Times New Roman"/>
        </w:rPr>
      </w:pPr>
      <w:r>
        <w:rPr>
          <w:rFonts w:ascii="Times New Roman" w:hAnsi="Times New Roman"/>
        </w:rPr>
        <w:t xml:space="preserve">En ce qui concerne le paragraphe 48, la Commission reconnaît l’importance stratégique de la </w:t>
      </w:r>
      <w:r>
        <w:rPr>
          <w:rFonts w:ascii="Times New Roman" w:hAnsi="Times New Roman"/>
          <w:b/>
        </w:rPr>
        <w:t>construction navale et de sa chaîne d’approvisionnement</w:t>
      </w:r>
      <w:r>
        <w:rPr>
          <w:rFonts w:ascii="Times New Roman" w:hAnsi="Times New Roman"/>
        </w:rPr>
        <w:t xml:space="preserve"> pour la transition écologique et numérique du secteur du transport par voie d’eau. La Commission est consciente que l’industrie de la construction navale fait face à une concurrence internationale féroce de la part de pays tels que la Chine et la Corée du Sud. Dans le cadre de la </w:t>
      </w:r>
      <w:r>
        <w:rPr>
          <w:rFonts w:ascii="Times New Roman" w:hAnsi="Times New Roman"/>
          <w:b/>
        </w:rPr>
        <w:t>stratégie industrielle actualisée de l’UE</w:t>
      </w:r>
      <w:r>
        <w:rPr>
          <w:rFonts w:ascii="Times New Roman" w:hAnsi="Times New Roman"/>
        </w:rPr>
        <w:t xml:space="preserve"> (2021)</w:t>
      </w:r>
      <w:r w:rsidR="00A13F0B" w:rsidRPr="002127AB">
        <w:rPr>
          <w:rFonts w:ascii="Times New Roman" w:hAnsi="Times New Roman"/>
          <w:vertAlign w:val="superscript"/>
        </w:rPr>
        <w:footnoteReference w:id="19"/>
      </w:r>
      <w:r>
        <w:rPr>
          <w:rFonts w:ascii="Times New Roman" w:hAnsi="Times New Roman"/>
        </w:rPr>
        <w:t xml:space="preserve">, la Commission a associé </w:t>
      </w:r>
      <w:r>
        <w:rPr>
          <w:rFonts w:ascii="Times New Roman" w:hAnsi="Times New Roman"/>
        </w:rPr>
        <w:lastRenderedPageBreak/>
        <w:t>l’industrie de la construction navale et sa chaîne d’approvisionnement à la cocréation du</w:t>
      </w:r>
      <w:proofErr w:type="gramStart"/>
      <w:r>
        <w:rPr>
          <w:rFonts w:ascii="Times New Roman" w:hAnsi="Times New Roman"/>
        </w:rPr>
        <w:t xml:space="preserve"> «Transition</w:t>
      </w:r>
      <w:proofErr w:type="gramEnd"/>
      <w:r>
        <w:rPr>
          <w:rFonts w:ascii="Times New Roman" w:hAnsi="Times New Roman"/>
        </w:rPr>
        <w:t xml:space="preserve"> </w:t>
      </w:r>
      <w:proofErr w:type="spellStart"/>
      <w:r>
        <w:rPr>
          <w:rFonts w:ascii="Times New Roman" w:hAnsi="Times New Roman"/>
        </w:rPr>
        <w:t>Pathway</w:t>
      </w:r>
      <w:proofErr w:type="spellEnd"/>
      <w:r>
        <w:rPr>
          <w:rFonts w:ascii="Times New Roman" w:hAnsi="Times New Roman"/>
        </w:rPr>
        <w:t xml:space="preserve"> for the </w:t>
      </w:r>
      <w:proofErr w:type="spellStart"/>
      <w:r>
        <w:rPr>
          <w:rFonts w:ascii="Times New Roman" w:hAnsi="Times New Roman"/>
        </w:rPr>
        <w:t>Mobility</w:t>
      </w:r>
      <w:proofErr w:type="spellEnd"/>
      <w:r>
        <w:rPr>
          <w:rFonts w:ascii="Times New Roman" w:hAnsi="Times New Roman"/>
        </w:rPr>
        <w:t xml:space="preserve"> </w:t>
      </w:r>
      <w:proofErr w:type="spellStart"/>
      <w:r>
        <w:rPr>
          <w:rFonts w:ascii="Times New Roman" w:hAnsi="Times New Roman"/>
        </w:rPr>
        <w:t>industrial</w:t>
      </w:r>
      <w:proofErr w:type="spellEnd"/>
      <w:r>
        <w:rPr>
          <w:rFonts w:ascii="Times New Roman" w:hAnsi="Times New Roman"/>
        </w:rPr>
        <w:t xml:space="preserve"> </w:t>
      </w:r>
      <w:proofErr w:type="spellStart"/>
      <w:r>
        <w:rPr>
          <w:rFonts w:ascii="Times New Roman" w:hAnsi="Times New Roman"/>
        </w:rPr>
        <w:t>ecosystem</w:t>
      </w:r>
      <w:proofErr w:type="spellEnd"/>
      <w:r>
        <w:rPr>
          <w:rFonts w:ascii="Times New Roman" w:hAnsi="Times New Roman"/>
        </w:rPr>
        <w:t>» (parcours de transition pour l’écosystème industriel de la mobilité)</w:t>
      </w:r>
      <w:r w:rsidR="00A13F0B" w:rsidRPr="002127AB">
        <w:rPr>
          <w:rFonts w:ascii="Times New Roman" w:hAnsi="Times New Roman"/>
          <w:vertAlign w:val="superscript"/>
        </w:rPr>
        <w:footnoteReference w:id="20"/>
      </w:r>
      <w:r>
        <w:rPr>
          <w:rFonts w:ascii="Times New Roman" w:hAnsi="Times New Roman"/>
        </w:rPr>
        <w:t>. La Commission a déjà lancé plusieurs initiatives visant à renforcer la compétitivité de l’industrie maritime mondiale de l’UE et son rôle moteur à l’échelle mondiale dans le domaine des technologies de transport maritime vertes (par exemple, le pacte pour les compétences dans la construction navale, le Fonds pour l’innovation et le partenariat sur le transport par voie d’eau à émissions nulles) et reste déterminée à lutter contre les distorsions au niveau international et bilatéral.</w:t>
      </w:r>
    </w:p>
    <w:p w14:paraId="12477234" w14:textId="700949EA" w:rsidR="00CC43ED" w:rsidRPr="002127AB" w:rsidRDefault="00DA03E9" w:rsidP="00C06398">
      <w:pPr>
        <w:spacing w:after="120"/>
        <w:rPr>
          <w:rFonts w:ascii="Times New Roman" w:hAnsi="Times New Roman"/>
        </w:rPr>
      </w:pPr>
      <w:r>
        <w:rPr>
          <w:rFonts w:ascii="Times New Roman" w:hAnsi="Times New Roman"/>
        </w:rPr>
        <w:t xml:space="preserve">En ce qui concerne le paragraphe 49, la Commission a </w:t>
      </w:r>
      <w:r>
        <w:rPr>
          <w:rFonts w:ascii="Times New Roman" w:hAnsi="Times New Roman"/>
          <w:b/>
        </w:rPr>
        <w:t>soutenu très activement l’innovation et à la numérisation des ports</w:t>
      </w:r>
      <w:r>
        <w:rPr>
          <w:rFonts w:ascii="Times New Roman" w:hAnsi="Times New Roman"/>
        </w:rPr>
        <w:t>. Plusieurs projets de recherche et d’innovation ont été financés au titre d’Horizon 2020 et d’Horizon Europe. L’appel relatif au «Port de l’avenir» a octroyé un financement de l’UE pour un montant de plus de 16 millions d</w:t>
      </w:r>
      <w:r w:rsidR="00690ACA">
        <w:rPr>
          <w:rFonts w:ascii="Times New Roman" w:hAnsi="Times New Roman"/>
        </w:rPr>
        <w:t>’</w:t>
      </w:r>
      <w:r>
        <w:rPr>
          <w:rFonts w:ascii="Times New Roman" w:hAnsi="Times New Roman"/>
        </w:rPr>
        <w:t>EUR à quatre projets jusqu’en 2022 (</w:t>
      </w:r>
      <w:hyperlink r:id="rId14" w:history="1">
        <w:r>
          <w:rPr>
            <w:rStyle w:val="Hyperlink"/>
            <w:rFonts w:ascii="Times New Roman" w:hAnsi="Times New Roman"/>
            <w:color w:val="auto"/>
          </w:rPr>
          <w:t>COREALIS</w:t>
        </w:r>
      </w:hyperlink>
      <w:r>
        <w:rPr>
          <w:rFonts w:ascii="Times New Roman" w:hAnsi="Times New Roman"/>
        </w:rPr>
        <w:t xml:space="preserve">, </w:t>
      </w:r>
      <w:hyperlink r:id="rId15" w:history="1">
        <w:proofErr w:type="spellStart"/>
        <w:r>
          <w:rPr>
            <w:rStyle w:val="Hyperlink"/>
            <w:rFonts w:ascii="Times New Roman" w:hAnsi="Times New Roman"/>
            <w:color w:val="auto"/>
          </w:rPr>
          <w:t>PortForward</w:t>
        </w:r>
        <w:proofErr w:type="spellEnd"/>
      </w:hyperlink>
      <w:r>
        <w:rPr>
          <w:rFonts w:ascii="Times New Roman" w:hAnsi="Times New Roman"/>
        </w:rPr>
        <w:t xml:space="preserve">, </w:t>
      </w:r>
      <w:hyperlink r:id="rId16" w:history="1">
        <w:r>
          <w:rPr>
            <w:rStyle w:val="Hyperlink"/>
            <w:rFonts w:ascii="Times New Roman" w:hAnsi="Times New Roman"/>
            <w:color w:val="auto"/>
          </w:rPr>
          <w:t>PIXEL</w:t>
        </w:r>
      </w:hyperlink>
      <w:r>
        <w:rPr>
          <w:rFonts w:ascii="Times New Roman" w:hAnsi="Times New Roman"/>
        </w:rPr>
        <w:t xml:space="preserve">, </w:t>
      </w:r>
      <w:hyperlink r:id="rId17" w:history="1">
        <w:proofErr w:type="spellStart"/>
        <w:r>
          <w:rPr>
            <w:rStyle w:val="Hyperlink"/>
            <w:rFonts w:ascii="Times New Roman" w:hAnsi="Times New Roman"/>
            <w:color w:val="auto"/>
          </w:rPr>
          <w:t>DocksTheFuture</w:t>
        </w:r>
        <w:proofErr w:type="spellEnd"/>
      </w:hyperlink>
      <w:r>
        <w:rPr>
          <w:rFonts w:ascii="Times New Roman" w:hAnsi="Times New Roman"/>
        </w:rPr>
        <w:t>), tandis que l’appel relatif au pacte vert pour l’Europe fournit 50 millions d</w:t>
      </w:r>
      <w:r w:rsidR="00690ACA">
        <w:rPr>
          <w:rFonts w:ascii="Times New Roman" w:hAnsi="Times New Roman"/>
        </w:rPr>
        <w:t>’</w:t>
      </w:r>
      <w:r>
        <w:rPr>
          <w:rFonts w:ascii="Times New Roman" w:hAnsi="Times New Roman"/>
        </w:rPr>
        <w:t>EUR à deux projets phares jusqu’en 2026, portant sur l’écologisation et la numérisation des ports européens (</w:t>
      </w:r>
      <w:hyperlink r:id="rId18" w:history="1">
        <w:r>
          <w:rPr>
            <w:rStyle w:val="Hyperlink"/>
            <w:rFonts w:ascii="Times New Roman" w:hAnsi="Times New Roman"/>
            <w:color w:val="auto"/>
          </w:rPr>
          <w:t>MAGPIE</w:t>
        </w:r>
      </w:hyperlink>
      <w:r>
        <w:rPr>
          <w:rFonts w:ascii="Times New Roman" w:hAnsi="Times New Roman"/>
        </w:rPr>
        <w:t xml:space="preserve">, </w:t>
      </w:r>
      <w:hyperlink r:id="rId19" w:history="1">
        <w:r>
          <w:rPr>
            <w:rStyle w:val="Hyperlink"/>
            <w:rFonts w:ascii="Times New Roman" w:hAnsi="Times New Roman"/>
            <w:color w:val="auto"/>
          </w:rPr>
          <w:t xml:space="preserve"> PIONEERS</w:t>
        </w:r>
      </w:hyperlink>
      <w:r>
        <w:rPr>
          <w:rFonts w:ascii="Times New Roman" w:hAnsi="Times New Roman"/>
        </w:rPr>
        <w:t>). Un budget supplémentaire de l’UE sera mis à disposition à la suite des appels relatifs à 2023 et 2024, par exemple 15 millions d’euros provenant du partenariat pour le transport par voie d’eau à émissions nulles, en faveur de solutions numériques en temps réel pour optimiser la navigation et les escales portuaires. D’autres actions en matière d’innovation et de numérisation portuaire pourraient également être envisagées dans le cadre des programmes de travail du pôle 5 d’Horizon Europe pour la période allant de 2025 à 2027.</w:t>
      </w:r>
    </w:p>
    <w:p w14:paraId="4305C9F4" w14:textId="618BC35B" w:rsidR="001545F8" w:rsidRPr="002127AB" w:rsidRDefault="003A6618" w:rsidP="00C06398">
      <w:pPr>
        <w:spacing w:after="120"/>
        <w:rPr>
          <w:rFonts w:ascii="Times New Roman" w:hAnsi="Times New Roman"/>
          <w:bCs/>
          <w:iCs/>
          <w:szCs w:val="24"/>
        </w:rPr>
      </w:pPr>
      <w:r>
        <w:rPr>
          <w:rFonts w:ascii="Times New Roman" w:hAnsi="Times New Roman"/>
          <w:snapToGrid w:val="0"/>
        </w:rPr>
        <w:t xml:space="preserve">En ce qui concerne le point 50 sur le </w:t>
      </w:r>
      <w:r>
        <w:rPr>
          <w:rFonts w:ascii="Times New Roman" w:hAnsi="Times New Roman"/>
          <w:b/>
          <w:snapToGrid w:val="0"/>
        </w:rPr>
        <w:t>financement des ports</w:t>
      </w:r>
      <w:r>
        <w:rPr>
          <w:rFonts w:ascii="Times New Roman" w:hAnsi="Times New Roman"/>
          <w:snapToGrid w:val="0"/>
        </w:rPr>
        <w:t>, cette question a été partiellement abordée dans la réponse de la Commission aux points 4 et 37. En outre, le mécanisme pour l’interconnexion en Europe (MIE) est l’un des principaux instruments de soutien aux ports visant à leur permettre de devenir plus écologiques et plus durables, et donc plus compétitifs. Par exemple, le MIE contribue au déploiement de l’infrastructure pour carburants alternatifs dans les ports et au développement de l’infrastructure portuaire. Le MIE contribue également au renforcement de la connectivité entre les ports RTE-T dans le cadre des autoroutes de la mer/de l’espace maritime européen. Depuis 2014, le MIE a financé le transport maritime et les ports à hauteur d’environ 2,2 milliards d’EUR. Parmi les autres instruments dont disposent les États membres et les ports maritimes figurent le financement de la BEI, le mécanisme pour les infrastructures pour carburants alternatifs ou le financement régional et de cohésion. Le financement public au niveau de l’UE et des États membres ne sera toutefois pas suffisant pour répondre aux besoins financiers importants du secteur. Cela souligne l’importance de garantir un cadre réglementaire propice aux investissements privés dans les ports.</w:t>
      </w:r>
    </w:p>
    <w:p w14:paraId="40AE819E" w14:textId="62975F6D" w:rsidR="00331405" w:rsidRPr="002127AB" w:rsidRDefault="00331405" w:rsidP="00C06398">
      <w:pPr>
        <w:widowControl w:val="0"/>
        <w:spacing w:after="120"/>
        <w:rPr>
          <w:rFonts w:ascii="Times New Roman" w:hAnsi="Times New Roman"/>
          <w:b/>
          <w:i/>
          <w:szCs w:val="24"/>
        </w:rPr>
      </w:pPr>
      <w:r>
        <w:rPr>
          <w:rFonts w:ascii="Times New Roman" w:hAnsi="Times New Roman"/>
          <w:b/>
          <w:i/>
        </w:rPr>
        <w:t>Conclusion</w:t>
      </w:r>
    </w:p>
    <w:p w14:paraId="0B0D7C32" w14:textId="2347F798" w:rsidR="003A6618" w:rsidRPr="002127AB" w:rsidRDefault="00087C96" w:rsidP="00C06398">
      <w:pPr>
        <w:spacing w:after="120"/>
        <w:rPr>
          <w:rFonts w:ascii="Times New Roman" w:hAnsi="Times New Roman"/>
          <w:bCs/>
          <w:iCs/>
          <w:szCs w:val="24"/>
        </w:rPr>
      </w:pPr>
      <w:r>
        <w:rPr>
          <w:rFonts w:ascii="Times New Roman" w:hAnsi="Times New Roman"/>
          <w:snapToGrid w:val="0"/>
        </w:rPr>
        <w:t xml:space="preserve">Comme le montrent les exemples mentionnés ci-dessus, l’Union européenne a déjà pris des mesures énergiques au cours du mandat actuel pour renforcer la compétitivité, la sécurité, la résilience et le contrôle de l’influence étrangère dans l’économie européenne, y compris dans les ports. Plusieurs initiatives sont également en place ou ont été lancées, visant à renforcer la position des ports européens, non seulement en termes d’exploitation et de compétitivité, mais aussi dans la transition écologique, notamment en tant que pôles importants pour la production et l’importation d’énergies propres, telles que l’énergie éolienne en mer et l’hydrogène. La Commission est déterminée à mettre pleinement en œuvre ces initiatives et outils. La Commission reste disposée à envisager des mesures supplémentaires si celles-ci sont équilibrées, respectent les règles de concurrence ainsi que </w:t>
      </w:r>
      <w:r>
        <w:rPr>
          <w:rFonts w:ascii="Times New Roman" w:hAnsi="Times New Roman"/>
          <w:snapToGrid w:val="0"/>
        </w:rPr>
        <w:lastRenderedPageBreak/>
        <w:t>les obligations et accords internationaux et peuvent apporter une valeur ajoutée manifeste aux stratégies et outils existants sans alourdir la charge administrative excessive. Toutefois, toute nouvelle initiative de ce type serait prise par la prochaine Commission et nécessiterait une préparation approfondie, notamment une consultation des parties prenantes et d’éventuelles analyses d’impact.</w:t>
      </w:r>
    </w:p>
    <w:sectPr w:rsidR="003A6618" w:rsidRPr="002127AB" w:rsidSect="000A07D2">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20DC5" w14:textId="77777777" w:rsidR="002801F6" w:rsidRDefault="002801F6">
      <w:r>
        <w:separator/>
      </w:r>
    </w:p>
  </w:endnote>
  <w:endnote w:type="continuationSeparator" w:id="0">
    <w:p w14:paraId="5FE6B297" w14:textId="77777777" w:rsidR="002801F6" w:rsidRDefault="002801F6">
      <w:r>
        <w:continuationSeparator/>
      </w:r>
    </w:p>
  </w:endnote>
  <w:endnote w:type="continuationNotice" w:id="1">
    <w:p w14:paraId="2BCB97A0" w14:textId="77777777" w:rsidR="002801F6" w:rsidRDefault="002801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1DBA"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00885BF7"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CBB54"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D246D">
      <w:rPr>
        <w:rStyle w:val="PageNumber"/>
      </w:rPr>
      <w:t>2</w:t>
    </w:r>
    <w:r>
      <w:rPr>
        <w:rStyle w:val="PageNumber"/>
      </w:rPr>
      <w:fldChar w:fldCharType="end"/>
    </w:r>
  </w:p>
  <w:p w14:paraId="185B6CBB"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623200"/>
      <w:docPartObj>
        <w:docPartGallery w:val="Page Numbers (Bottom of Page)"/>
        <w:docPartUnique/>
      </w:docPartObj>
    </w:sdtPr>
    <w:sdtEndPr>
      <w:rPr>
        <w:noProof/>
      </w:rPr>
    </w:sdtEndPr>
    <w:sdtContent>
      <w:p w14:paraId="23903599" w14:textId="1A39C7AF" w:rsidR="007F1044" w:rsidRDefault="007F1044">
        <w:pPr>
          <w:pStyle w:val="Footer"/>
          <w:jc w:val="right"/>
        </w:pPr>
        <w:r>
          <w:fldChar w:fldCharType="begin"/>
        </w:r>
        <w:r>
          <w:instrText xml:space="preserve"> PAGE   \* MERGEFORMAT </w:instrText>
        </w:r>
        <w:r>
          <w:fldChar w:fldCharType="separate"/>
        </w:r>
        <w:r>
          <w:t>2</w:t>
        </w:r>
        <w:r>
          <w:fldChar w:fldCharType="end"/>
        </w:r>
      </w:p>
    </w:sdtContent>
  </w:sdt>
  <w:p w14:paraId="3AF4FFDF" w14:textId="704BB5F4" w:rsidR="005E6EC2" w:rsidRDefault="005E6EC2"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D26D5" w14:textId="77777777" w:rsidR="002801F6" w:rsidRDefault="002801F6">
      <w:r>
        <w:separator/>
      </w:r>
    </w:p>
  </w:footnote>
  <w:footnote w:type="continuationSeparator" w:id="0">
    <w:p w14:paraId="3A3DFE7F" w14:textId="77777777" w:rsidR="002801F6" w:rsidRDefault="002801F6">
      <w:r>
        <w:continuationSeparator/>
      </w:r>
    </w:p>
  </w:footnote>
  <w:footnote w:type="continuationNotice" w:id="1">
    <w:p w14:paraId="3048CB8C" w14:textId="77777777" w:rsidR="002801F6" w:rsidRDefault="002801F6">
      <w:pPr>
        <w:spacing w:after="0"/>
      </w:pPr>
    </w:p>
  </w:footnote>
  <w:footnote w:id="2">
    <w:p w14:paraId="592EC788" w14:textId="3B28DF6B" w:rsidR="001C430E" w:rsidRPr="001C430E" w:rsidRDefault="001C430E" w:rsidP="00882BD3">
      <w:pPr>
        <w:pStyle w:val="FootnoteText"/>
        <w:spacing w:after="0"/>
      </w:pPr>
      <w:r>
        <w:rPr>
          <w:rStyle w:val="FootnoteReference"/>
        </w:rPr>
        <w:footnoteRef/>
      </w:r>
      <w:r>
        <w:t xml:space="preserve"> </w:t>
      </w:r>
      <w:r>
        <w:tab/>
      </w:r>
      <w:r>
        <w:rPr>
          <w:rFonts w:ascii="Times New Roman" w:hAnsi="Times New Roman"/>
          <w:color w:val="333333"/>
          <w:shd w:val="clear" w:color="auto" w:fill="FFFFFF"/>
        </w:rPr>
        <w:t>COM/2021/812 final</w:t>
      </w:r>
    </w:p>
  </w:footnote>
  <w:footnote w:id="3">
    <w:p w14:paraId="45490113" w14:textId="7275BCA7" w:rsidR="000216CB" w:rsidRPr="000216CB" w:rsidRDefault="000216CB"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règlement (UE) 2017/352 du 15 février 2017 établissant un cadre pour la fourniture de services portuaires et des règles communes relatives à la transparence financière des ports.</w:t>
      </w:r>
    </w:p>
  </w:footnote>
  <w:footnote w:id="4">
    <w:p w14:paraId="3F2DC2DA" w14:textId="29D33773" w:rsidR="00D64B33" w:rsidRPr="00D64B33" w:rsidRDefault="00D64B33"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Règlement (CE) n° 725/2004 du 31 mars 2004 relatif à l’amélioration de la sûreté des navires et des installations portuaires et directive 2005/65/CE du 26 octobre 2005 relative à l’amélioration de la sûreté des ports.</w:t>
      </w:r>
    </w:p>
  </w:footnote>
  <w:footnote w:id="5">
    <w:p w14:paraId="666F7EC4" w14:textId="5B977147" w:rsidR="00C57E72" w:rsidRPr="00C57E72" w:rsidRDefault="00C57E7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Directive 89/391/CEE du Conseil du 12 juin 1989 concernant la mise en œuvre de mesures visant à promouvoir l’amélioration de la sécurité et de la santé des travailleurs au travail (JO L 183 du 29.6.1989, p. 1).</w:t>
      </w:r>
    </w:p>
  </w:footnote>
  <w:footnote w:id="6">
    <w:p w14:paraId="5E5F100D" w14:textId="5BE19233" w:rsidR="00C57E72" w:rsidRPr="00613927" w:rsidRDefault="00C57E7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Directive 92/29/CEE du Conseil, du 31 mars 1992, concernant les prescriptions minimales de sécurité et de santé pour promouvoir une meilleure assistance médicale à bord des navires (JO L 113 du 30.4.1992, p. 19).</w:t>
      </w:r>
    </w:p>
  </w:footnote>
  <w:footnote w:id="7">
    <w:p w14:paraId="7FF79D4F" w14:textId="77B28D75" w:rsidR="00C57E72" w:rsidRPr="00613927" w:rsidRDefault="00C57E7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Directive 93/103/EC du 23 novembre 1993 du Conseil concernant les prescriptions minimales de sécurité et de santé au travail à bord des navires de pêche (JO L 307 du 13.12.1993, p.1).</w:t>
      </w:r>
    </w:p>
  </w:footnote>
  <w:footnote w:id="8">
    <w:p w14:paraId="595AD0B1" w14:textId="17E9C707" w:rsidR="00C57E72" w:rsidRPr="00613927" w:rsidRDefault="00C57E7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Directive 90/269/CEE du Conseil du 29 mai 1990 concernant les prescriptions minimales de sécurité et de santé relatives à la manutention manuelle de charges comportant des risques, notamment dorso-lombaires, pour les travailleurs (JO L 156 du 21.6.1990, p.9)</w:t>
      </w:r>
    </w:p>
  </w:footnote>
  <w:footnote w:id="9">
    <w:p w14:paraId="0C04ECD9" w14:textId="54F862F7" w:rsidR="00C57E72" w:rsidRPr="00613927" w:rsidRDefault="00C57E7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 xml:space="preserve">Directive 2009/104/CE du Parlement européen et du Conseil du 16 septembre 2009 concernant les prescriptions minimales de sécurité et de santé pour l’utilisation par les travailleurs au travail d’équipements de </w:t>
      </w:r>
      <w:proofErr w:type="gramStart"/>
      <w:r>
        <w:rPr>
          <w:rFonts w:ascii="Times New Roman" w:hAnsi="Times New Roman"/>
        </w:rPr>
        <w:t>travail(</w:t>
      </w:r>
      <w:proofErr w:type="gramEnd"/>
      <w:r>
        <w:rPr>
          <w:rFonts w:ascii="Times New Roman" w:hAnsi="Times New Roman"/>
        </w:rPr>
        <w:t>JO L 260 du 3.10.2009, p. 5).</w:t>
      </w:r>
    </w:p>
  </w:footnote>
  <w:footnote w:id="10">
    <w:p w14:paraId="33FEEC71" w14:textId="615F3C6F" w:rsidR="00C57E72" w:rsidRPr="00613927" w:rsidRDefault="00C57E7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Directive 89/656/CEE du Conseil du 30 novembre 1989 concernant les prescriptions minimales de sécurité et de santé pour l</w:t>
      </w:r>
      <w:r w:rsidR="00690ACA">
        <w:rPr>
          <w:rFonts w:ascii="Times New Roman" w:hAnsi="Times New Roman"/>
        </w:rPr>
        <w:t>’</w:t>
      </w:r>
      <w:r>
        <w:rPr>
          <w:rFonts w:ascii="Times New Roman" w:hAnsi="Times New Roman"/>
        </w:rPr>
        <w:t>utilisation par les travailleurs au travail d</w:t>
      </w:r>
      <w:r w:rsidR="00690ACA">
        <w:rPr>
          <w:rFonts w:ascii="Times New Roman" w:hAnsi="Times New Roman"/>
        </w:rPr>
        <w:t>’</w:t>
      </w:r>
      <w:r>
        <w:rPr>
          <w:rFonts w:ascii="Times New Roman" w:hAnsi="Times New Roman"/>
        </w:rPr>
        <w:t>équipements de protection individuelle (JO L 393 du 30.12.1989, p. 18).</w:t>
      </w:r>
    </w:p>
  </w:footnote>
  <w:footnote w:id="11">
    <w:p w14:paraId="55C179F3" w14:textId="5E14EFFA" w:rsidR="00C57E72" w:rsidRPr="00613927" w:rsidRDefault="00C57E7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ab/>
        <w:t>Directive 2002/44/CE du Parlement européen et du Conseil du 25 juin 2002 concernant les prescriptions minimales de sécurité et de santé relatives à l</w:t>
      </w:r>
      <w:r w:rsidR="00690ACA">
        <w:rPr>
          <w:rFonts w:ascii="Times New Roman" w:hAnsi="Times New Roman"/>
        </w:rPr>
        <w:t>’</w:t>
      </w:r>
      <w:r>
        <w:rPr>
          <w:rFonts w:ascii="Times New Roman" w:hAnsi="Times New Roman"/>
        </w:rPr>
        <w:t>exposition des travailleurs aux risques dus aux agents physiques (vibrations) (JO L 177 du 6.7.2002, p. 13).</w:t>
      </w:r>
    </w:p>
  </w:footnote>
  <w:footnote w:id="12">
    <w:p w14:paraId="7A704361" w14:textId="1B8E3545" w:rsidR="00C57E72" w:rsidRPr="00613927" w:rsidRDefault="00C57E7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Directive 2003/10/CE du Parlement européen et du Conseil du 6 février 2003 concernant les prescriptions minimales de sécurité et de santé relatives à l</w:t>
      </w:r>
      <w:r w:rsidR="00690ACA">
        <w:rPr>
          <w:rFonts w:ascii="Times New Roman" w:hAnsi="Times New Roman"/>
        </w:rPr>
        <w:t>’</w:t>
      </w:r>
      <w:r>
        <w:rPr>
          <w:rFonts w:ascii="Times New Roman" w:hAnsi="Times New Roman"/>
        </w:rPr>
        <w:t>exposition des travailleurs aux risques dus aux agents physiques (bruit) (JO L 42 du 15.2.2003, p. 38).</w:t>
      </w:r>
    </w:p>
  </w:footnote>
  <w:footnote w:id="13">
    <w:p w14:paraId="1AE07719" w14:textId="54B0A1AE" w:rsidR="00DB5942" w:rsidRPr="00690ACA" w:rsidRDefault="00DB5942" w:rsidP="00882BD3">
      <w:pPr>
        <w:pStyle w:val="FootnoteText"/>
        <w:spacing w:after="0"/>
        <w:rPr>
          <w:rFonts w:ascii="Times New Roman" w:hAnsi="Times New Roman"/>
          <w:lang w:val="en-IE"/>
        </w:rPr>
      </w:pPr>
      <w:r>
        <w:rPr>
          <w:rStyle w:val="FootnoteReference"/>
          <w:rFonts w:ascii="Times New Roman" w:hAnsi="Times New Roman"/>
        </w:rPr>
        <w:footnoteRef/>
      </w:r>
      <w:proofErr w:type="gramStart"/>
      <w:r w:rsidRPr="00690ACA">
        <w:rPr>
          <w:rFonts w:ascii="Times New Roman" w:hAnsi="Times New Roman"/>
          <w:lang w:val="en-IE"/>
        </w:rPr>
        <w:t>COM(</w:t>
      </w:r>
      <w:proofErr w:type="gramEnd"/>
      <w:r w:rsidRPr="00690ACA">
        <w:rPr>
          <w:rFonts w:ascii="Times New Roman" w:hAnsi="Times New Roman"/>
          <w:lang w:val="en-IE"/>
        </w:rPr>
        <w:t>2023) 8067 final.</w:t>
      </w:r>
    </w:p>
  </w:footnote>
  <w:footnote w:id="14">
    <w:p w14:paraId="553F5C0A" w14:textId="79015939" w:rsidR="00DB5942" w:rsidRPr="00690ACA" w:rsidRDefault="00DB5942" w:rsidP="00882BD3">
      <w:pPr>
        <w:pStyle w:val="FootnoteText"/>
        <w:spacing w:after="0"/>
        <w:rPr>
          <w:rFonts w:ascii="Times New Roman" w:hAnsi="Times New Roman"/>
          <w:lang w:val="en-IE"/>
        </w:rPr>
      </w:pPr>
      <w:r>
        <w:rPr>
          <w:rStyle w:val="FootnoteReference"/>
          <w:rFonts w:ascii="Times New Roman" w:hAnsi="Times New Roman"/>
        </w:rPr>
        <w:footnoteRef/>
      </w:r>
      <w:r w:rsidRPr="00690ACA">
        <w:rPr>
          <w:rFonts w:ascii="Times New Roman" w:hAnsi="Times New Roman"/>
          <w:lang w:val="en-IE"/>
        </w:rPr>
        <w:t xml:space="preserve"> </w:t>
      </w:r>
      <w:r w:rsidRPr="00690ACA">
        <w:rPr>
          <w:rFonts w:ascii="Times New Roman" w:hAnsi="Times New Roman"/>
          <w:lang w:val="en-IE"/>
        </w:rPr>
        <w:tab/>
      </w:r>
      <w:hyperlink r:id="rId1" w:history="1">
        <w:r w:rsidRPr="00690ACA">
          <w:rPr>
            <w:rStyle w:val="Hyperlink"/>
            <w:rFonts w:ascii="Times New Roman" w:hAnsi="Times New Roman"/>
            <w:lang w:val="en-IE"/>
          </w:rPr>
          <w:t>D&amp;I Honours 2024 |</w:t>
        </w:r>
      </w:hyperlink>
      <w:hyperlink r:id="rId2" w:history="1">
        <w:r w:rsidRPr="00690ACA">
          <w:rPr>
            <w:rStyle w:val="Hyperlink"/>
            <w:rFonts w:ascii="Times New Roman" w:hAnsi="Times New Roman"/>
            <w:lang w:val="en-IE"/>
          </w:rPr>
          <w:t xml:space="preserve"> </w:t>
        </w:r>
        <w:proofErr w:type="spellStart"/>
        <w:r w:rsidRPr="00690ACA">
          <w:rPr>
            <w:rStyle w:val="Hyperlink"/>
            <w:rFonts w:ascii="Times New Roman" w:hAnsi="Times New Roman"/>
            <w:lang w:val="en-IE"/>
          </w:rPr>
          <w:t>Wista</w:t>
        </w:r>
        <w:proofErr w:type="spellEnd"/>
        <w:r w:rsidRPr="00690ACA">
          <w:rPr>
            <w:rStyle w:val="Hyperlink"/>
            <w:rFonts w:ascii="Times New Roman" w:hAnsi="Times New Roman"/>
            <w:lang w:val="en-IE"/>
          </w:rPr>
          <w:t xml:space="preserve"> Belgium</w:t>
        </w:r>
      </w:hyperlink>
      <w:r w:rsidRPr="00690ACA">
        <w:rPr>
          <w:rFonts w:ascii="Times New Roman" w:hAnsi="Times New Roman"/>
          <w:lang w:val="en-IE"/>
        </w:rPr>
        <w:t>.</w:t>
      </w:r>
    </w:p>
  </w:footnote>
  <w:footnote w:id="15">
    <w:p w14:paraId="7ABABE5A" w14:textId="457334CE" w:rsidR="00DB5942" w:rsidRPr="00DA03E9" w:rsidRDefault="00DB594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Commission européenne, Direction générale de la mobilité et des transports, </w:t>
      </w:r>
      <w:r>
        <w:rPr>
          <w:rFonts w:ascii="Times New Roman" w:hAnsi="Times New Roman"/>
          <w:i/>
        </w:rPr>
        <w:t xml:space="preserve">Good staff planning and </w:t>
      </w:r>
      <w:proofErr w:type="spellStart"/>
      <w:r>
        <w:rPr>
          <w:rFonts w:ascii="Times New Roman" w:hAnsi="Times New Roman"/>
          <w:i/>
        </w:rPr>
        <w:t>rostering</w:t>
      </w:r>
      <w:proofErr w:type="spellEnd"/>
      <w:r>
        <w:rPr>
          <w:rFonts w:ascii="Times New Roman" w:hAnsi="Times New Roman"/>
          <w:i/>
        </w:rPr>
        <w:t xml:space="preserve"> practices in transport – Final report</w:t>
      </w:r>
      <w:r>
        <w:rPr>
          <w:rFonts w:ascii="Times New Roman" w:hAnsi="Times New Roman"/>
        </w:rPr>
        <w:t>, Office des publications de l’Union européenne, 2021</w:t>
      </w:r>
      <w:r>
        <w:t xml:space="preserve">, </w:t>
      </w:r>
      <w:hyperlink r:id="rId3" w:history="1">
        <w:r>
          <w:rPr>
            <w:rStyle w:val="Hyperlink"/>
            <w:rFonts w:ascii="Times New Roman" w:hAnsi="Times New Roman"/>
          </w:rPr>
          <w:t>https:// data.europa.eu/</w:t>
        </w:r>
        <w:proofErr w:type="spellStart"/>
        <w:r>
          <w:rPr>
            <w:rStyle w:val="Hyperlink"/>
            <w:rFonts w:ascii="Times New Roman" w:hAnsi="Times New Roman"/>
          </w:rPr>
          <w:t>doi</w:t>
        </w:r>
        <w:proofErr w:type="spellEnd"/>
        <w:r>
          <w:rPr>
            <w:rStyle w:val="Hyperlink"/>
            <w:rFonts w:ascii="Times New Roman" w:hAnsi="Times New Roman"/>
          </w:rPr>
          <w:t>/10.2832/679675</w:t>
        </w:r>
      </w:hyperlink>
      <w:r>
        <w:rPr>
          <w:rFonts w:ascii="Times New Roman" w:hAnsi="Times New Roman"/>
        </w:rPr>
        <w:t>.</w:t>
      </w:r>
    </w:p>
  </w:footnote>
  <w:footnote w:id="16">
    <w:p w14:paraId="692570EA" w14:textId="1737743E" w:rsidR="00DB5942" w:rsidRPr="00DA03E9" w:rsidRDefault="00DB5942"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Commission européenne, direction générale de la mobilité et des transports, </w:t>
      </w:r>
      <w:proofErr w:type="spellStart"/>
      <w:r>
        <w:rPr>
          <w:rFonts w:ascii="Times New Roman" w:hAnsi="Times New Roman"/>
        </w:rPr>
        <w:t>Giannelos</w:t>
      </w:r>
      <w:proofErr w:type="spellEnd"/>
      <w:r>
        <w:rPr>
          <w:rFonts w:ascii="Times New Roman" w:hAnsi="Times New Roman"/>
        </w:rPr>
        <w:t xml:space="preserve">, I., Smit, G., Gonzalez Martinez, A. et al., </w:t>
      </w:r>
      <w:r>
        <w:rPr>
          <w:rFonts w:ascii="Times New Roman" w:hAnsi="Times New Roman"/>
          <w:i/>
        </w:rPr>
        <w:t xml:space="preserve">Business case to </w:t>
      </w:r>
      <w:proofErr w:type="spellStart"/>
      <w:r>
        <w:rPr>
          <w:rFonts w:ascii="Times New Roman" w:hAnsi="Times New Roman"/>
          <w:i/>
        </w:rPr>
        <w:t>increase</w:t>
      </w:r>
      <w:proofErr w:type="spellEnd"/>
      <w:r>
        <w:rPr>
          <w:rFonts w:ascii="Times New Roman" w:hAnsi="Times New Roman"/>
          <w:i/>
        </w:rPr>
        <w:t xml:space="preserve"> </w:t>
      </w:r>
      <w:proofErr w:type="spellStart"/>
      <w:r>
        <w:rPr>
          <w:rFonts w:ascii="Times New Roman" w:hAnsi="Times New Roman"/>
          <w:i/>
        </w:rPr>
        <w:t>women</w:t>
      </w:r>
      <w:proofErr w:type="spellEnd"/>
      <w:r>
        <w:rPr>
          <w:rFonts w:ascii="Times New Roman" w:hAnsi="Times New Roman"/>
          <w:i/>
        </w:rPr>
        <w:t xml:space="preserve"> </w:t>
      </w:r>
      <w:proofErr w:type="spellStart"/>
      <w:r>
        <w:rPr>
          <w:rFonts w:ascii="Times New Roman" w:hAnsi="Times New Roman"/>
          <w:i/>
        </w:rPr>
        <w:t>employment</w:t>
      </w:r>
      <w:proofErr w:type="spellEnd"/>
      <w:r>
        <w:rPr>
          <w:rFonts w:ascii="Times New Roman" w:hAnsi="Times New Roman"/>
          <w:i/>
        </w:rPr>
        <w:t xml:space="preserve"> in transport – Final report</w:t>
      </w:r>
      <w:r>
        <w:rPr>
          <w:rFonts w:ascii="Times New Roman" w:hAnsi="Times New Roman"/>
        </w:rPr>
        <w:t>, Office des publications, 2019,</w:t>
      </w:r>
      <w:hyperlink r:id="rId4" w:history="1">
        <w:r>
          <w:rPr>
            <w:rStyle w:val="Hyperlink"/>
            <w:rFonts w:ascii="Times New Roman" w:hAnsi="Times New Roman"/>
          </w:rPr>
          <w:t xml:space="preserve"> https:// data.europa.eu/</w:t>
        </w:r>
        <w:proofErr w:type="spellStart"/>
        <w:r>
          <w:rPr>
            <w:rStyle w:val="Hyperlink"/>
            <w:rFonts w:ascii="Times New Roman" w:hAnsi="Times New Roman"/>
          </w:rPr>
          <w:t>doi</w:t>
        </w:r>
        <w:proofErr w:type="spellEnd"/>
        <w:r>
          <w:rPr>
            <w:rStyle w:val="Hyperlink"/>
            <w:rFonts w:ascii="Times New Roman" w:hAnsi="Times New Roman"/>
          </w:rPr>
          <w:t>/10.2832/93598</w:t>
        </w:r>
      </w:hyperlink>
      <w:r>
        <w:rPr>
          <w:rFonts w:ascii="Times New Roman" w:hAnsi="Times New Roman"/>
        </w:rPr>
        <w:t>.</w:t>
      </w:r>
    </w:p>
  </w:footnote>
  <w:footnote w:id="17">
    <w:p w14:paraId="14CE295C" w14:textId="0D25F2BC" w:rsidR="0007413C" w:rsidRPr="00DA03E9" w:rsidRDefault="0007413C" w:rsidP="00882BD3">
      <w:pPr>
        <w:pStyle w:val="FootnoteText"/>
        <w:spacing w:after="0"/>
        <w:rPr>
          <w:rFonts w:ascii="Times New Roman" w:hAnsi="Times New Roman"/>
        </w:rPr>
      </w:pPr>
      <w:r>
        <w:rPr>
          <w:rStyle w:val="FootnoteReference"/>
        </w:rPr>
        <w:footnoteRef/>
      </w:r>
      <w:r>
        <w:tab/>
      </w:r>
      <w:hyperlink r:id="rId5" w:history="1">
        <w:r>
          <w:rPr>
            <w:rStyle w:val="Hyperlink"/>
            <w:rFonts w:ascii="Times New Roman" w:hAnsi="Times New Roman"/>
            <w:color w:val="auto"/>
          </w:rPr>
          <w:t>EUR-Lex - 52021SC0601 - EN - EUR-Lex (europa.eu)</w:t>
        </w:r>
      </w:hyperlink>
      <w:r>
        <w:t xml:space="preserve"> </w:t>
      </w:r>
      <w:r w:rsidR="00690ACA">
        <w:rPr>
          <w:rFonts w:ascii="Times New Roman" w:hAnsi="Times New Roman"/>
        </w:rPr>
        <w:t>—</w:t>
      </w:r>
      <w:r>
        <w:rPr>
          <w:rFonts w:ascii="Times New Roman" w:hAnsi="Times New Roman"/>
        </w:rPr>
        <w:t xml:space="preserve"> voir en particulier la </w:t>
      </w:r>
      <w:r>
        <w:rPr>
          <w:rFonts w:ascii="Times New Roman" w:hAnsi="Times New Roman"/>
          <w:u w:val="single"/>
        </w:rPr>
        <w:t>section 6.2</w:t>
      </w:r>
      <w:r>
        <w:rPr>
          <w:rFonts w:ascii="Times New Roman" w:hAnsi="Times New Roman"/>
        </w:rPr>
        <w:t xml:space="preserve"> de l’analyse d’impact (dans le</w:t>
      </w:r>
      <w:proofErr w:type="gramStart"/>
      <w:r>
        <w:rPr>
          <w:rFonts w:ascii="Times New Roman" w:hAnsi="Times New Roman"/>
        </w:rPr>
        <w:t xml:space="preserve"> «document</w:t>
      </w:r>
      <w:proofErr w:type="gramEnd"/>
      <w:r>
        <w:rPr>
          <w:rFonts w:ascii="Times New Roman" w:hAnsi="Times New Roman"/>
        </w:rPr>
        <w:t xml:space="preserve"> 1»)</w:t>
      </w:r>
    </w:p>
  </w:footnote>
  <w:footnote w:id="18">
    <w:p w14:paraId="0E594B78" w14:textId="151B340C" w:rsidR="00882BD3" w:rsidRPr="00DA03E9" w:rsidRDefault="0007413C"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6" w:history="1">
        <w:r>
          <w:rPr>
            <w:rStyle w:val="Hyperlink"/>
            <w:rFonts w:ascii="Times New Roman" w:hAnsi="Times New Roman"/>
          </w:rPr>
          <w:t>https://international-partnerships.ec.europa.eu/policies/global-gateway/initiatives-region_en?prefLang=fr</w:t>
        </w:r>
      </w:hyperlink>
    </w:p>
  </w:footnote>
  <w:footnote w:id="19">
    <w:p w14:paraId="0BA3080E" w14:textId="4A41EED4" w:rsidR="00882BD3" w:rsidRPr="00DA03E9" w:rsidRDefault="00A13F0B"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7" w:history="1">
        <w:r>
          <w:rPr>
            <w:rStyle w:val="Hyperlink"/>
            <w:rFonts w:ascii="Times New Roman" w:hAnsi="Times New Roman"/>
          </w:rPr>
          <w:t>https://eur-lex.europa.eu/legal-content/FR/TXT/?uri=CELEX:52021DC0350</w:t>
        </w:r>
      </w:hyperlink>
    </w:p>
  </w:footnote>
  <w:footnote w:id="20">
    <w:p w14:paraId="257C30CD" w14:textId="21A08302" w:rsidR="00882BD3" w:rsidRPr="00DA03E9" w:rsidRDefault="00A13F0B" w:rsidP="00882BD3">
      <w:pPr>
        <w:pStyle w:val="FootnoteText"/>
        <w:spacing w:after="0"/>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w:history="1">
        <w:r>
          <w:rPr>
            <w:rStyle w:val="Hyperlink"/>
            <w:rFonts w:ascii="Times New Roman" w:hAnsi="Times New Roman"/>
          </w:rPr>
          <w:t>https://single-market-economy.ec.europa.eu/sectors/chemicals/transition-pathway_en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E1B6" w14:textId="77777777" w:rsidR="007F1044" w:rsidRDefault="007F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EDE6" w14:textId="77777777" w:rsidR="007F1044" w:rsidRDefault="007F10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DCD8" w14:textId="77777777" w:rsidR="007F1044" w:rsidRDefault="007F1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A7A6891"/>
    <w:multiLevelType w:val="hybridMultilevel"/>
    <w:tmpl w:val="90EE75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C6B708B"/>
    <w:multiLevelType w:val="multilevel"/>
    <w:tmpl w:val="A4642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5"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8"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C3C0502"/>
    <w:multiLevelType w:val="hybridMultilevel"/>
    <w:tmpl w:val="B3CC0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80E603E"/>
    <w:multiLevelType w:val="hybridMultilevel"/>
    <w:tmpl w:val="C66A48E8"/>
    <w:lvl w:ilvl="0" w:tplc="FFFFFFFF">
      <w:start w:val="1"/>
      <w:numFmt w:val="decimal"/>
      <w:lvlText w:val="%1."/>
      <w:lvlJc w:val="left"/>
      <w:pPr>
        <w:ind w:left="720" w:hanging="720"/>
      </w:pPr>
      <w:rPr>
        <w:rFonts w:hint="default"/>
        <w:b/>
        <w:i w:val="0"/>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46C1691"/>
    <w:multiLevelType w:val="hybridMultilevel"/>
    <w:tmpl w:val="014C1D4E"/>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6E7E56"/>
    <w:multiLevelType w:val="multilevel"/>
    <w:tmpl w:val="155A934A"/>
    <w:lvl w:ilvl="0">
      <w:start w:val="1"/>
      <w:numFmt w:val="decimal"/>
      <w:lvlText w:val="%1."/>
      <w:lvlJc w:val="left"/>
      <w:pPr>
        <w:tabs>
          <w:tab w:val="num" w:pos="558"/>
        </w:tabs>
        <w:ind w:left="558" w:hanging="360"/>
      </w:pPr>
    </w:lvl>
    <w:lvl w:ilvl="1" w:tentative="1">
      <w:start w:val="1"/>
      <w:numFmt w:val="decimal"/>
      <w:lvlText w:val="%2."/>
      <w:lvlJc w:val="left"/>
      <w:pPr>
        <w:tabs>
          <w:tab w:val="num" w:pos="1278"/>
        </w:tabs>
        <w:ind w:left="1278" w:hanging="360"/>
      </w:pPr>
    </w:lvl>
    <w:lvl w:ilvl="2" w:tentative="1">
      <w:start w:val="1"/>
      <w:numFmt w:val="decimal"/>
      <w:lvlText w:val="%3."/>
      <w:lvlJc w:val="left"/>
      <w:pPr>
        <w:tabs>
          <w:tab w:val="num" w:pos="1998"/>
        </w:tabs>
        <w:ind w:left="1998" w:hanging="360"/>
      </w:pPr>
    </w:lvl>
    <w:lvl w:ilvl="3" w:tentative="1">
      <w:start w:val="1"/>
      <w:numFmt w:val="decimal"/>
      <w:lvlText w:val="%4."/>
      <w:lvlJc w:val="left"/>
      <w:pPr>
        <w:tabs>
          <w:tab w:val="num" w:pos="2718"/>
        </w:tabs>
        <w:ind w:left="2718" w:hanging="360"/>
      </w:pPr>
    </w:lvl>
    <w:lvl w:ilvl="4" w:tentative="1">
      <w:start w:val="1"/>
      <w:numFmt w:val="decimal"/>
      <w:lvlText w:val="%5."/>
      <w:lvlJc w:val="left"/>
      <w:pPr>
        <w:tabs>
          <w:tab w:val="num" w:pos="3438"/>
        </w:tabs>
        <w:ind w:left="3438" w:hanging="360"/>
      </w:pPr>
    </w:lvl>
    <w:lvl w:ilvl="5" w:tentative="1">
      <w:start w:val="1"/>
      <w:numFmt w:val="decimal"/>
      <w:lvlText w:val="%6."/>
      <w:lvlJc w:val="left"/>
      <w:pPr>
        <w:tabs>
          <w:tab w:val="num" w:pos="4158"/>
        </w:tabs>
        <w:ind w:left="4158" w:hanging="360"/>
      </w:pPr>
    </w:lvl>
    <w:lvl w:ilvl="6" w:tentative="1">
      <w:start w:val="1"/>
      <w:numFmt w:val="decimal"/>
      <w:lvlText w:val="%7."/>
      <w:lvlJc w:val="left"/>
      <w:pPr>
        <w:tabs>
          <w:tab w:val="num" w:pos="4878"/>
        </w:tabs>
        <w:ind w:left="4878" w:hanging="360"/>
      </w:pPr>
    </w:lvl>
    <w:lvl w:ilvl="7" w:tentative="1">
      <w:start w:val="1"/>
      <w:numFmt w:val="decimal"/>
      <w:lvlText w:val="%8."/>
      <w:lvlJc w:val="left"/>
      <w:pPr>
        <w:tabs>
          <w:tab w:val="num" w:pos="5598"/>
        </w:tabs>
        <w:ind w:left="5598" w:hanging="360"/>
      </w:pPr>
    </w:lvl>
    <w:lvl w:ilvl="8" w:tentative="1">
      <w:start w:val="1"/>
      <w:numFmt w:val="decimal"/>
      <w:lvlText w:val="%9."/>
      <w:lvlJc w:val="left"/>
      <w:pPr>
        <w:tabs>
          <w:tab w:val="num" w:pos="6318"/>
        </w:tabs>
        <w:ind w:left="6318" w:hanging="360"/>
      </w:pPr>
    </w:lvl>
  </w:abstractNum>
  <w:abstractNum w:abstractNumId="35"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7"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1182672168">
    <w:abstractNumId w:val="6"/>
  </w:num>
  <w:num w:numId="2" w16cid:durableId="1731419247">
    <w:abstractNumId w:val="1"/>
  </w:num>
  <w:num w:numId="3" w16cid:durableId="770929542">
    <w:abstractNumId w:val="36"/>
  </w:num>
  <w:num w:numId="4" w16cid:durableId="810947831">
    <w:abstractNumId w:val="14"/>
  </w:num>
  <w:num w:numId="5" w16cid:durableId="437523508">
    <w:abstractNumId w:val="28"/>
  </w:num>
  <w:num w:numId="6" w16cid:durableId="890962466">
    <w:abstractNumId w:val="12"/>
  </w:num>
  <w:num w:numId="7" w16cid:durableId="1927500062">
    <w:abstractNumId w:val="5"/>
  </w:num>
  <w:num w:numId="8" w16cid:durableId="634918359">
    <w:abstractNumId w:val="17"/>
  </w:num>
  <w:num w:numId="9" w16cid:durableId="828833886">
    <w:abstractNumId w:val="35"/>
  </w:num>
  <w:num w:numId="10" w16cid:durableId="1046027966">
    <w:abstractNumId w:val="24"/>
  </w:num>
  <w:num w:numId="11" w16cid:durableId="484664273">
    <w:abstractNumId w:val="26"/>
  </w:num>
  <w:num w:numId="12" w16cid:durableId="2092509106">
    <w:abstractNumId w:val="13"/>
  </w:num>
  <w:num w:numId="13" w16cid:durableId="368725495">
    <w:abstractNumId w:val="18"/>
  </w:num>
  <w:num w:numId="14" w16cid:durableId="479271977">
    <w:abstractNumId w:val="30"/>
  </w:num>
  <w:num w:numId="15" w16cid:durableId="1792741200">
    <w:abstractNumId w:val="16"/>
  </w:num>
  <w:num w:numId="16" w16cid:durableId="1227378138">
    <w:abstractNumId w:val="37"/>
  </w:num>
  <w:num w:numId="17" w16cid:durableId="718364123">
    <w:abstractNumId w:val="33"/>
  </w:num>
  <w:num w:numId="18" w16cid:durableId="668020715">
    <w:abstractNumId w:val="21"/>
  </w:num>
  <w:num w:numId="19" w16cid:durableId="818695808">
    <w:abstractNumId w:val="22"/>
  </w:num>
  <w:num w:numId="20" w16cid:durableId="947388835">
    <w:abstractNumId w:val="27"/>
  </w:num>
  <w:num w:numId="21" w16cid:durableId="1476097278">
    <w:abstractNumId w:val="3"/>
  </w:num>
  <w:num w:numId="22" w16cid:durableId="1353147744">
    <w:abstractNumId w:val="4"/>
  </w:num>
  <w:num w:numId="23" w16cid:durableId="1779593453">
    <w:abstractNumId w:val="20"/>
  </w:num>
  <w:num w:numId="24" w16cid:durableId="1889299408">
    <w:abstractNumId w:val="31"/>
  </w:num>
  <w:num w:numId="25" w16cid:durableId="501236151">
    <w:abstractNumId w:val="9"/>
  </w:num>
  <w:num w:numId="26" w16cid:durableId="517545695">
    <w:abstractNumId w:val="32"/>
  </w:num>
  <w:num w:numId="27" w16cid:durableId="635911546">
    <w:abstractNumId w:val="8"/>
  </w:num>
  <w:num w:numId="28" w16cid:durableId="1494223597">
    <w:abstractNumId w:val="2"/>
  </w:num>
  <w:num w:numId="29" w16cid:durableId="17315654">
    <w:abstractNumId w:val="15"/>
  </w:num>
  <w:num w:numId="30" w16cid:durableId="540897911">
    <w:abstractNumId w:val="25"/>
  </w:num>
  <w:num w:numId="31" w16cid:durableId="680593784">
    <w:abstractNumId w:val="36"/>
  </w:num>
  <w:num w:numId="32" w16cid:durableId="595482187">
    <w:abstractNumId w:val="29"/>
  </w:num>
  <w:num w:numId="33" w16cid:durableId="13848191">
    <w:abstractNumId w:val="23"/>
  </w:num>
  <w:num w:numId="34" w16cid:durableId="740713107">
    <w:abstractNumId w:val="11"/>
  </w:num>
  <w:num w:numId="35" w16cid:durableId="1783725993">
    <w:abstractNumId w:val="19"/>
  </w:num>
  <w:num w:numId="36" w16cid:durableId="133060590">
    <w:abstractNumId w:val="34"/>
  </w:num>
  <w:num w:numId="37" w16cid:durableId="749619835">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30C"/>
    <w:rsid w:val="0001047E"/>
    <w:rsid w:val="0001064E"/>
    <w:rsid w:val="00010AC9"/>
    <w:rsid w:val="00010D7C"/>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891"/>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BAA"/>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6CB"/>
    <w:rsid w:val="000218F1"/>
    <w:rsid w:val="00021AEC"/>
    <w:rsid w:val="00021B43"/>
    <w:rsid w:val="00021BCD"/>
    <w:rsid w:val="00021EF0"/>
    <w:rsid w:val="00021FA4"/>
    <w:rsid w:val="0002207D"/>
    <w:rsid w:val="00022164"/>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13"/>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310"/>
    <w:rsid w:val="0004146E"/>
    <w:rsid w:val="000414BC"/>
    <w:rsid w:val="0004189C"/>
    <w:rsid w:val="0004193F"/>
    <w:rsid w:val="0004195A"/>
    <w:rsid w:val="00041A87"/>
    <w:rsid w:val="00041CCD"/>
    <w:rsid w:val="00041DA3"/>
    <w:rsid w:val="00041F1F"/>
    <w:rsid w:val="0004209B"/>
    <w:rsid w:val="000420DB"/>
    <w:rsid w:val="000421A1"/>
    <w:rsid w:val="00042508"/>
    <w:rsid w:val="00042A8B"/>
    <w:rsid w:val="00042F4E"/>
    <w:rsid w:val="000434BD"/>
    <w:rsid w:val="000436A8"/>
    <w:rsid w:val="00043B7B"/>
    <w:rsid w:val="00043E36"/>
    <w:rsid w:val="000443C3"/>
    <w:rsid w:val="000444DC"/>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59A"/>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283"/>
    <w:rsid w:val="0006634A"/>
    <w:rsid w:val="000664BE"/>
    <w:rsid w:val="00066554"/>
    <w:rsid w:val="0006680F"/>
    <w:rsid w:val="00066D35"/>
    <w:rsid w:val="00067155"/>
    <w:rsid w:val="00067567"/>
    <w:rsid w:val="000676FE"/>
    <w:rsid w:val="00067C33"/>
    <w:rsid w:val="00067FB5"/>
    <w:rsid w:val="000701B2"/>
    <w:rsid w:val="000703CB"/>
    <w:rsid w:val="000703FE"/>
    <w:rsid w:val="000705DD"/>
    <w:rsid w:val="000706D4"/>
    <w:rsid w:val="000713EE"/>
    <w:rsid w:val="00071470"/>
    <w:rsid w:val="00071695"/>
    <w:rsid w:val="000717D6"/>
    <w:rsid w:val="000717FE"/>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13C"/>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77F81"/>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6CB"/>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C96"/>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AC2"/>
    <w:rsid w:val="00092B44"/>
    <w:rsid w:val="00092C2D"/>
    <w:rsid w:val="00092EB9"/>
    <w:rsid w:val="0009343D"/>
    <w:rsid w:val="00093617"/>
    <w:rsid w:val="00093E32"/>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AF9"/>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380"/>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2FFC"/>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8C5"/>
    <w:rsid w:val="000C7914"/>
    <w:rsid w:val="000C7A75"/>
    <w:rsid w:val="000C7BE4"/>
    <w:rsid w:val="000C7E7C"/>
    <w:rsid w:val="000D02D7"/>
    <w:rsid w:val="000D0536"/>
    <w:rsid w:val="000D057B"/>
    <w:rsid w:val="000D0723"/>
    <w:rsid w:val="000D082B"/>
    <w:rsid w:val="000D0AEE"/>
    <w:rsid w:val="000D1461"/>
    <w:rsid w:val="000D1C63"/>
    <w:rsid w:val="000D1FDA"/>
    <w:rsid w:val="000D20A1"/>
    <w:rsid w:val="000D23CE"/>
    <w:rsid w:val="000D25EF"/>
    <w:rsid w:val="000D2718"/>
    <w:rsid w:val="000D280C"/>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4BB"/>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CCA"/>
    <w:rsid w:val="00103DE9"/>
    <w:rsid w:val="00103FA7"/>
    <w:rsid w:val="00104198"/>
    <w:rsid w:val="0010440E"/>
    <w:rsid w:val="00104564"/>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CEF"/>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16D"/>
    <w:rsid w:val="001304C4"/>
    <w:rsid w:val="00130541"/>
    <w:rsid w:val="00130719"/>
    <w:rsid w:val="00130B37"/>
    <w:rsid w:val="00130B64"/>
    <w:rsid w:val="00130CB0"/>
    <w:rsid w:val="00130E70"/>
    <w:rsid w:val="00130FF4"/>
    <w:rsid w:val="00131248"/>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2B28"/>
    <w:rsid w:val="00143061"/>
    <w:rsid w:val="00143335"/>
    <w:rsid w:val="00143391"/>
    <w:rsid w:val="001438FC"/>
    <w:rsid w:val="00143DDE"/>
    <w:rsid w:val="00143F3D"/>
    <w:rsid w:val="0014413D"/>
    <w:rsid w:val="0014494B"/>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876"/>
    <w:rsid w:val="0015095B"/>
    <w:rsid w:val="00150A4F"/>
    <w:rsid w:val="00150F85"/>
    <w:rsid w:val="00151028"/>
    <w:rsid w:val="0015144C"/>
    <w:rsid w:val="00151521"/>
    <w:rsid w:val="00151572"/>
    <w:rsid w:val="00151969"/>
    <w:rsid w:val="00151B26"/>
    <w:rsid w:val="00151F5E"/>
    <w:rsid w:val="00151F7E"/>
    <w:rsid w:val="001520FA"/>
    <w:rsid w:val="0015220F"/>
    <w:rsid w:val="0015249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5F8"/>
    <w:rsid w:val="00154908"/>
    <w:rsid w:val="00154E3C"/>
    <w:rsid w:val="00155050"/>
    <w:rsid w:val="00155265"/>
    <w:rsid w:val="001559B7"/>
    <w:rsid w:val="00155DAE"/>
    <w:rsid w:val="0015615D"/>
    <w:rsid w:val="001561D4"/>
    <w:rsid w:val="00156301"/>
    <w:rsid w:val="001565BD"/>
    <w:rsid w:val="00156775"/>
    <w:rsid w:val="001569E1"/>
    <w:rsid w:val="00156BB9"/>
    <w:rsid w:val="00157383"/>
    <w:rsid w:val="0015754F"/>
    <w:rsid w:val="00157717"/>
    <w:rsid w:val="001577FE"/>
    <w:rsid w:val="00157826"/>
    <w:rsid w:val="001579E7"/>
    <w:rsid w:val="00157B10"/>
    <w:rsid w:val="00160197"/>
    <w:rsid w:val="00160284"/>
    <w:rsid w:val="00160355"/>
    <w:rsid w:val="0016053D"/>
    <w:rsid w:val="00160A74"/>
    <w:rsid w:val="00160B1A"/>
    <w:rsid w:val="00160EB3"/>
    <w:rsid w:val="001614F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5D6A"/>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0F65"/>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660"/>
    <w:rsid w:val="001747EB"/>
    <w:rsid w:val="00174CD1"/>
    <w:rsid w:val="001750CD"/>
    <w:rsid w:val="001752C8"/>
    <w:rsid w:val="00175357"/>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0F8E"/>
    <w:rsid w:val="001810AC"/>
    <w:rsid w:val="00181350"/>
    <w:rsid w:val="0018158E"/>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36A"/>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C21"/>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B72"/>
    <w:rsid w:val="001A4C2D"/>
    <w:rsid w:val="001A4CFE"/>
    <w:rsid w:val="001A4D24"/>
    <w:rsid w:val="001A4FE4"/>
    <w:rsid w:val="001A5720"/>
    <w:rsid w:val="001A58FB"/>
    <w:rsid w:val="001A59BE"/>
    <w:rsid w:val="001A5B7B"/>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4F4"/>
    <w:rsid w:val="001B35F9"/>
    <w:rsid w:val="001B3705"/>
    <w:rsid w:val="001B3734"/>
    <w:rsid w:val="001B3A7C"/>
    <w:rsid w:val="001B3EB5"/>
    <w:rsid w:val="001B400F"/>
    <w:rsid w:val="001B4075"/>
    <w:rsid w:val="001B42A3"/>
    <w:rsid w:val="001B43E8"/>
    <w:rsid w:val="001B4508"/>
    <w:rsid w:val="001B459A"/>
    <w:rsid w:val="001B4D25"/>
    <w:rsid w:val="001B4D98"/>
    <w:rsid w:val="001B4EE5"/>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3AA"/>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30E"/>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2C0E"/>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61F"/>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392"/>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AA"/>
    <w:rsid w:val="001F1ACF"/>
    <w:rsid w:val="001F1F32"/>
    <w:rsid w:val="001F201C"/>
    <w:rsid w:val="001F219E"/>
    <w:rsid w:val="001F2403"/>
    <w:rsid w:val="001F25EF"/>
    <w:rsid w:val="001F28BF"/>
    <w:rsid w:val="001F28DC"/>
    <w:rsid w:val="001F34E1"/>
    <w:rsid w:val="001F3589"/>
    <w:rsid w:val="001F37CE"/>
    <w:rsid w:val="001F3B91"/>
    <w:rsid w:val="001F3D7C"/>
    <w:rsid w:val="001F4229"/>
    <w:rsid w:val="001F4355"/>
    <w:rsid w:val="001F452E"/>
    <w:rsid w:val="001F475C"/>
    <w:rsid w:val="001F4A26"/>
    <w:rsid w:val="001F4BD7"/>
    <w:rsid w:val="001F4C10"/>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128"/>
    <w:rsid w:val="0020018F"/>
    <w:rsid w:val="0020021A"/>
    <w:rsid w:val="00200333"/>
    <w:rsid w:val="002003F9"/>
    <w:rsid w:val="0020057E"/>
    <w:rsid w:val="00200A83"/>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2E5"/>
    <w:rsid w:val="00212706"/>
    <w:rsid w:val="002127AB"/>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835"/>
    <w:rsid w:val="00214A3D"/>
    <w:rsid w:val="00214E34"/>
    <w:rsid w:val="00215065"/>
    <w:rsid w:val="002150B5"/>
    <w:rsid w:val="00215329"/>
    <w:rsid w:val="00215403"/>
    <w:rsid w:val="0021540F"/>
    <w:rsid w:val="00215619"/>
    <w:rsid w:val="00215821"/>
    <w:rsid w:val="00215A04"/>
    <w:rsid w:val="00215C09"/>
    <w:rsid w:val="00215CD9"/>
    <w:rsid w:val="00215D24"/>
    <w:rsid w:val="00215DA9"/>
    <w:rsid w:val="0021653C"/>
    <w:rsid w:val="00216B8B"/>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0A2"/>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6CB6"/>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CBD"/>
    <w:rsid w:val="00234E56"/>
    <w:rsid w:val="00234EB2"/>
    <w:rsid w:val="0023536B"/>
    <w:rsid w:val="0023552E"/>
    <w:rsid w:val="00235558"/>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A74"/>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B9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C72"/>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B98"/>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1F6"/>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B3B"/>
    <w:rsid w:val="00283C63"/>
    <w:rsid w:val="00283D7F"/>
    <w:rsid w:val="00283DD8"/>
    <w:rsid w:val="00284207"/>
    <w:rsid w:val="00284491"/>
    <w:rsid w:val="00284886"/>
    <w:rsid w:val="00284928"/>
    <w:rsid w:val="00284D1A"/>
    <w:rsid w:val="00284D97"/>
    <w:rsid w:val="00284DD3"/>
    <w:rsid w:val="0028579B"/>
    <w:rsid w:val="00285CB4"/>
    <w:rsid w:val="00285DB5"/>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2E20"/>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7C"/>
    <w:rsid w:val="002C089B"/>
    <w:rsid w:val="002C093A"/>
    <w:rsid w:val="002C0C05"/>
    <w:rsid w:val="002C0FF0"/>
    <w:rsid w:val="002C17DF"/>
    <w:rsid w:val="002C1C93"/>
    <w:rsid w:val="002C1D99"/>
    <w:rsid w:val="002C2151"/>
    <w:rsid w:val="002C230C"/>
    <w:rsid w:val="002C2311"/>
    <w:rsid w:val="002C24F2"/>
    <w:rsid w:val="002C2802"/>
    <w:rsid w:val="002C2915"/>
    <w:rsid w:val="002C2CDB"/>
    <w:rsid w:val="002C2E02"/>
    <w:rsid w:val="002C2ECE"/>
    <w:rsid w:val="002C2F3D"/>
    <w:rsid w:val="002C30BC"/>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4F2"/>
    <w:rsid w:val="002D3704"/>
    <w:rsid w:val="002D385E"/>
    <w:rsid w:val="002D387A"/>
    <w:rsid w:val="002D3A30"/>
    <w:rsid w:val="002D3A51"/>
    <w:rsid w:val="002D3AA2"/>
    <w:rsid w:val="002D3BEB"/>
    <w:rsid w:val="002D3EFF"/>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5DC"/>
    <w:rsid w:val="002D677F"/>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3A4"/>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81A"/>
    <w:rsid w:val="002E5AF7"/>
    <w:rsid w:val="002E5B7B"/>
    <w:rsid w:val="002E5CF2"/>
    <w:rsid w:val="002E5F3B"/>
    <w:rsid w:val="002E660A"/>
    <w:rsid w:val="002E6799"/>
    <w:rsid w:val="002E6C40"/>
    <w:rsid w:val="002E6CCF"/>
    <w:rsid w:val="002E6E72"/>
    <w:rsid w:val="002E706B"/>
    <w:rsid w:val="002E7523"/>
    <w:rsid w:val="002E7AA9"/>
    <w:rsid w:val="002E7ABC"/>
    <w:rsid w:val="002E7BCD"/>
    <w:rsid w:val="002E7D0A"/>
    <w:rsid w:val="002E7FF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57"/>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748"/>
    <w:rsid w:val="00313B7C"/>
    <w:rsid w:val="00313C32"/>
    <w:rsid w:val="00314017"/>
    <w:rsid w:val="00314034"/>
    <w:rsid w:val="00314397"/>
    <w:rsid w:val="003144BA"/>
    <w:rsid w:val="00314523"/>
    <w:rsid w:val="00314645"/>
    <w:rsid w:val="003146B0"/>
    <w:rsid w:val="003149A3"/>
    <w:rsid w:val="00314B2A"/>
    <w:rsid w:val="00315000"/>
    <w:rsid w:val="003153D9"/>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01E"/>
    <w:rsid w:val="00324673"/>
    <w:rsid w:val="00324B9B"/>
    <w:rsid w:val="00324D46"/>
    <w:rsid w:val="00324DE1"/>
    <w:rsid w:val="003250DD"/>
    <w:rsid w:val="003254F0"/>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405"/>
    <w:rsid w:val="00331867"/>
    <w:rsid w:val="00331871"/>
    <w:rsid w:val="00331959"/>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29"/>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A39"/>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2FE3"/>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6F4"/>
    <w:rsid w:val="003469AA"/>
    <w:rsid w:val="00346A89"/>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DCC"/>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DE9"/>
    <w:rsid w:val="00357EF9"/>
    <w:rsid w:val="00357FCD"/>
    <w:rsid w:val="00360101"/>
    <w:rsid w:val="00360125"/>
    <w:rsid w:val="00360258"/>
    <w:rsid w:val="0036088E"/>
    <w:rsid w:val="003608DB"/>
    <w:rsid w:val="00360D85"/>
    <w:rsid w:val="00360F07"/>
    <w:rsid w:val="00361109"/>
    <w:rsid w:val="003611BF"/>
    <w:rsid w:val="00361A6B"/>
    <w:rsid w:val="00361B87"/>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586"/>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029"/>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27F"/>
    <w:rsid w:val="003814F7"/>
    <w:rsid w:val="00381C84"/>
    <w:rsid w:val="00381E30"/>
    <w:rsid w:val="0038251C"/>
    <w:rsid w:val="0038264C"/>
    <w:rsid w:val="00382880"/>
    <w:rsid w:val="00382A18"/>
    <w:rsid w:val="00382AA2"/>
    <w:rsid w:val="00382ACB"/>
    <w:rsid w:val="00382B3E"/>
    <w:rsid w:val="00382DAE"/>
    <w:rsid w:val="00382E5F"/>
    <w:rsid w:val="00382F60"/>
    <w:rsid w:val="00382F65"/>
    <w:rsid w:val="003830FC"/>
    <w:rsid w:val="003839CE"/>
    <w:rsid w:val="00383B86"/>
    <w:rsid w:val="00383C9A"/>
    <w:rsid w:val="00383D49"/>
    <w:rsid w:val="00383F4D"/>
    <w:rsid w:val="003843D7"/>
    <w:rsid w:val="003844F0"/>
    <w:rsid w:val="0038452B"/>
    <w:rsid w:val="0038459E"/>
    <w:rsid w:val="00384611"/>
    <w:rsid w:val="00384ABB"/>
    <w:rsid w:val="00384AE0"/>
    <w:rsid w:val="00384C20"/>
    <w:rsid w:val="00384E52"/>
    <w:rsid w:val="0038500C"/>
    <w:rsid w:val="00385126"/>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3E5"/>
    <w:rsid w:val="003A4523"/>
    <w:rsid w:val="003A4954"/>
    <w:rsid w:val="003A4A44"/>
    <w:rsid w:val="003A4AA7"/>
    <w:rsid w:val="003A4AD7"/>
    <w:rsid w:val="003A4D30"/>
    <w:rsid w:val="003A50F8"/>
    <w:rsid w:val="003A52C4"/>
    <w:rsid w:val="003A5735"/>
    <w:rsid w:val="003A58C7"/>
    <w:rsid w:val="003A5ACF"/>
    <w:rsid w:val="003A618E"/>
    <w:rsid w:val="003A6618"/>
    <w:rsid w:val="003A66D7"/>
    <w:rsid w:val="003A6CDC"/>
    <w:rsid w:val="003A6E3E"/>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67D"/>
    <w:rsid w:val="003B28BC"/>
    <w:rsid w:val="003B29FE"/>
    <w:rsid w:val="003B2E04"/>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98"/>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B05"/>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E5E"/>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A51"/>
    <w:rsid w:val="003E7E8B"/>
    <w:rsid w:val="003F006A"/>
    <w:rsid w:val="003F01F6"/>
    <w:rsid w:val="003F020C"/>
    <w:rsid w:val="003F033C"/>
    <w:rsid w:val="003F03C4"/>
    <w:rsid w:val="003F04C5"/>
    <w:rsid w:val="003F055A"/>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5F9"/>
    <w:rsid w:val="004007D0"/>
    <w:rsid w:val="0040082E"/>
    <w:rsid w:val="00400A90"/>
    <w:rsid w:val="00400B2C"/>
    <w:rsid w:val="00400D42"/>
    <w:rsid w:val="004010A5"/>
    <w:rsid w:val="004013E1"/>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67E"/>
    <w:rsid w:val="00420BD0"/>
    <w:rsid w:val="00420CB0"/>
    <w:rsid w:val="00420F40"/>
    <w:rsid w:val="0042114F"/>
    <w:rsid w:val="00421840"/>
    <w:rsid w:val="00421975"/>
    <w:rsid w:val="00421BB3"/>
    <w:rsid w:val="00421F35"/>
    <w:rsid w:val="00421FCA"/>
    <w:rsid w:val="0042208B"/>
    <w:rsid w:val="004221B1"/>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6E3B"/>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32"/>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6E2"/>
    <w:rsid w:val="00473717"/>
    <w:rsid w:val="004738CB"/>
    <w:rsid w:val="004738F7"/>
    <w:rsid w:val="00473935"/>
    <w:rsid w:val="00473A0E"/>
    <w:rsid w:val="00473D60"/>
    <w:rsid w:val="00473EC6"/>
    <w:rsid w:val="004741C2"/>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C84"/>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4FFD"/>
    <w:rsid w:val="004852F4"/>
    <w:rsid w:val="0048552D"/>
    <w:rsid w:val="004855D7"/>
    <w:rsid w:val="0048585C"/>
    <w:rsid w:val="00485CDE"/>
    <w:rsid w:val="00485D08"/>
    <w:rsid w:val="00485FCD"/>
    <w:rsid w:val="0048641F"/>
    <w:rsid w:val="00486603"/>
    <w:rsid w:val="00486A3D"/>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3F1"/>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CAE"/>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A2"/>
    <w:rsid w:val="004A21D5"/>
    <w:rsid w:val="004A22D4"/>
    <w:rsid w:val="004A2355"/>
    <w:rsid w:val="004A23F0"/>
    <w:rsid w:val="004A272C"/>
    <w:rsid w:val="004A2805"/>
    <w:rsid w:val="004A28CE"/>
    <w:rsid w:val="004A2F7C"/>
    <w:rsid w:val="004A3254"/>
    <w:rsid w:val="004A3261"/>
    <w:rsid w:val="004A34F8"/>
    <w:rsid w:val="004A3878"/>
    <w:rsid w:val="004A3E7B"/>
    <w:rsid w:val="004A3FB2"/>
    <w:rsid w:val="004A4356"/>
    <w:rsid w:val="004A4627"/>
    <w:rsid w:val="004A4629"/>
    <w:rsid w:val="004A4774"/>
    <w:rsid w:val="004A48B8"/>
    <w:rsid w:val="004A4B32"/>
    <w:rsid w:val="004A4CFD"/>
    <w:rsid w:val="004A5331"/>
    <w:rsid w:val="004A537E"/>
    <w:rsid w:val="004A545D"/>
    <w:rsid w:val="004A5541"/>
    <w:rsid w:val="004A5660"/>
    <w:rsid w:val="004A5B3B"/>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0A"/>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3E39"/>
    <w:rsid w:val="004C43C2"/>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9"/>
    <w:rsid w:val="004D156A"/>
    <w:rsid w:val="004D1B28"/>
    <w:rsid w:val="004D1D5E"/>
    <w:rsid w:val="004D1E00"/>
    <w:rsid w:val="004D1FEF"/>
    <w:rsid w:val="004D2319"/>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668"/>
    <w:rsid w:val="004D5745"/>
    <w:rsid w:val="004D5CD9"/>
    <w:rsid w:val="004D5E82"/>
    <w:rsid w:val="004D5F42"/>
    <w:rsid w:val="004D602D"/>
    <w:rsid w:val="004D6687"/>
    <w:rsid w:val="004D6CF4"/>
    <w:rsid w:val="004D6E44"/>
    <w:rsid w:val="004D6EDA"/>
    <w:rsid w:val="004D6EE2"/>
    <w:rsid w:val="004D6F65"/>
    <w:rsid w:val="004D6FF6"/>
    <w:rsid w:val="004D76BF"/>
    <w:rsid w:val="004D771F"/>
    <w:rsid w:val="004D7841"/>
    <w:rsid w:val="004D79F3"/>
    <w:rsid w:val="004D7B81"/>
    <w:rsid w:val="004E00C1"/>
    <w:rsid w:val="004E0480"/>
    <w:rsid w:val="004E0734"/>
    <w:rsid w:val="004E07AA"/>
    <w:rsid w:val="004E0DAB"/>
    <w:rsid w:val="004E0E2A"/>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3DB"/>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AF9"/>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09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5C3E"/>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1A1"/>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06"/>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0FE"/>
    <w:rsid w:val="005528E0"/>
    <w:rsid w:val="00552C21"/>
    <w:rsid w:val="00552DB9"/>
    <w:rsid w:val="00552E5E"/>
    <w:rsid w:val="00553081"/>
    <w:rsid w:val="005535AA"/>
    <w:rsid w:val="0055362B"/>
    <w:rsid w:val="005536A7"/>
    <w:rsid w:val="005537A2"/>
    <w:rsid w:val="00553DAD"/>
    <w:rsid w:val="00554758"/>
    <w:rsid w:val="00554790"/>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9B5"/>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B55"/>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D13"/>
    <w:rsid w:val="00591EF0"/>
    <w:rsid w:val="005925B4"/>
    <w:rsid w:val="005926E2"/>
    <w:rsid w:val="00592AA8"/>
    <w:rsid w:val="005931F5"/>
    <w:rsid w:val="00593202"/>
    <w:rsid w:val="0059340C"/>
    <w:rsid w:val="00593546"/>
    <w:rsid w:val="005940A3"/>
    <w:rsid w:val="00594376"/>
    <w:rsid w:val="00594451"/>
    <w:rsid w:val="0059465D"/>
    <w:rsid w:val="005949B6"/>
    <w:rsid w:val="00594A50"/>
    <w:rsid w:val="00594C98"/>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9D3"/>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958"/>
    <w:rsid w:val="005B2CBF"/>
    <w:rsid w:val="005B2D64"/>
    <w:rsid w:val="005B31C8"/>
    <w:rsid w:val="005B3204"/>
    <w:rsid w:val="005B363A"/>
    <w:rsid w:val="005B40E7"/>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131"/>
    <w:rsid w:val="005B7207"/>
    <w:rsid w:val="005B780A"/>
    <w:rsid w:val="005B792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1FB2"/>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5A"/>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9DE"/>
    <w:rsid w:val="005D1C5B"/>
    <w:rsid w:val="005D1EF4"/>
    <w:rsid w:val="005D2072"/>
    <w:rsid w:val="005D221A"/>
    <w:rsid w:val="005D2333"/>
    <w:rsid w:val="005D234F"/>
    <w:rsid w:val="005D246D"/>
    <w:rsid w:val="005D24AF"/>
    <w:rsid w:val="005D27C5"/>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D7C1B"/>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46"/>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D2C"/>
    <w:rsid w:val="005F2EF6"/>
    <w:rsid w:val="005F30BF"/>
    <w:rsid w:val="005F372C"/>
    <w:rsid w:val="005F3739"/>
    <w:rsid w:val="005F3E71"/>
    <w:rsid w:val="005F3FB8"/>
    <w:rsid w:val="005F4312"/>
    <w:rsid w:val="005F4523"/>
    <w:rsid w:val="005F4642"/>
    <w:rsid w:val="005F4788"/>
    <w:rsid w:val="005F4856"/>
    <w:rsid w:val="005F4B38"/>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7A"/>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27"/>
    <w:rsid w:val="006139BA"/>
    <w:rsid w:val="00613A9B"/>
    <w:rsid w:val="00613B66"/>
    <w:rsid w:val="00613CCA"/>
    <w:rsid w:val="00613F33"/>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242"/>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65A"/>
    <w:rsid w:val="0062595E"/>
    <w:rsid w:val="00625C6D"/>
    <w:rsid w:val="00625F42"/>
    <w:rsid w:val="00626004"/>
    <w:rsid w:val="006262DA"/>
    <w:rsid w:val="006262F3"/>
    <w:rsid w:val="006264E6"/>
    <w:rsid w:val="006269A8"/>
    <w:rsid w:val="00626A30"/>
    <w:rsid w:val="00626CEC"/>
    <w:rsid w:val="0062703F"/>
    <w:rsid w:val="006270A1"/>
    <w:rsid w:val="006270A7"/>
    <w:rsid w:val="006272A4"/>
    <w:rsid w:val="00627705"/>
    <w:rsid w:val="0062773E"/>
    <w:rsid w:val="006277CD"/>
    <w:rsid w:val="0062796F"/>
    <w:rsid w:val="006279C8"/>
    <w:rsid w:val="00627BCA"/>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8D6"/>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0ECB"/>
    <w:rsid w:val="00641298"/>
    <w:rsid w:val="0064145C"/>
    <w:rsid w:val="00641969"/>
    <w:rsid w:val="00641F9C"/>
    <w:rsid w:val="0064200B"/>
    <w:rsid w:val="0064202D"/>
    <w:rsid w:val="0064226C"/>
    <w:rsid w:val="0064238B"/>
    <w:rsid w:val="006429DB"/>
    <w:rsid w:val="00642A43"/>
    <w:rsid w:val="00642C89"/>
    <w:rsid w:val="00642D54"/>
    <w:rsid w:val="00642E56"/>
    <w:rsid w:val="00642FD8"/>
    <w:rsid w:val="006430AE"/>
    <w:rsid w:val="0064310B"/>
    <w:rsid w:val="006431A1"/>
    <w:rsid w:val="00643279"/>
    <w:rsid w:val="00643313"/>
    <w:rsid w:val="0064346C"/>
    <w:rsid w:val="006434A3"/>
    <w:rsid w:val="00643563"/>
    <w:rsid w:val="006439A0"/>
    <w:rsid w:val="006439E9"/>
    <w:rsid w:val="00643AE4"/>
    <w:rsid w:val="00643DE6"/>
    <w:rsid w:val="00644005"/>
    <w:rsid w:val="00644553"/>
    <w:rsid w:val="00644B9C"/>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750"/>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0A4"/>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6D9"/>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00"/>
    <w:rsid w:val="006804C4"/>
    <w:rsid w:val="00680500"/>
    <w:rsid w:val="006806CA"/>
    <w:rsid w:val="00680ED3"/>
    <w:rsid w:val="00680F0D"/>
    <w:rsid w:val="00680F69"/>
    <w:rsid w:val="00681293"/>
    <w:rsid w:val="006816AC"/>
    <w:rsid w:val="00681933"/>
    <w:rsid w:val="0068194A"/>
    <w:rsid w:val="00681A7A"/>
    <w:rsid w:val="00681C42"/>
    <w:rsid w:val="00681D51"/>
    <w:rsid w:val="00681EF1"/>
    <w:rsid w:val="006825F9"/>
    <w:rsid w:val="00682847"/>
    <w:rsid w:val="006829C2"/>
    <w:rsid w:val="00682A2B"/>
    <w:rsid w:val="00683473"/>
    <w:rsid w:val="00683520"/>
    <w:rsid w:val="006836B9"/>
    <w:rsid w:val="0068374A"/>
    <w:rsid w:val="00683752"/>
    <w:rsid w:val="006838ED"/>
    <w:rsid w:val="00683A16"/>
    <w:rsid w:val="006840C6"/>
    <w:rsid w:val="006840EA"/>
    <w:rsid w:val="0068479D"/>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ACA"/>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05E"/>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198"/>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CD0"/>
    <w:rsid w:val="006B0DB4"/>
    <w:rsid w:val="006B130E"/>
    <w:rsid w:val="006B1587"/>
    <w:rsid w:val="006B1766"/>
    <w:rsid w:val="006B1AD0"/>
    <w:rsid w:val="006B1ED2"/>
    <w:rsid w:val="006B215D"/>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337"/>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8FA"/>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AB"/>
    <w:rsid w:val="006E4FEC"/>
    <w:rsid w:val="006E5332"/>
    <w:rsid w:val="006E533F"/>
    <w:rsid w:val="006E53A3"/>
    <w:rsid w:val="006E5696"/>
    <w:rsid w:val="006E5BBA"/>
    <w:rsid w:val="006E5F8C"/>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0E"/>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DF1"/>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772"/>
    <w:rsid w:val="00725838"/>
    <w:rsid w:val="00725D0B"/>
    <w:rsid w:val="00725E6B"/>
    <w:rsid w:val="007262BD"/>
    <w:rsid w:val="00726414"/>
    <w:rsid w:val="007265FA"/>
    <w:rsid w:val="00726997"/>
    <w:rsid w:val="00726A2C"/>
    <w:rsid w:val="00726C22"/>
    <w:rsid w:val="00726F50"/>
    <w:rsid w:val="00726FA4"/>
    <w:rsid w:val="007276BE"/>
    <w:rsid w:val="00727856"/>
    <w:rsid w:val="00727AD4"/>
    <w:rsid w:val="00727BD2"/>
    <w:rsid w:val="00727E51"/>
    <w:rsid w:val="00730286"/>
    <w:rsid w:val="007306DC"/>
    <w:rsid w:val="007309B3"/>
    <w:rsid w:val="00730C79"/>
    <w:rsid w:val="007312CA"/>
    <w:rsid w:val="007317E5"/>
    <w:rsid w:val="0073183B"/>
    <w:rsid w:val="00731859"/>
    <w:rsid w:val="007318DD"/>
    <w:rsid w:val="00731D48"/>
    <w:rsid w:val="00731DB2"/>
    <w:rsid w:val="00731F8B"/>
    <w:rsid w:val="00732583"/>
    <w:rsid w:val="00732779"/>
    <w:rsid w:val="00732854"/>
    <w:rsid w:val="00732C89"/>
    <w:rsid w:val="00732C99"/>
    <w:rsid w:val="00732D1A"/>
    <w:rsid w:val="00732DFE"/>
    <w:rsid w:val="00732FCA"/>
    <w:rsid w:val="007330EB"/>
    <w:rsid w:val="007334CA"/>
    <w:rsid w:val="007334CC"/>
    <w:rsid w:val="007335B6"/>
    <w:rsid w:val="007336DE"/>
    <w:rsid w:val="0073402E"/>
    <w:rsid w:val="00734033"/>
    <w:rsid w:val="007344BB"/>
    <w:rsid w:val="007346F5"/>
    <w:rsid w:val="00734743"/>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EE"/>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66C"/>
    <w:rsid w:val="00750897"/>
    <w:rsid w:val="00750981"/>
    <w:rsid w:val="00750C2F"/>
    <w:rsid w:val="00750D2E"/>
    <w:rsid w:val="00751098"/>
    <w:rsid w:val="0075111B"/>
    <w:rsid w:val="00751138"/>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A8"/>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8F1"/>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78A"/>
    <w:rsid w:val="00760F11"/>
    <w:rsid w:val="0076101C"/>
    <w:rsid w:val="0076146C"/>
    <w:rsid w:val="00761660"/>
    <w:rsid w:val="00761894"/>
    <w:rsid w:val="00761949"/>
    <w:rsid w:val="00761B7E"/>
    <w:rsid w:val="00761CEB"/>
    <w:rsid w:val="00762031"/>
    <w:rsid w:val="007620CF"/>
    <w:rsid w:val="0076211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7F"/>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44F"/>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B51"/>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672"/>
    <w:rsid w:val="00776B7F"/>
    <w:rsid w:val="00776DA5"/>
    <w:rsid w:val="0077711A"/>
    <w:rsid w:val="007773AE"/>
    <w:rsid w:val="007774DB"/>
    <w:rsid w:val="00777789"/>
    <w:rsid w:val="0077778C"/>
    <w:rsid w:val="00777CD2"/>
    <w:rsid w:val="00777D1A"/>
    <w:rsid w:val="00777DD6"/>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1F"/>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50F"/>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92E"/>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B39"/>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07"/>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44"/>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0ED"/>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6E"/>
    <w:rsid w:val="008133B2"/>
    <w:rsid w:val="008136B2"/>
    <w:rsid w:val="00813804"/>
    <w:rsid w:val="00813855"/>
    <w:rsid w:val="00813888"/>
    <w:rsid w:val="00813C67"/>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17E9D"/>
    <w:rsid w:val="00820071"/>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5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7E4"/>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56"/>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62"/>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0AC"/>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470"/>
    <w:rsid w:val="00842BB3"/>
    <w:rsid w:val="00842F90"/>
    <w:rsid w:val="0084348B"/>
    <w:rsid w:val="00843591"/>
    <w:rsid w:val="00843761"/>
    <w:rsid w:val="008438B6"/>
    <w:rsid w:val="00843AA6"/>
    <w:rsid w:val="00843E2B"/>
    <w:rsid w:val="00843FFE"/>
    <w:rsid w:val="0084406B"/>
    <w:rsid w:val="008443BA"/>
    <w:rsid w:val="0084458D"/>
    <w:rsid w:val="0084459C"/>
    <w:rsid w:val="00844606"/>
    <w:rsid w:val="008446F6"/>
    <w:rsid w:val="00844AA5"/>
    <w:rsid w:val="008458D1"/>
    <w:rsid w:val="00845939"/>
    <w:rsid w:val="00845AEA"/>
    <w:rsid w:val="00845C2E"/>
    <w:rsid w:val="00845D3D"/>
    <w:rsid w:val="00846069"/>
    <w:rsid w:val="008460AE"/>
    <w:rsid w:val="008462C7"/>
    <w:rsid w:val="0084644F"/>
    <w:rsid w:val="008464D2"/>
    <w:rsid w:val="008465DC"/>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E44"/>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16"/>
    <w:rsid w:val="008558EF"/>
    <w:rsid w:val="008559A4"/>
    <w:rsid w:val="008559FD"/>
    <w:rsid w:val="00855C66"/>
    <w:rsid w:val="00855D46"/>
    <w:rsid w:val="008560CE"/>
    <w:rsid w:val="008561F9"/>
    <w:rsid w:val="00856992"/>
    <w:rsid w:val="00856A09"/>
    <w:rsid w:val="00856AA3"/>
    <w:rsid w:val="00856C65"/>
    <w:rsid w:val="0085796A"/>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22D"/>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8EA"/>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E1B"/>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AA"/>
    <w:rsid w:val="008822D5"/>
    <w:rsid w:val="00882364"/>
    <w:rsid w:val="008823A3"/>
    <w:rsid w:val="008824F9"/>
    <w:rsid w:val="008826DC"/>
    <w:rsid w:val="00882967"/>
    <w:rsid w:val="00882BD3"/>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84"/>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4C"/>
    <w:rsid w:val="008963A5"/>
    <w:rsid w:val="00896575"/>
    <w:rsid w:val="00896612"/>
    <w:rsid w:val="008968D9"/>
    <w:rsid w:val="0089690E"/>
    <w:rsid w:val="00896A26"/>
    <w:rsid w:val="00896BC5"/>
    <w:rsid w:val="00896ED7"/>
    <w:rsid w:val="00897078"/>
    <w:rsid w:val="00897A0E"/>
    <w:rsid w:val="00897E7B"/>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9ED"/>
    <w:rsid w:val="008A2DB5"/>
    <w:rsid w:val="008A2E0C"/>
    <w:rsid w:val="008A34E0"/>
    <w:rsid w:val="008A368E"/>
    <w:rsid w:val="008A36F0"/>
    <w:rsid w:val="008A37E5"/>
    <w:rsid w:val="008A401D"/>
    <w:rsid w:val="008A4256"/>
    <w:rsid w:val="008A451C"/>
    <w:rsid w:val="008A47DC"/>
    <w:rsid w:val="008A4824"/>
    <w:rsid w:val="008A49B1"/>
    <w:rsid w:val="008A4C71"/>
    <w:rsid w:val="008A4F1E"/>
    <w:rsid w:val="008A529E"/>
    <w:rsid w:val="008A56DC"/>
    <w:rsid w:val="008A5771"/>
    <w:rsid w:val="008A5E33"/>
    <w:rsid w:val="008A5ED4"/>
    <w:rsid w:val="008A6096"/>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741"/>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45D"/>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395"/>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1E56"/>
    <w:rsid w:val="008D204F"/>
    <w:rsid w:val="008D20E2"/>
    <w:rsid w:val="008D2521"/>
    <w:rsid w:val="008D2C41"/>
    <w:rsid w:val="008D3301"/>
    <w:rsid w:val="008D3347"/>
    <w:rsid w:val="008D394B"/>
    <w:rsid w:val="008D3AC8"/>
    <w:rsid w:val="008D46F6"/>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45"/>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0B90C"/>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00"/>
    <w:rsid w:val="00913445"/>
    <w:rsid w:val="009136B4"/>
    <w:rsid w:val="009136CA"/>
    <w:rsid w:val="00913DCF"/>
    <w:rsid w:val="009141B2"/>
    <w:rsid w:val="009142AD"/>
    <w:rsid w:val="0091432D"/>
    <w:rsid w:val="00914BD1"/>
    <w:rsid w:val="00914CD0"/>
    <w:rsid w:val="00914DC0"/>
    <w:rsid w:val="00914F65"/>
    <w:rsid w:val="0091541B"/>
    <w:rsid w:val="009154B0"/>
    <w:rsid w:val="00915567"/>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3D"/>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3FF"/>
    <w:rsid w:val="00944845"/>
    <w:rsid w:val="00944B9C"/>
    <w:rsid w:val="00944E0B"/>
    <w:rsid w:val="00944E96"/>
    <w:rsid w:val="009451C8"/>
    <w:rsid w:val="0094538B"/>
    <w:rsid w:val="009455B1"/>
    <w:rsid w:val="0094563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03D"/>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4EDB"/>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27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AAE"/>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4FC"/>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68B"/>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25"/>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3F3"/>
    <w:rsid w:val="009C7770"/>
    <w:rsid w:val="009C7C5D"/>
    <w:rsid w:val="009C7D03"/>
    <w:rsid w:val="009C7F53"/>
    <w:rsid w:val="009D011E"/>
    <w:rsid w:val="009D0161"/>
    <w:rsid w:val="009D019B"/>
    <w:rsid w:val="009D05BF"/>
    <w:rsid w:val="009D0617"/>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2D1"/>
    <w:rsid w:val="009D4778"/>
    <w:rsid w:val="009D4D33"/>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CFF"/>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96F"/>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15B"/>
    <w:rsid w:val="00A042BE"/>
    <w:rsid w:val="00A04425"/>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07DA5"/>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3F0B"/>
    <w:rsid w:val="00A141BA"/>
    <w:rsid w:val="00A14210"/>
    <w:rsid w:val="00A142AE"/>
    <w:rsid w:val="00A148BF"/>
    <w:rsid w:val="00A14A24"/>
    <w:rsid w:val="00A15108"/>
    <w:rsid w:val="00A151CD"/>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B21"/>
    <w:rsid w:val="00A20C1B"/>
    <w:rsid w:val="00A21277"/>
    <w:rsid w:val="00A212EF"/>
    <w:rsid w:val="00A21569"/>
    <w:rsid w:val="00A217EC"/>
    <w:rsid w:val="00A21900"/>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3ED6"/>
    <w:rsid w:val="00A243EF"/>
    <w:rsid w:val="00A24401"/>
    <w:rsid w:val="00A244A8"/>
    <w:rsid w:val="00A24CAE"/>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188"/>
    <w:rsid w:val="00A342D4"/>
    <w:rsid w:val="00A3445C"/>
    <w:rsid w:val="00A345AC"/>
    <w:rsid w:val="00A34854"/>
    <w:rsid w:val="00A3496B"/>
    <w:rsid w:val="00A34A95"/>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22E"/>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62C"/>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33B"/>
    <w:rsid w:val="00A57935"/>
    <w:rsid w:val="00A57B78"/>
    <w:rsid w:val="00A57CF9"/>
    <w:rsid w:val="00A602AD"/>
    <w:rsid w:val="00A60708"/>
    <w:rsid w:val="00A6093B"/>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275"/>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BA4"/>
    <w:rsid w:val="00A73D03"/>
    <w:rsid w:val="00A73F50"/>
    <w:rsid w:val="00A7428C"/>
    <w:rsid w:val="00A74790"/>
    <w:rsid w:val="00A749D2"/>
    <w:rsid w:val="00A74DB9"/>
    <w:rsid w:val="00A751EF"/>
    <w:rsid w:val="00A752D8"/>
    <w:rsid w:val="00A75423"/>
    <w:rsid w:val="00A75C6B"/>
    <w:rsid w:val="00A75E62"/>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B69"/>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6A9"/>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0DC"/>
    <w:rsid w:val="00A945D4"/>
    <w:rsid w:val="00A94765"/>
    <w:rsid w:val="00A947DF"/>
    <w:rsid w:val="00A94ACE"/>
    <w:rsid w:val="00A94BF2"/>
    <w:rsid w:val="00A94FB6"/>
    <w:rsid w:val="00A9520D"/>
    <w:rsid w:val="00A952BB"/>
    <w:rsid w:val="00A95486"/>
    <w:rsid w:val="00A95715"/>
    <w:rsid w:val="00A957ED"/>
    <w:rsid w:val="00A95821"/>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347"/>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53D"/>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29F"/>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AE"/>
    <w:rsid w:val="00AD6845"/>
    <w:rsid w:val="00AD68C1"/>
    <w:rsid w:val="00AD6C00"/>
    <w:rsid w:val="00AD6C74"/>
    <w:rsid w:val="00AD7053"/>
    <w:rsid w:val="00AD748B"/>
    <w:rsid w:val="00AD7659"/>
    <w:rsid w:val="00AD7895"/>
    <w:rsid w:val="00AD79F1"/>
    <w:rsid w:val="00AD79F4"/>
    <w:rsid w:val="00AD7B8E"/>
    <w:rsid w:val="00ADF2C1"/>
    <w:rsid w:val="00AE00E2"/>
    <w:rsid w:val="00AE01CF"/>
    <w:rsid w:val="00AE01E4"/>
    <w:rsid w:val="00AE0263"/>
    <w:rsid w:val="00AE0677"/>
    <w:rsid w:val="00AE0A3A"/>
    <w:rsid w:val="00AE0C01"/>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B45"/>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B2"/>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5E4"/>
    <w:rsid w:val="00B066FD"/>
    <w:rsid w:val="00B06898"/>
    <w:rsid w:val="00B0726C"/>
    <w:rsid w:val="00B073B7"/>
    <w:rsid w:val="00B073DD"/>
    <w:rsid w:val="00B07491"/>
    <w:rsid w:val="00B07527"/>
    <w:rsid w:val="00B07569"/>
    <w:rsid w:val="00B07601"/>
    <w:rsid w:val="00B076A4"/>
    <w:rsid w:val="00B079BF"/>
    <w:rsid w:val="00B07AC0"/>
    <w:rsid w:val="00B07AE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1FB"/>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5CE1"/>
    <w:rsid w:val="00B161E9"/>
    <w:rsid w:val="00B16354"/>
    <w:rsid w:val="00B164F0"/>
    <w:rsid w:val="00B16548"/>
    <w:rsid w:val="00B169DB"/>
    <w:rsid w:val="00B169F0"/>
    <w:rsid w:val="00B16A07"/>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B3"/>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5FB9"/>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4DEB"/>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0C"/>
    <w:rsid w:val="00B5417C"/>
    <w:rsid w:val="00B54359"/>
    <w:rsid w:val="00B546E2"/>
    <w:rsid w:val="00B5548E"/>
    <w:rsid w:val="00B55AC6"/>
    <w:rsid w:val="00B55C81"/>
    <w:rsid w:val="00B55D56"/>
    <w:rsid w:val="00B55F9E"/>
    <w:rsid w:val="00B55FBA"/>
    <w:rsid w:val="00B560F0"/>
    <w:rsid w:val="00B56134"/>
    <w:rsid w:val="00B566BA"/>
    <w:rsid w:val="00B569A4"/>
    <w:rsid w:val="00B569B8"/>
    <w:rsid w:val="00B570F1"/>
    <w:rsid w:val="00B57DC9"/>
    <w:rsid w:val="00B57E2F"/>
    <w:rsid w:val="00B57F19"/>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70"/>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576"/>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A59"/>
    <w:rsid w:val="00B92CB2"/>
    <w:rsid w:val="00B92DCC"/>
    <w:rsid w:val="00B92FE6"/>
    <w:rsid w:val="00B93044"/>
    <w:rsid w:val="00B935F8"/>
    <w:rsid w:val="00B93B34"/>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510"/>
    <w:rsid w:val="00BB761A"/>
    <w:rsid w:val="00BB788E"/>
    <w:rsid w:val="00BB78D1"/>
    <w:rsid w:val="00BBF3BD"/>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6F5"/>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043"/>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6E4C"/>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AB1"/>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398"/>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7A"/>
    <w:rsid w:val="00C158D3"/>
    <w:rsid w:val="00C158DA"/>
    <w:rsid w:val="00C160CD"/>
    <w:rsid w:val="00C165B2"/>
    <w:rsid w:val="00C16703"/>
    <w:rsid w:val="00C168F1"/>
    <w:rsid w:val="00C16AB2"/>
    <w:rsid w:val="00C16C05"/>
    <w:rsid w:val="00C17036"/>
    <w:rsid w:val="00C17215"/>
    <w:rsid w:val="00C173AD"/>
    <w:rsid w:val="00C1758F"/>
    <w:rsid w:val="00C176CB"/>
    <w:rsid w:val="00C17B3D"/>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373"/>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A1D"/>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57E"/>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57CE4"/>
    <w:rsid w:val="00C57E72"/>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30"/>
    <w:rsid w:val="00C64B75"/>
    <w:rsid w:val="00C64CA8"/>
    <w:rsid w:val="00C64E07"/>
    <w:rsid w:val="00C652DA"/>
    <w:rsid w:val="00C65572"/>
    <w:rsid w:val="00C65655"/>
    <w:rsid w:val="00C657DD"/>
    <w:rsid w:val="00C65A5E"/>
    <w:rsid w:val="00C65A69"/>
    <w:rsid w:val="00C65A6A"/>
    <w:rsid w:val="00C65CED"/>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2FBF"/>
    <w:rsid w:val="00C732CF"/>
    <w:rsid w:val="00C737F5"/>
    <w:rsid w:val="00C73805"/>
    <w:rsid w:val="00C738CF"/>
    <w:rsid w:val="00C73A42"/>
    <w:rsid w:val="00C73DD4"/>
    <w:rsid w:val="00C74147"/>
    <w:rsid w:val="00C74327"/>
    <w:rsid w:val="00C75517"/>
    <w:rsid w:val="00C75619"/>
    <w:rsid w:val="00C7579C"/>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A72"/>
    <w:rsid w:val="00C80AF3"/>
    <w:rsid w:val="00C8110D"/>
    <w:rsid w:val="00C81331"/>
    <w:rsid w:val="00C81975"/>
    <w:rsid w:val="00C81BF0"/>
    <w:rsid w:val="00C81DA6"/>
    <w:rsid w:val="00C82166"/>
    <w:rsid w:val="00C82540"/>
    <w:rsid w:val="00C82624"/>
    <w:rsid w:val="00C82EBF"/>
    <w:rsid w:val="00C82ED3"/>
    <w:rsid w:val="00C82FB5"/>
    <w:rsid w:val="00C83405"/>
    <w:rsid w:val="00C83613"/>
    <w:rsid w:val="00C83958"/>
    <w:rsid w:val="00C83D31"/>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12"/>
    <w:rsid w:val="00C91E8F"/>
    <w:rsid w:val="00C91F7A"/>
    <w:rsid w:val="00C9215C"/>
    <w:rsid w:val="00C92222"/>
    <w:rsid w:val="00C9268B"/>
    <w:rsid w:val="00C9268D"/>
    <w:rsid w:val="00C92957"/>
    <w:rsid w:val="00C929E6"/>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187"/>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016"/>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0C42"/>
    <w:rsid w:val="00CC1463"/>
    <w:rsid w:val="00CC158D"/>
    <w:rsid w:val="00CC168E"/>
    <w:rsid w:val="00CC1C59"/>
    <w:rsid w:val="00CC1D4B"/>
    <w:rsid w:val="00CC1E96"/>
    <w:rsid w:val="00CC1FEA"/>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3ED"/>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06E"/>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0E3"/>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25F"/>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B1F"/>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9B9"/>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4AA"/>
    <w:rsid w:val="00D37550"/>
    <w:rsid w:val="00D376ED"/>
    <w:rsid w:val="00D37715"/>
    <w:rsid w:val="00D37B46"/>
    <w:rsid w:val="00D400B0"/>
    <w:rsid w:val="00D403C0"/>
    <w:rsid w:val="00D4075C"/>
    <w:rsid w:val="00D40CD6"/>
    <w:rsid w:val="00D40CE6"/>
    <w:rsid w:val="00D40E31"/>
    <w:rsid w:val="00D40F7B"/>
    <w:rsid w:val="00D41123"/>
    <w:rsid w:val="00D412B0"/>
    <w:rsid w:val="00D417F7"/>
    <w:rsid w:val="00D41A0D"/>
    <w:rsid w:val="00D41BC7"/>
    <w:rsid w:val="00D41BE4"/>
    <w:rsid w:val="00D41C06"/>
    <w:rsid w:val="00D41C33"/>
    <w:rsid w:val="00D41D0D"/>
    <w:rsid w:val="00D41FF4"/>
    <w:rsid w:val="00D42531"/>
    <w:rsid w:val="00D42928"/>
    <w:rsid w:val="00D429BC"/>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8B"/>
    <w:rsid w:val="00D50FEC"/>
    <w:rsid w:val="00D51AB2"/>
    <w:rsid w:val="00D51D3E"/>
    <w:rsid w:val="00D51D9F"/>
    <w:rsid w:val="00D51ED2"/>
    <w:rsid w:val="00D51F0A"/>
    <w:rsid w:val="00D5200B"/>
    <w:rsid w:val="00D52478"/>
    <w:rsid w:val="00D524BE"/>
    <w:rsid w:val="00D5283A"/>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6D"/>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71"/>
    <w:rsid w:val="00D634A7"/>
    <w:rsid w:val="00D634E9"/>
    <w:rsid w:val="00D636AA"/>
    <w:rsid w:val="00D63CDA"/>
    <w:rsid w:val="00D643C5"/>
    <w:rsid w:val="00D64791"/>
    <w:rsid w:val="00D64A46"/>
    <w:rsid w:val="00D64B33"/>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D51"/>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1BC"/>
    <w:rsid w:val="00D812B7"/>
    <w:rsid w:val="00D8150D"/>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97F7E"/>
    <w:rsid w:val="00DA008F"/>
    <w:rsid w:val="00DA01BF"/>
    <w:rsid w:val="00DA03E9"/>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4E1"/>
    <w:rsid w:val="00DA6A3D"/>
    <w:rsid w:val="00DA6DD3"/>
    <w:rsid w:val="00DA75F8"/>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2CA7"/>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942"/>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C76"/>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C0A"/>
    <w:rsid w:val="00DC2DC7"/>
    <w:rsid w:val="00DC2E42"/>
    <w:rsid w:val="00DC31C7"/>
    <w:rsid w:val="00DC3405"/>
    <w:rsid w:val="00DC35AC"/>
    <w:rsid w:val="00DC39F8"/>
    <w:rsid w:val="00DC3A72"/>
    <w:rsid w:val="00DC3C0D"/>
    <w:rsid w:val="00DC3C85"/>
    <w:rsid w:val="00DC3CEC"/>
    <w:rsid w:val="00DC3E51"/>
    <w:rsid w:val="00DC3E91"/>
    <w:rsid w:val="00DC4063"/>
    <w:rsid w:val="00DC409B"/>
    <w:rsid w:val="00DC41E8"/>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0BCA"/>
    <w:rsid w:val="00DD1017"/>
    <w:rsid w:val="00DD1042"/>
    <w:rsid w:val="00DD1105"/>
    <w:rsid w:val="00DD1213"/>
    <w:rsid w:val="00DD12B1"/>
    <w:rsid w:val="00DD14EB"/>
    <w:rsid w:val="00DD1511"/>
    <w:rsid w:val="00DD168F"/>
    <w:rsid w:val="00DD16DB"/>
    <w:rsid w:val="00DD17AC"/>
    <w:rsid w:val="00DD1B07"/>
    <w:rsid w:val="00DD1CDB"/>
    <w:rsid w:val="00DD2035"/>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11"/>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497"/>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244"/>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2A7"/>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3"/>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3B28"/>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4E"/>
    <w:rsid w:val="00E063E2"/>
    <w:rsid w:val="00E06454"/>
    <w:rsid w:val="00E0646E"/>
    <w:rsid w:val="00E06E26"/>
    <w:rsid w:val="00E0712A"/>
    <w:rsid w:val="00E07179"/>
    <w:rsid w:val="00E07511"/>
    <w:rsid w:val="00E07955"/>
    <w:rsid w:val="00E07B62"/>
    <w:rsid w:val="00E07C2D"/>
    <w:rsid w:val="00E07DD8"/>
    <w:rsid w:val="00E07E9C"/>
    <w:rsid w:val="00E07EB8"/>
    <w:rsid w:val="00E07F78"/>
    <w:rsid w:val="00E1007E"/>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5DF"/>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089"/>
    <w:rsid w:val="00E4716E"/>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A1B"/>
    <w:rsid w:val="00E56C87"/>
    <w:rsid w:val="00E56F06"/>
    <w:rsid w:val="00E57445"/>
    <w:rsid w:val="00E57AE6"/>
    <w:rsid w:val="00E57B97"/>
    <w:rsid w:val="00E57CA4"/>
    <w:rsid w:val="00E57CB5"/>
    <w:rsid w:val="00E57E40"/>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205"/>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5B3"/>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871"/>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A83"/>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4DB8"/>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5BF3"/>
    <w:rsid w:val="00EC6183"/>
    <w:rsid w:val="00EC64EF"/>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794"/>
    <w:rsid w:val="00EF18CA"/>
    <w:rsid w:val="00EF199A"/>
    <w:rsid w:val="00EF1CA6"/>
    <w:rsid w:val="00EF22CA"/>
    <w:rsid w:val="00EF24BE"/>
    <w:rsid w:val="00EF25F1"/>
    <w:rsid w:val="00EF273C"/>
    <w:rsid w:val="00EF2AC5"/>
    <w:rsid w:val="00EF2AFF"/>
    <w:rsid w:val="00EF2E62"/>
    <w:rsid w:val="00EF3023"/>
    <w:rsid w:val="00EF3111"/>
    <w:rsid w:val="00EF3252"/>
    <w:rsid w:val="00EF326B"/>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4AE"/>
    <w:rsid w:val="00F009AF"/>
    <w:rsid w:val="00F00A8E"/>
    <w:rsid w:val="00F00ABB"/>
    <w:rsid w:val="00F00AD5"/>
    <w:rsid w:val="00F00B17"/>
    <w:rsid w:val="00F012B2"/>
    <w:rsid w:val="00F0135A"/>
    <w:rsid w:val="00F01A65"/>
    <w:rsid w:val="00F02197"/>
    <w:rsid w:val="00F0219B"/>
    <w:rsid w:val="00F023D8"/>
    <w:rsid w:val="00F023FC"/>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1FDE"/>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6FA0"/>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B7F"/>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19B"/>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6B7"/>
    <w:rsid w:val="00F428FF"/>
    <w:rsid w:val="00F42C82"/>
    <w:rsid w:val="00F43066"/>
    <w:rsid w:val="00F4309B"/>
    <w:rsid w:val="00F430BF"/>
    <w:rsid w:val="00F4339A"/>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1DA"/>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6EC"/>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896"/>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0AA6"/>
    <w:rsid w:val="00F61502"/>
    <w:rsid w:val="00F61505"/>
    <w:rsid w:val="00F619A9"/>
    <w:rsid w:val="00F61CC0"/>
    <w:rsid w:val="00F61DDA"/>
    <w:rsid w:val="00F62114"/>
    <w:rsid w:val="00F623A6"/>
    <w:rsid w:val="00F623D5"/>
    <w:rsid w:val="00F624BA"/>
    <w:rsid w:val="00F62577"/>
    <w:rsid w:val="00F62583"/>
    <w:rsid w:val="00F628A4"/>
    <w:rsid w:val="00F62986"/>
    <w:rsid w:val="00F62A20"/>
    <w:rsid w:val="00F62CC8"/>
    <w:rsid w:val="00F63311"/>
    <w:rsid w:val="00F633B4"/>
    <w:rsid w:val="00F63851"/>
    <w:rsid w:val="00F63A58"/>
    <w:rsid w:val="00F63E86"/>
    <w:rsid w:val="00F64115"/>
    <w:rsid w:val="00F6434A"/>
    <w:rsid w:val="00F646F5"/>
    <w:rsid w:val="00F64751"/>
    <w:rsid w:val="00F64CEC"/>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AE2"/>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970"/>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C7C"/>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C27"/>
    <w:rsid w:val="00F94395"/>
    <w:rsid w:val="00F945E0"/>
    <w:rsid w:val="00F94837"/>
    <w:rsid w:val="00F9484E"/>
    <w:rsid w:val="00F948B5"/>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57"/>
    <w:rsid w:val="00FA17F0"/>
    <w:rsid w:val="00FA1933"/>
    <w:rsid w:val="00FA1B8D"/>
    <w:rsid w:val="00FA1E72"/>
    <w:rsid w:val="00FA2271"/>
    <w:rsid w:val="00FA2708"/>
    <w:rsid w:val="00FA2727"/>
    <w:rsid w:val="00FA2771"/>
    <w:rsid w:val="00FA28AA"/>
    <w:rsid w:val="00FA2A3D"/>
    <w:rsid w:val="00FA2B96"/>
    <w:rsid w:val="00FA2E23"/>
    <w:rsid w:val="00FA3091"/>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11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8B3"/>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8A0"/>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00"/>
    <w:rsid w:val="00FB7EF3"/>
    <w:rsid w:val="00FB7F6F"/>
    <w:rsid w:val="00FC0004"/>
    <w:rsid w:val="00FC0013"/>
    <w:rsid w:val="00FC00FE"/>
    <w:rsid w:val="00FC0193"/>
    <w:rsid w:val="00FC02F3"/>
    <w:rsid w:val="00FC07F2"/>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0AE"/>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8F"/>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302"/>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E7D3A"/>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12D0645"/>
    <w:rsid w:val="0226761C"/>
    <w:rsid w:val="0257C41E"/>
    <w:rsid w:val="0277A4A8"/>
    <w:rsid w:val="027B85EF"/>
    <w:rsid w:val="05ACBB22"/>
    <w:rsid w:val="070F6A87"/>
    <w:rsid w:val="083BD12F"/>
    <w:rsid w:val="08AE668E"/>
    <w:rsid w:val="09376BC9"/>
    <w:rsid w:val="0941043F"/>
    <w:rsid w:val="095202A0"/>
    <w:rsid w:val="0A62D603"/>
    <w:rsid w:val="0AB39C95"/>
    <w:rsid w:val="0B944CE8"/>
    <w:rsid w:val="0BCC2972"/>
    <w:rsid w:val="0C6CE1CD"/>
    <w:rsid w:val="0CF56839"/>
    <w:rsid w:val="0F35D450"/>
    <w:rsid w:val="101DFD6E"/>
    <w:rsid w:val="1048BD8A"/>
    <w:rsid w:val="12CEBE28"/>
    <w:rsid w:val="12E3DE06"/>
    <w:rsid w:val="133DB48A"/>
    <w:rsid w:val="1358B471"/>
    <w:rsid w:val="13916F87"/>
    <w:rsid w:val="168493D2"/>
    <w:rsid w:val="16D2E5D7"/>
    <w:rsid w:val="1727BDD8"/>
    <w:rsid w:val="18233B80"/>
    <w:rsid w:val="1862A688"/>
    <w:rsid w:val="18AF6A8A"/>
    <w:rsid w:val="18E6D8AA"/>
    <w:rsid w:val="1955DC73"/>
    <w:rsid w:val="1AE6C059"/>
    <w:rsid w:val="1C3B6B25"/>
    <w:rsid w:val="1DB88815"/>
    <w:rsid w:val="1E1E611B"/>
    <w:rsid w:val="1E2A81AB"/>
    <w:rsid w:val="1E32FDDE"/>
    <w:rsid w:val="1E45A96E"/>
    <w:rsid w:val="1E7954A7"/>
    <w:rsid w:val="1F58865B"/>
    <w:rsid w:val="20152508"/>
    <w:rsid w:val="202E4D65"/>
    <w:rsid w:val="20781D7E"/>
    <w:rsid w:val="21CA1DC6"/>
    <w:rsid w:val="22855110"/>
    <w:rsid w:val="235E3372"/>
    <w:rsid w:val="2388C2B8"/>
    <w:rsid w:val="25DB67AC"/>
    <w:rsid w:val="27700FE5"/>
    <w:rsid w:val="27B2842E"/>
    <w:rsid w:val="288A948D"/>
    <w:rsid w:val="29137635"/>
    <w:rsid w:val="29F62BC7"/>
    <w:rsid w:val="2A0C53F1"/>
    <w:rsid w:val="2AEC1E29"/>
    <w:rsid w:val="2BC8B5E4"/>
    <w:rsid w:val="2C1BA392"/>
    <w:rsid w:val="2D4D5917"/>
    <w:rsid w:val="2E8F7871"/>
    <w:rsid w:val="2EFC090C"/>
    <w:rsid w:val="2F54ACAD"/>
    <w:rsid w:val="2F95DE66"/>
    <w:rsid w:val="3151DE90"/>
    <w:rsid w:val="317192B2"/>
    <w:rsid w:val="31BF5E7E"/>
    <w:rsid w:val="31CD0DFF"/>
    <w:rsid w:val="31E620BD"/>
    <w:rsid w:val="31FE3D79"/>
    <w:rsid w:val="3201D984"/>
    <w:rsid w:val="3233A9CE"/>
    <w:rsid w:val="33DA4EA7"/>
    <w:rsid w:val="362ECFAB"/>
    <w:rsid w:val="387178AE"/>
    <w:rsid w:val="387CBF9C"/>
    <w:rsid w:val="3A68155D"/>
    <w:rsid w:val="3A6E774D"/>
    <w:rsid w:val="3B3A2597"/>
    <w:rsid w:val="3B44DB02"/>
    <w:rsid w:val="3B87C97D"/>
    <w:rsid w:val="3BC6698C"/>
    <w:rsid w:val="3CB96458"/>
    <w:rsid w:val="3DE46670"/>
    <w:rsid w:val="3E7B4CD4"/>
    <w:rsid w:val="3ECE2635"/>
    <w:rsid w:val="3F06B01B"/>
    <w:rsid w:val="3FD83147"/>
    <w:rsid w:val="403CE23A"/>
    <w:rsid w:val="41DD6FCE"/>
    <w:rsid w:val="42159F6E"/>
    <w:rsid w:val="4302D69C"/>
    <w:rsid w:val="4443AFDA"/>
    <w:rsid w:val="446D75F8"/>
    <w:rsid w:val="488CED7C"/>
    <w:rsid w:val="4951F71D"/>
    <w:rsid w:val="495E3D5D"/>
    <w:rsid w:val="497FBD1A"/>
    <w:rsid w:val="4A6FE372"/>
    <w:rsid w:val="4AF06069"/>
    <w:rsid w:val="4C7887DD"/>
    <w:rsid w:val="4F34E735"/>
    <w:rsid w:val="4F9E4821"/>
    <w:rsid w:val="4FAC6F97"/>
    <w:rsid w:val="521B4717"/>
    <w:rsid w:val="52FC8B25"/>
    <w:rsid w:val="534BCA08"/>
    <w:rsid w:val="5393743D"/>
    <w:rsid w:val="53CFFC2A"/>
    <w:rsid w:val="54BD33FC"/>
    <w:rsid w:val="595063B4"/>
    <w:rsid w:val="59575D60"/>
    <w:rsid w:val="598F91F8"/>
    <w:rsid w:val="59B285F6"/>
    <w:rsid w:val="59B98325"/>
    <w:rsid w:val="5CC09328"/>
    <w:rsid w:val="5CFC7233"/>
    <w:rsid w:val="5D6E221D"/>
    <w:rsid w:val="5E19B679"/>
    <w:rsid w:val="5E9DE89B"/>
    <w:rsid w:val="5EE43EE7"/>
    <w:rsid w:val="5F44765E"/>
    <w:rsid w:val="5FAE5EB2"/>
    <w:rsid w:val="5FCE39EF"/>
    <w:rsid w:val="5FECED60"/>
    <w:rsid w:val="602457BA"/>
    <w:rsid w:val="603412F5"/>
    <w:rsid w:val="6048F14F"/>
    <w:rsid w:val="616565F7"/>
    <w:rsid w:val="635EBF79"/>
    <w:rsid w:val="643C0404"/>
    <w:rsid w:val="64A5D8F7"/>
    <w:rsid w:val="650E41B3"/>
    <w:rsid w:val="656800BB"/>
    <w:rsid w:val="6653A405"/>
    <w:rsid w:val="6704E797"/>
    <w:rsid w:val="68FEDC74"/>
    <w:rsid w:val="698E0BC4"/>
    <w:rsid w:val="6A29450E"/>
    <w:rsid w:val="6A6A1D53"/>
    <w:rsid w:val="6A864A24"/>
    <w:rsid w:val="6BC87EA9"/>
    <w:rsid w:val="6C3A95B5"/>
    <w:rsid w:val="6D4076EC"/>
    <w:rsid w:val="6E165FBA"/>
    <w:rsid w:val="6EF0318D"/>
    <w:rsid w:val="6F13B5E5"/>
    <w:rsid w:val="6FC8139D"/>
    <w:rsid w:val="6FD60AF5"/>
    <w:rsid w:val="6FF4A228"/>
    <w:rsid w:val="70A52A4B"/>
    <w:rsid w:val="70AFC77B"/>
    <w:rsid w:val="7314B8A3"/>
    <w:rsid w:val="73F69911"/>
    <w:rsid w:val="74A99898"/>
    <w:rsid w:val="74E26E7E"/>
    <w:rsid w:val="74F5A28E"/>
    <w:rsid w:val="7565CFA1"/>
    <w:rsid w:val="759D1D25"/>
    <w:rsid w:val="75AFBFB4"/>
    <w:rsid w:val="77146BCF"/>
    <w:rsid w:val="773F2018"/>
    <w:rsid w:val="779412D9"/>
    <w:rsid w:val="77B51920"/>
    <w:rsid w:val="789713D3"/>
    <w:rsid w:val="78E47D68"/>
    <w:rsid w:val="7BB89E2C"/>
    <w:rsid w:val="7C5E9B52"/>
    <w:rsid w:val="7C8F3602"/>
    <w:rsid w:val="7CC9AE92"/>
    <w:rsid w:val="7CF15844"/>
    <w:rsid w:val="7D3304AB"/>
    <w:rsid w:val="7D9444D4"/>
    <w:rsid w:val="7F4B7602"/>
    <w:rsid w:val="7F72E5F2"/>
    <w:rsid w:val="7F9E9D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2241"/>
  <w15:docId w15:val="{F572ECF4-D8B6-41CB-830B-79C8C3C1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uiPriority w:val="99"/>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qFormat/>
    <w:rsid w:val="00217E48"/>
    <w:rPr>
      <w:rFonts w:ascii="Arial" w:hAnsi="Arial" w:cs="Arial"/>
      <w:sz w:val="22"/>
      <w:szCs w:val="24"/>
      <w:lang w:eastAsia="en-US"/>
    </w:rPr>
  </w:style>
  <w:style w:type="character" w:customStyle="1" w:styleId="BriefingtextChar">
    <w:name w:val="Briefing text Char"/>
    <w:link w:val="Briefingtext"/>
    <w:qForma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character" w:customStyle="1" w:styleId="BoldItalic">
    <w:name w:val="BoldItalic"/>
    <w:uiPriority w:val="1"/>
    <w:rsid w:val="00550106"/>
    <w:rPr>
      <w:b/>
      <w:i/>
      <w:u w:val="none"/>
    </w:rPr>
  </w:style>
  <w:style w:type="paragraph" w:customStyle="1" w:styleId="Normal12a24b">
    <w:name w:val="Normal12a24b"/>
    <w:basedOn w:val="Normal"/>
    <w:rsid w:val="00550106"/>
    <w:pPr>
      <w:widowControl w:val="0"/>
      <w:spacing w:before="360"/>
      <w:jc w:val="left"/>
    </w:pPr>
    <w:rPr>
      <w:rFonts w:ascii="Times New Roman" w:hAnsi="Times New Roman"/>
      <w:snapToGrid w:val="0"/>
      <w:lang w:eastAsia="en-US"/>
    </w:rPr>
  </w:style>
  <w:style w:type="paragraph" w:customStyle="1" w:styleId="NormalHanging12a">
    <w:name w:val="NormalHanging12a"/>
    <w:basedOn w:val="Normal"/>
    <w:rsid w:val="00014891"/>
    <w:pPr>
      <w:snapToGrid w:val="0"/>
      <w:ind w:left="567" w:hanging="567"/>
      <w:jc w:val="left"/>
    </w:pPr>
    <w:rPr>
      <w:rFonts w:ascii="Times New Roman" w:hAnsi="Times New Roman"/>
      <w:lang w:eastAsia="en-US"/>
    </w:rPr>
  </w:style>
  <w:style w:type="character" w:customStyle="1" w:styleId="cf01">
    <w:name w:val="cf01"/>
    <w:basedOn w:val="DefaultParagraphFont"/>
    <w:rsid w:val="00A940DC"/>
    <w:rPr>
      <w:rFonts w:ascii="Segoe UI" w:hAnsi="Segoe UI" w:cs="Segoe UI" w:hint="default"/>
      <w:sz w:val="18"/>
      <w:szCs w:val="18"/>
    </w:rPr>
  </w:style>
  <w:style w:type="paragraph" w:customStyle="1" w:styleId="paragraph">
    <w:name w:val="paragraph"/>
    <w:basedOn w:val="Normal"/>
    <w:rsid w:val="002E7FFD"/>
    <w:pPr>
      <w:spacing w:before="100" w:beforeAutospacing="1" w:after="100" w:afterAutospacing="1"/>
      <w:jc w:val="left"/>
    </w:pPr>
    <w:rPr>
      <w:rFonts w:ascii="Calibri" w:eastAsiaTheme="minorHAnsi" w:hAnsi="Calibri" w:cs="Calibri"/>
      <w:sz w:val="22"/>
      <w:szCs w:val="22"/>
      <w:lang w:eastAsia="en-IE"/>
    </w:rPr>
  </w:style>
  <w:style w:type="character" w:customStyle="1" w:styleId="normaltextrun">
    <w:name w:val="normaltextrun"/>
    <w:basedOn w:val="DefaultParagraphFont"/>
    <w:rsid w:val="002E7FFD"/>
  </w:style>
  <w:style w:type="character" w:customStyle="1" w:styleId="eop">
    <w:name w:val="eop"/>
    <w:basedOn w:val="DefaultParagraphFont"/>
    <w:rsid w:val="002E7FFD"/>
  </w:style>
  <w:style w:type="character" w:customStyle="1" w:styleId="superscript">
    <w:name w:val="superscript"/>
    <w:basedOn w:val="DefaultParagraphFont"/>
    <w:rsid w:val="002E7FFD"/>
  </w:style>
  <w:style w:type="paragraph" w:customStyle="1" w:styleId="pf0">
    <w:name w:val="pf0"/>
    <w:basedOn w:val="Normal"/>
    <w:rsid w:val="00825956"/>
    <w:pPr>
      <w:spacing w:before="100" w:beforeAutospacing="1" w:after="100" w:afterAutospacing="1"/>
      <w:jc w:val="left"/>
    </w:pPr>
    <w:rPr>
      <w:rFonts w:ascii="Times New Roman" w:hAnsi="Times New Roman"/>
      <w:szCs w:val="24"/>
      <w:lang w:eastAsia="en-IE"/>
    </w:rPr>
  </w:style>
  <w:style w:type="character" w:customStyle="1" w:styleId="cf11">
    <w:name w:val="cf11"/>
    <w:basedOn w:val="DefaultParagraphFont"/>
    <w:rsid w:val="00D5283A"/>
    <w:rPr>
      <w:rFonts w:ascii="Segoe UI" w:hAnsi="Segoe UI" w:cs="Segoe UI" w:hint="default"/>
      <w:sz w:val="18"/>
      <w:szCs w:val="18"/>
    </w:rPr>
  </w:style>
  <w:style w:type="character" w:customStyle="1" w:styleId="cf21">
    <w:name w:val="cf21"/>
    <w:basedOn w:val="DefaultParagraphFont"/>
    <w:rsid w:val="00D5283A"/>
    <w:rPr>
      <w:rFonts w:ascii="Segoe UI" w:hAnsi="Segoe UI" w:cs="Segoe UI" w:hint="default"/>
      <w:sz w:val="18"/>
      <w:szCs w:val="18"/>
    </w:rPr>
  </w:style>
  <w:style w:type="character" w:customStyle="1" w:styleId="diff-tte-added">
    <w:name w:val="diff-tte-added"/>
    <w:basedOn w:val="DefaultParagraphFont"/>
    <w:rsid w:val="00FB0115"/>
    <w:rPr>
      <w:b/>
      <w:i/>
    </w:rPr>
  </w:style>
  <w:style w:type="character" w:styleId="UnresolvedMention">
    <w:name w:val="Unresolved Mention"/>
    <w:basedOn w:val="DefaultParagraphFont"/>
    <w:uiPriority w:val="99"/>
    <w:semiHidden/>
    <w:unhideWhenUsed/>
    <w:rsid w:val="000741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3">
      <w:bodyDiv w:val="1"/>
      <w:marLeft w:val="0"/>
      <w:marRight w:val="0"/>
      <w:marTop w:val="0"/>
      <w:marBottom w:val="0"/>
      <w:divBdr>
        <w:top w:val="none" w:sz="0" w:space="0" w:color="auto"/>
        <w:left w:val="none" w:sz="0" w:space="0" w:color="auto"/>
        <w:bottom w:val="none" w:sz="0" w:space="0" w:color="auto"/>
        <w:right w:val="none" w:sz="0" w:space="0" w:color="auto"/>
      </w:divBdr>
    </w:div>
    <w:div w:id="298802337">
      <w:bodyDiv w:val="1"/>
      <w:marLeft w:val="0"/>
      <w:marRight w:val="0"/>
      <w:marTop w:val="0"/>
      <w:marBottom w:val="0"/>
      <w:divBdr>
        <w:top w:val="none" w:sz="0" w:space="0" w:color="auto"/>
        <w:left w:val="none" w:sz="0" w:space="0" w:color="auto"/>
        <w:bottom w:val="none" w:sz="0" w:space="0" w:color="auto"/>
        <w:right w:val="none" w:sz="0" w:space="0" w:color="auto"/>
      </w:divBdr>
    </w:div>
    <w:div w:id="310331161">
      <w:bodyDiv w:val="1"/>
      <w:marLeft w:val="0"/>
      <w:marRight w:val="0"/>
      <w:marTop w:val="0"/>
      <w:marBottom w:val="0"/>
      <w:divBdr>
        <w:top w:val="none" w:sz="0" w:space="0" w:color="auto"/>
        <w:left w:val="none" w:sz="0" w:space="0" w:color="auto"/>
        <w:bottom w:val="none" w:sz="0" w:space="0" w:color="auto"/>
        <w:right w:val="none" w:sz="0" w:space="0" w:color="auto"/>
      </w:divBdr>
    </w:div>
    <w:div w:id="345639517">
      <w:bodyDiv w:val="1"/>
      <w:marLeft w:val="0"/>
      <w:marRight w:val="0"/>
      <w:marTop w:val="0"/>
      <w:marBottom w:val="0"/>
      <w:divBdr>
        <w:top w:val="none" w:sz="0" w:space="0" w:color="auto"/>
        <w:left w:val="none" w:sz="0" w:space="0" w:color="auto"/>
        <w:bottom w:val="none" w:sz="0" w:space="0" w:color="auto"/>
        <w:right w:val="none" w:sz="0" w:space="0" w:color="auto"/>
      </w:divBdr>
    </w:div>
    <w:div w:id="534003911">
      <w:bodyDiv w:val="1"/>
      <w:marLeft w:val="0"/>
      <w:marRight w:val="0"/>
      <w:marTop w:val="0"/>
      <w:marBottom w:val="0"/>
      <w:divBdr>
        <w:top w:val="none" w:sz="0" w:space="0" w:color="auto"/>
        <w:left w:val="none" w:sz="0" w:space="0" w:color="auto"/>
        <w:bottom w:val="none" w:sz="0" w:space="0" w:color="auto"/>
        <w:right w:val="none" w:sz="0" w:space="0" w:color="auto"/>
      </w:divBdr>
    </w:div>
    <w:div w:id="625432890">
      <w:bodyDiv w:val="1"/>
      <w:marLeft w:val="0"/>
      <w:marRight w:val="0"/>
      <w:marTop w:val="0"/>
      <w:marBottom w:val="0"/>
      <w:divBdr>
        <w:top w:val="none" w:sz="0" w:space="0" w:color="auto"/>
        <w:left w:val="none" w:sz="0" w:space="0" w:color="auto"/>
        <w:bottom w:val="none" w:sz="0" w:space="0" w:color="auto"/>
        <w:right w:val="none" w:sz="0" w:space="0" w:color="auto"/>
      </w:divBdr>
    </w:div>
    <w:div w:id="641035521">
      <w:bodyDiv w:val="1"/>
      <w:marLeft w:val="0"/>
      <w:marRight w:val="0"/>
      <w:marTop w:val="0"/>
      <w:marBottom w:val="0"/>
      <w:divBdr>
        <w:top w:val="none" w:sz="0" w:space="0" w:color="auto"/>
        <w:left w:val="none" w:sz="0" w:space="0" w:color="auto"/>
        <w:bottom w:val="none" w:sz="0" w:space="0" w:color="auto"/>
        <w:right w:val="none" w:sz="0" w:space="0" w:color="auto"/>
      </w:divBdr>
    </w:div>
    <w:div w:id="704982831">
      <w:bodyDiv w:val="1"/>
      <w:marLeft w:val="0"/>
      <w:marRight w:val="0"/>
      <w:marTop w:val="0"/>
      <w:marBottom w:val="0"/>
      <w:divBdr>
        <w:top w:val="none" w:sz="0" w:space="0" w:color="auto"/>
        <w:left w:val="none" w:sz="0" w:space="0" w:color="auto"/>
        <w:bottom w:val="none" w:sz="0" w:space="0" w:color="auto"/>
        <w:right w:val="none" w:sz="0" w:space="0" w:color="auto"/>
      </w:divBdr>
    </w:div>
    <w:div w:id="1082752069">
      <w:bodyDiv w:val="1"/>
      <w:marLeft w:val="0"/>
      <w:marRight w:val="0"/>
      <w:marTop w:val="0"/>
      <w:marBottom w:val="0"/>
      <w:divBdr>
        <w:top w:val="none" w:sz="0" w:space="0" w:color="auto"/>
        <w:left w:val="none" w:sz="0" w:space="0" w:color="auto"/>
        <w:bottom w:val="none" w:sz="0" w:space="0" w:color="auto"/>
        <w:right w:val="none" w:sz="0" w:space="0" w:color="auto"/>
      </w:divBdr>
    </w:div>
    <w:div w:id="1224217907">
      <w:bodyDiv w:val="1"/>
      <w:marLeft w:val="0"/>
      <w:marRight w:val="0"/>
      <w:marTop w:val="0"/>
      <w:marBottom w:val="0"/>
      <w:divBdr>
        <w:top w:val="none" w:sz="0" w:space="0" w:color="auto"/>
        <w:left w:val="none" w:sz="0" w:space="0" w:color="auto"/>
        <w:bottom w:val="none" w:sz="0" w:space="0" w:color="auto"/>
        <w:right w:val="none" w:sz="0" w:space="0" w:color="auto"/>
      </w:divBdr>
    </w:div>
    <w:div w:id="1257832640">
      <w:bodyDiv w:val="1"/>
      <w:marLeft w:val="0"/>
      <w:marRight w:val="0"/>
      <w:marTop w:val="0"/>
      <w:marBottom w:val="0"/>
      <w:divBdr>
        <w:top w:val="none" w:sz="0" w:space="0" w:color="auto"/>
        <w:left w:val="none" w:sz="0" w:space="0" w:color="auto"/>
        <w:bottom w:val="none" w:sz="0" w:space="0" w:color="auto"/>
        <w:right w:val="none" w:sz="0" w:space="0" w:color="auto"/>
      </w:divBdr>
    </w:div>
    <w:div w:id="1306541969">
      <w:bodyDiv w:val="1"/>
      <w:marLeft w:val="0"/>
      <w:marRight w:val="0"/>
      <w:marTop w:val="0"/>
      <w:marBottom w:val="0"/>
      <w:divBdr>
        <w:top w:val="none" w:sz="0" w:space="0" w:color="auto"/>
        <w:left w:val="none" w:sz="0" w:space="0" w:color="auto"/>
        <w:bottom w:val="none" w:sz="0" w:space="0" w:color="auto"/>
        <w:right w:val="none" w:sz="0" w:space="0" w:color="auto"/>
      </w:divBdr>
    </w:div>
    <w:div w:id="1329214280">
      <w:bodyDiv w:val="1"/>
      <w:marLeft w:val="0"/>
      <w:marRight w:val="0"/>
      <w:marTop w:val="0"/>
      <w:marBottom w:val="0"/>
      <w:divBdr>
        <w:top w:val="none" w:sz="0" w:space="0" w:color="auto"/>
        <w:left w:val="none" w:sz="0" w:space="0" w:color="auto"/>
        <w:bottom w:val="none" w:sz="0" w:space="0" w:color="auto"/>
        <w:right w:val="none" w:sz="0" w:space="0" w:color="auto"/>
      </w:divBdr>
    </w:div>
    <w:div w:id="1420567552">
      <w:bodyDiv w:val="1"/>
      <w:marLeft w:val="0"/>
      <w:marRight w:val="0"/>
      <w:marTop w:val="0"/>
      <w:marBottom w:val="0"/>
      <w:divBdr>
        <w:top w:val="none" w:sz="0" w:space="0" w:color="auto"/>
        <w:left w:val="none" w:sz="0" w:space="0" w:color="auto"/>
        <w:bottom w:val="none" w:sz="0" w:space="0" w:color="auto"/>
        <w:right w:val="none" w:sz="0" w:space="0" w:color="auto"/>
      </w:divBdr>
    </w:div>
    <w:div w:id="1455824903">
      <w:bodyDiv w:val="1"/>
      <w:marLeft w:val="0"/>
      <w:marRight w:val="0"/>
      <w:marTop w:val="0"/>
      <w:marBottom w:val="0"/>
      <w:divBdr>
        <w:top w:val="none" w:sz="0" w:space="0" w:color="auto"/>
        <w:left w:val="none" w:sz="0" w:space="0" w:color="auto"/>
        <w:bottom w:val="none" w:sz="0" w:space="0" w:color="auto"/>
        <w:right w:val="none" w:sz="0" w:space="0" w:color="auto"/>
      </w:divBdr>
    </w:div>
    <w:div w:id="1599631077">
      <w:bodyDiv w:val="1"/>
      <w:marLeft w:val="0"/>
      <w:marRight w:val="0"/>
      <w:marTop w:val="0"/>
      <w:marBottom w:val="0"/>
      <w:divBdr>
        <w:top w:val="none" w:sz="0" w:space="0" w:color="auto"/>
        <w:left w:val="none" w:sz="0" w:space="0" w:color="auto"/>
        <w:bottom w:val="none" w:sz="0" w:space="0" w:color="auto"/>
        <w:right w:val="none" w:sz="0" w:space="0" w:color="auto"/>
      </w:divBdr>
    </w:div>
    <w:div w:id="1792507525">
      <w:bodyDiv w:val="1"/>
      <w:marLeft w:val="0"/>
      <w:marRight w:val="0"/>
      <w:marTop w:val="0"/>
      <w:marBottom w:val="0"/>
      <w:divBdr>
        <w:top w:val="none" w:sz="0" w:space="0" w:color="auto"/>
        <w:left w:val="none" w:sz="0" w:space="0" w:color="auto"/>
        <w:bottom w:val="none" w:sz="0" w:space="0" w:color="auto"/>
        <w:right w:val="none" w:sz="0" w:space="0" w:color="auto"/>
      </w:divBdr>
    </w:div>
    <w:div w:id="1903102389">
      <w:bodyDiv w:val="1"/>
      <w:marLeft w:val="0"/>
      <w:marRight w:val="0"/>
      <w:marTop w:val="0"/>
      <w:marBottom w:val="0"/>
      <w:divBdr>
        <w:top w:val="none" w:sz="0" w:space="0" w:color="auto"/>
        <w:left w:val="none" w:sz="0" w:space="0" w:color="auto"/>
        <w:bottom w:val="none" w:sz="0" w:space="0" w:color="auto"/>
        <w:right w:val="none" w:sz="0" w:space="0" w:color="auto"/>
      </w:divBdr>
    </w:div>
    <w:div w:id="1912881988">
      <w:bodyDiv w:val="1"/>
      <w:marLeft w:val="0"/>
      <w:marRight w:val="0"/>
      <w:marTop w:val="0"/>
      <w:marBottom w:val="0"/>
      <w:divBdr>
        <w:top w:val="none" w:sz="0" w:space="0" w:color="auto"/>
        <w:left w:val="none" w:sz="0" w:space="0" w:color="auto"/>
        <w:bottom w:val="none" w:sz="0" w:space="0" w:color="auto"/>
        <w:right w:val="none" w:sz="0" w:space="0" w:color="auto"/>
      </w:divBdr>
    </w:div>
    <w:div w:id="2000186744">
      <w:bodyDiv w:val="1"/>
      <w:marLeft w:val="0"/>
      <w:marRight w:val="0"/>
      <w:marTop w:val="0"/>
      <w:marBottom w:val="0"/>
      <w:divBdr>
        <w:top w:val="none" w:sz="0" w:space="0" w:color="auto"/>
        <w:left w:val="none" w:sz="0" w:space="0" w:color="auto"/>
        <w:bottom w:val="none" w:sz="0" w:space="0" w:color="auto"/>
        <w:right w:val="none" w:sz="0" w:space="0" w:color="auto"/>
      </w:divBdr>
    </w:div>
    <w:div w:id="20479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eli/reg/2023/2854/oj?locale=fr" TargetMode="External"/><Relationship Id="rId18" Type="http://schemas.openxmlformats.org/officeDocument/2006/relationships/hyperlink" Target="https://cordis.europa.eu/project/id/10113646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irculareconomy.europa.eu/platform/fr/node/1340" TargetMode="External"/><Relationship Id="rId17" Type="http://schemas.openxmlformats.org/officeDocument/2006/relationships/hyperlink" Target="https://cordis.europa.eu/project/id/101136462"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rdis.europa.eu/project/id/10113646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petition-policy.ec.europa.eu/sectors/transport-tourism/maritime-transport_en"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ordis.europa.eu/project/id/101136462"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rdis.europa.eu/project/id/10113646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dis.europa.eu/project/id/101136462"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europa.eu/doi/10.2832/679675" TargetMode="External"/><Relationship Id="rId7" Type="http://schemas.openxmlformats.org/officeDocument/2006/relationships/hyperlink" Target="https://eur-lex.europa.eu/legal-content/FR/TXT/?uri=CELEX:52021DC0350" TargetMode="External"/><Relationship Id="rId2" Type="http://schemas.openxmlformats.org/officeDocument/2006/relationships/hyperlink" Target="https://www.wista.be/dihonours2024" TargetMode="External"/><Relationship Id="rId1" Type="http://schemas.openxmlformats.org/officeDocument/2006/relationships/hyperlink" Target="https://www.wista.be/dihonours2024" TargetMode="External"/><Relationship Id="rId6" Type="http://schemas.openxmlformats.org/officeDocument/2006/relationships/hyperlink" Target="https://international-partnerships.ec.europa.eu/policies/global-gateway/initiatives-region_en?prefLang=fr" TargetMode="External"/><Relationship Id="rId5" Type="http://schemas.openxmlformats.org/officeDocument/2006/relationships/hyperlink" Target="https://eur-lex.europa.eu/legal-content/FR/TXT/?uri=COM:2021:82:FIN" TargetMode="External"/><Relationship Id="rId4" Type="http://schemas.openxmlformats.org/officeDocument/2006/relationships/hyperlink" Target="https://data.europa.eu/doi/10.2832/935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9998F76B226B408389BD24B25049DA" ma:contentTypeVersion="6" ma:contentTypeDescription="Create a new document." ma:contentTypeScope="" ma:versionID="398574ba5d51fb78833149ce3d9df3a7">
  <xsd:schema xmlns:xsd="http://www.w3.org/2001/XMLSchema" xmlns:xs="http://www.w3.org/2001/XMLSchema" xmlns:p="http://schemas.microsoft.com/office/2006/metadata/properties" xmlns:ns2="0404e7c2-8d3a-4ada-a8b4-f0c307b12f88" xmlns:ns3="3d773fd8-5df6-4e26-b464-76be9c5c7a6f" targetNamespace="http://schemas.microsoft.com/office/2006/metadata/properties" ma:root="true" ma:fieldsID="ab7461111ce9ea2e660c0a6839e4beb3" ns2:_="" ns3:_="">
    <xsd:import namespace="0404e7c2-8d3a-4ada-a8b4-f0c307b12f88"/>
    <xsd:import namespace="3d773fd8-5df6-4e26-b464-76be9c5c7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4e7c2-8d3a-4ada-a8b4-f0c307b12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773fd8-5df6-4e26-b464-76be9c5c7a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8B0A7-7E3D-4314-B193-6281F8B2218C}">
  <ds:schemaRefs>
    <ds:schemaRef ds:uri="http://schemas.openxmlformats.org/officeDocument/2006/bibliography"/>
  </ds:schemaRefs>
</ds:datastoreItem>
</file>

<file path=customXml/itemProps2.xml><?xml version="1.0" encoding="utf-8"?>
<ds:datastoreItem xmlns:ds="http://schemas.openxmlformats.org/officeDocument/2006/customXml" ds:itemID="{1CEE531D-F521-4FA4-B6FE-642A5CA225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9109C3-1E5F-440D-9F49-9E2187111CAB}">
  <ds:schemaRefs>
    <ds:schemaRef ds:uri="http://schemas.microsoft.com/sharepoint/v3/contenttype/forms"/>
  </ds:schemaRefs>
</ds:datastoreItem>
</file>

<file path=customXml/itemProps4.xml><?xml version="1.0" encoding="utf-8"?>
<ds:datastoreItem xmlns:ds="http://schemas.openxmlformats.org/officeDocument/2006/customXml" ds:itemID="{7ED04AA8-021D-4FB3-BA9F-AC3D994FA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4e7c2-8d3a-4ada-a8b4-f0c307b12f88"/>
    <ds:schemaRef ds:uri="3d773fd8-5df6-4e26-b464-76be9c5c7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Template>
  <TotalTime>1</TotalTime>
  <Pages>14</Pages>
  <Words>7436</Words>
  <Characters>42573</Characters>
  <Application>Microsoft Office Word</Application>
  <DocSecurity>0</DocSecurity>
  <PresentationFormat>Microsoft Word 8.0b</PresentationFormat>
  <Lines>617</Lines>
  <Paragraphs>93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DE BOECK Alicia (DGT)</cp:lastModifiedBy>
  <cp:revision>4</cp:revision>
  <cp:lastPrinted>2024-04-17T17:38:00Z</cp:lastPrinted>
  <dcterms:created xsi:type="dcterms:W3CDTF">2024-04-20T08:41:00Z</dcterms:created>
  <dcterms:modified xsi:type="dcterms:W3CDTF">2024-07-18T15:24:00Z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ContentTypeId">
    <vt:lpwstr>0x0101009B9998F76B226B408389BD24B25049DA</vt:lpwstr>
  </property>
  <property fmtid="{D5CDD505-2E9C-101B-9397-08002B2CF9AE}" pid="14" name="MSIP_Label_6bd9ddd1-4d20-43f6-abfa-fc3c07406f94_Enabled">
    <vt:lpwstr>true</vt:lpwstr>
  </property>
  <property fmtid="{D5CDD505-2E9C-101B-9397-08002B2CF9AE}" pid="15" name="MSIP_Label_6bd9ddd1-4d20-43f6-abfa-fc3c07406f94_SetDate">
    <vt:lpwstr>2023-10-12T14:29:17Z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1a8d7481-3597-4df8-8cf3-b88ba4f550d0</vt:lpwstr>
  </property>
  <property fmtid="{D5CDD505-2E9C-101B-9397-08002B2CF9AE}" pid="20" name="MSIP_Label_6bd9ddd1-4d20-43f6-abfa-fc3c07406f94_ContentBits">
    <vt:lpwstr>0</vt:lpwstr>
  </property>
  <property fmtid="{D5CDD505-2E9C-101B-9397-08002B2CF9AE}" pid="21" name="_dlc_DocIdItemGuid">
    <vt:lpwstr>06c180fb-c03d-4049-a71a-ebe54f0a1ec6</vt:lpwstr>
  </property>
</Properties>
</file>