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0058" w:rsidRPr="00350058" w:rsidRDefault="00350058" w:rsidP="00350058">
      <w:pPr>
        <w:spacing w:after="240"/>
        <w:jc w:val="center"/>
        <w:rPr>
          <w:rFonts w:eastAsia="Times New Roman"/>
          <w:szCs w:val="20"/>
          <w:lang w:val="fr-FR" w:eastAsia="en-GB"/>
        </w:rPr>
      </w:pPr>
      <w:bookmarkStart w:id="0" w:name="_GoBack"/>
      <w:bookmarkEnd w:id="0"/>
      <w:r w:rsidRPr="00350058">
        <w:rPr>
          <w:rFonts w:eastAsia="Times New Roman"/>
          <w:b/>
          <w:szCs w:val="20"/>
          <w:lang w:val="fr-FR" w:eastAsia="en-GB"/>
        </w:rPr>
        <w:t>PROCÉDURE LÉGISLATIVE ORDINAIRE</w:t>
      </w:r>
    </w:p>
    <w:p w:rsidR="00350058" w:rsidRPr="00350058" w:rsidRDefault="00350058" w:rsidP="00350058">
      <w:pPr>
        <w:spacing w:after="600"/>
        <w:jc w:val="center"/>
        <w:rPr>
          <w:rFonts w:eastAsia="Times New Roman"/>
          <w:b/>
          <w:bCs/>
          <w:lang w:val="fr-FR" w:eastAsia="en-GB"/>
        </w:rPr>
      </w:pPr>
      <w:bookmarkStart w:id="1" w:name="account"/>
      <w:r w:rsidRPr="00350058">
        <w:rPr>
          <w:rFonts w:eastAsia="Times New Roman"/>
          <w:b/>
          <w:szCs w:val="20"/>
          <w:lang w:val="fr-FR" w:eastAsia="en-GB"/>
        </w:rPr>
        <w:t>Suite donnée à la résolution législative du Parlement européen sur la proposition de règlement du Parlement européen et du Conseil modifiant le règlement (UE) nº 691/2011 en ce qui concerne l’introduction de nouveaux modules relatifs aux comptes économiques de l’environnement</w:t>
      </w:r>
    </w:p>
    <w:bookmarkEnd w:id="1"/>
    <w:p w:rsidR="00350058" w:rsidRPr="00350058" w:rsidRDefault="00350058" w:rsidP="00350058">
      <w:pPr>
        <w:spacing w:after="240" w:line="240" w:lineRule="atLeast"/>
        <w:ind w:left="567" w:hanging="567"/>
        <w:jc w:val="left"/>
        <w:rPr>
          <w:rFonts w:eastAsia="Times New Roman"/>
          <w:szCs w:val="20"/>
          <w:lang w:val="fr-FR" w:eastAsia="en-GB"/>
        </w:rPr>
      </w:pPr>
      <w:r w:rsidRPr="00350058">
        <w:rPr>
          <w:rFonts w:eastAsia="Times New Roman"/>
          <w:b/>
          <w:szCs w:val="20"/>
          <w:lang w:val="fr-FR" w:eastAsia="en-GB"/>
        </w:rPr>
        <w:t>1.</w:t>
      </w:r>
      <w:r w:rsidRPr="00350058">
        <w:rPr>
          <w:rFonts w:eastAsia="Times New Roman"/>
          <w:b/>
          <w:szCs w:val="20"/>
          <w:lang w:val="fr-FR" w:eastAsia="en-GB"/>
        </w:rPr>
        <w:tab/>
        <w:t xml:space="preserve">Rapporteur(e)(s): </w:t>
      </w:r>
      <w:r w:rsidRPr="00350058">
        <w:rPr>
          <w:rFonts w:eastAsia="Times New Roman"/>
          <w:szCs w:val="20"/>
          <w:lang w:val="fr-FR" w:eastAsia="en-GB"/>
        </w:rPr>
        <w:t>Pascal CANFIN (Renew/FR)</w:t>
      </w:r>
    </w:p>
    <w:p w:rsidR="00350058" w:rsidRPr="00350058" w:rsidRDefault="00350058" w:rsidP="00350058">
      <w:pPr>
        <w:spacing w:after="240" w:line="240" w:lineRule="atLeast"/>
        <w:ind w:left="567" w:hanging="567"/>
        <w:rPr>
          <w:rFonts w:eastAsia="Times New Roman"/>
          <w:szCs w:val="20"/>
          <w:lang w:val="fr-FR" w:eastAsia="en-GB"/>
        </w:rPr>
      </w:pPr>
      <w:r w:rsidRPr="00350058">
        <w:rPr>
          <w:rFonts w:eastAsia="Times New Roman"/>
          <w:b/>
          <w:szCs w:val="20"/>
          <w:lang w:val="fr-FR" w:eastAsia="en-GB"/>
        </w:rPr>
        <w:t>2.</w:t>
      </w:r>
      <w:r w:rsidRPr="00350058">
        <w:rPr>
          <w:rFonts w:eastAsia="Times New Roman"/>
          <w:b/>
          <w:szCs w:val="20"/>
          <w:lang w:val="fr-FR" w:eastAsia="en-GB"/>
        </w:rPr>
        <w:tab/>
        <w:t>Numéros de référence:</w:t>
      </w:r>
      <w:r w:rsidRPr="00350058">
        <w:rPr>
          <w:rFonts w:eastAsia="Times New Roman"/>
          <w:szCs w:val="20"/>
          <w:lang w:val="fr-FR" w:eastAsia="en-GB"/>
        </w:rPr>
        <w:t xml:space="preserve"> 2022/0210 (COD) / A9-0296/2023 / P9_TA(2024)0194</w:t>
      </w:r>
    </w:p>
    <w:p w:rsidR="00350058" w:rsidRPr="00350058" w:rsidRDefault="00350058" w:rsidP="00350058">
      <w:pPr>
        <w:spacing w:after="240" w:line="240" w:lineRule="atLeast"/>
        <w:ind w:left="567" w:hanging="567"/>
        <w:jc w:val="left"/>
        <w:rPr>
          <w:rFonts w:eastAsia="Times New Roman"/>
          <w:szCs w:val="20"/>
          <w:lang w:val="fr-FR" w:eastAsia="en-GB"/>
        </w:rPr>
      </w:pPr>
      <w:r w:rsidRPr="00350058">
        <w:rPr>
          <w:rFonts w:eastAsia="Times New Roman"/>
          <w:b/>
          <w:szCs w:val="20"/>
          <w:lang w:val="fr-FR" w:eastAsia="en-GB"/>
        </w:rPr>
        <w:t>3.</w:t>
      </w:r>
      <w:r w:rsidRPr="00350058">
        <w:rPr>
          <w:rFonts w:eastAsia="Times New Roman"/>
          <w:b/>
          <w:szCs w:val="20"/>
          <w:lang w:val="fr-FR" w:eastAsia="en-GB"/>
        </w:rPr>
        <w:tab/>
        <w:t>Date d’adoption de la résolution:</w:t>
      </w:r>
      <w:r w:rsidRPr="00350058">
        <w:rPr>
          <w:rFonts w:eastAsia="Times New Roman"/>
          <w:szCs w:val="20"/>
          <w:lang w:val="fr-FR" w:eastAsia="en-GB"/>
        </w:rPr>
        <w:t xml:space="preserve"> 10 avril 2024</w:t>
      </w:r>
    </w:p>
    <w:p w:rsidR="00350058" w:rsidRPr="00350058" w:rsidRDefault="00350058" w:rsidP="00350058">
      <w:pPr>
        <w:spacing w:after="240" w:line="240" w:lineRule="atLeast"/>
        <w:ind w:left="567" w:hanging="567"/>
        <w:rPr>
          <w:rFonts w:eastAsia="Times New Roman"/>
          <w:szCs w:val="20"/>
          <w:lang w:val="fr-FR" w:eastAsia="en-GB"/>
        </w:rPr>
      </w:pPr>
      <w:r w:rsidRPr="00350058">
        <w:rPr>
          <w:rFonts w:eastAsia="Times New Roman"/>
          <w:b/>
          <w:szCs w:val="20"/>
          <w:lang w:val="fr-FR" w:eastAsia="en-GB"/>
        </w:rPr>
        <w:t>4.</w:t>
      </w:r>
      <w:r w:rsidRPr="00350058">
        <w:rPr>
          <w:rFonts w:eastAsia="Times New Roman"/>
          <w:b/>
          <w:szCs w:val="20"/>
          <w:lang w:val="fr-FR" w:eastAsia="en-GB"/>
        </w:rPr>
        <w:tab/>
        <w:t xml:space="preserve">Base juridique: </w:t>
      </w:r>
      <w:r w:rsidRPr="00350058">
        <w:rPr>
          <w:rFonts w:eastAsia="Times New Roman"/>
          <w:szCs w:val="20"/>
          <w:lang w:val="fr-FR" w:eastAsia="en-GB"/>
        </w:rPr>
        <w:t>article 338, paragraphe 1, du traité sur le fonctionnement de l'Union européenne</w:t>
      </w:r>
    </w:p>
    <w:p w:rsidR="00350058" w:rsidRPr="00350058" w:rsidRDefault="00350058" w:rsidP="00350058">
      <w:pPr>
        <w:spacing w:after="240" w:line="240" w:lineRule="atLeast"/>
        <w:ind w:left="567" w:hanging="567"/>
        <w:rPr>
          <w:rFonts w:eastAsia="Times New Roman"/>
          <w:lang w:val="fr-FR" w:eastAsia="en-GB"/>
        </w:rPr>
      </w:pPr>
      <w:r w:rsidRPr="00350058">
        <w:rPr>
          <w:rFonts w:eastAsia="Times New Roman"/>
          <w:b/>
          <w:szCs w:val="20"/>
          <w:lang w:val="fr-FR" w:eastAsia="en-GB"/>
        </w:rPr>
        <w:t>5.</w:t>
      </w:r>
      <w:r w:rsidRPr="00350058">
        <w:rPr>
          <w:rFonts w:eastAsia="Times New Roman"/>
          <w:b/>
          <w:szCs w:val="20"/>
          <w:lang w:val="fr-FR" w:eastAsia="en-GB"/>
        </w:rPr>
        <w:tab/>
        <w:t>Commission parlementaire compétente:</w:t>
      </w:r>
      <w:r w:rsidRPr="00350058">
        <w:rPr>
          <w:rFonts w:eastAsia="Times New Roman"/>
          <w:szCs w:val="20"/>
          <w:lang w:val="fr-FR" w:eastAsia="en-GB"/>
        </w:rPr>
        <w:t xml:space="preserve"> commission de l’environnement, de la santé publique et de la sécurité alimentaire (ENVI)</w:t>
      </w:r>
    </w:p>
    <w:p w:rsidR="008765BE" w:rsidRDefault="00350058" w:rsidP="00350058">
      <w:r w:rsidRPr="00350058">
        <w:rPr>
          <w:rFonts w:eastAsia="Times New Roman"/>
          <w:b/>
          <w:szCs w:val="20"/>
          <w:lang w:val="fr-FR" w:eastAsia="en-GB"/>
        </w:rPr>
        <w:t>6.</w:t>
      </w:r>
      <w:r w:rsidRPr="00350058">
        <w:rPr>
          <w:rFonts w:eastAsia="Times New Roman"/>
          <w:b/>
          <w:szCs w:val="20"/>
          <w:lang w:val="fr-FR" w:eastAsia="en-GB"/>
        </w:rPr>
        <w:tab/>
        <w:t>Position de la Commission:</w:t>
      </w:r>
      <w:r w:rsidRPr="00350058">
        <w:rPr>
          <w:rFonts w:eastAsia="Times New Roman"/>
          <w:color w:val="000000"/>
          <w:sz w:val="22"/>
          <w:szCs w:val="20"/>
          <w:lang w:val="fr-FR" w:eastAsia="en-GB"/>
        </w:rPr>
        <w:t xml:space="preserve"> </w:t>
      </w:r>
      <w:r w:rsidRPr="00350058">
        <w:rPr>
          <w:rFonts w:eastAsia="Times New Roman"/>
          <w:color w:val="000000"/>
          <w:szCs w:val="20"/>
          <w:lang w:val="fr-FR" w:eastAsia="en-GB"/>
        </w:rPr>
        <w:t>la Commission accepte tous les amendements</w:t>
      </w:r>
    </w:p>
    <w:sectPr w:rsidR="008765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058"/>
    <w:rsid w:val="00350058"/>
    <w:rsid w:val="005762E3"/>
    <w:rsid w:val="00876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CD0B13-3A03-4ECB-A87A-DFCA2241D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62E3"/>
    <w:pPr>
      <w:jc w:val="both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62E3"/>
    <w:pPr>
      <w:keepNext/>
      <w:spacing w:before="240" w:after="60"/>
      <w:outlineLvl w:val="0"/>
    </w:pPr>
    <w:rPr>
      <w:rFonts w:ascii="Arial" w:eastAsiaTheme="majorEastAsia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62E3"/>
    <w:pPr>
      <w:keepNext/>
      <w:spacing w:before="240" w:after="60"/>
      <w:outlineLvl w:val="1"/>
    </w:pPr>
    <w:rPr>
      <w:rFonts w:ascii="Arial" w:eastAsiaTheme="majorEastAsia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62E3"/>
    <w:pPr>
      <w:keepNext/>
      <w:spacing w:before="240" w:after="60"/>
      <w:outlineLvl w:val="2"/>
    </w:pPr>
    <w:rPr>
      <w:rFonts w:ascii="Arial" w:eastAsiaTheme="majorEastAsia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62E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62E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62E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62E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62E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62E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62E3"/>
    <w:rPr>
      <w:rFonts w:ascii="Arial" w:eastAsiaTheme="majorEastAsia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62E3"/>
    <w:rPr>
      <w:rFonts w:ascii="Arial" w:eastAsiaTheme="majorEastAsia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62E3"/>
    <w:rPr>
      <w:rFonts w:ascii="Arial" w:eastAsiaTheme="majorEastAsia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62E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62E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62E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62E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62E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62E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762E3"/>
    <w:pPr>
      <w:spacing w:before="240" w:after="60"/>
      <w:jc w:val="center"/>
      <w:outlineLvl w:val="0"/>
    </w:pPr>
    <w:rPr>
      <w:rFonts w:ascii="Arial" w:eastAsiaTheme="majorEastAsia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762E3"/>
    <w:rPr>
      <w:rFonts w:ascii="Arial" w:eastAsiaTheme="majorEastAsia" w:hAnsi="Arial" w:cs="Arial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62E3"/>
    <w:pPr>
      <w:spacing w:after="60"/>
      <w:jc w:val="center"/>
      <w:outlineLvl w:val="1"/>
    </w:pPr>
    <w:rPr>
      <w:rFonts w:ascii="Arial" w:eastAsiaTheme="majorEastAsia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sid w:val="005762E3"/>
    <w:rPr>
      <w:rFonts w:ascii="Arial" w:eastAsiaTheme="majorEastAsia" w:hAnsi="Arial" w:cs="Arial"/>
      <w:sz w:val="24"/>
      <w:szCs w:val="24"/>
    </w:rPr>
  </w:style>
  <w:style w:type="character" w:styleId="Strong">
    <w:name w:val="Strong"/>
    <w:basedOn w:val="DefaultParagraphFont"/>
    <w:uiPriority w:val="22"/>
    <w:qFormat/>
    <w:rsid w:val="005762E3"/>
    <w:rPr>
      <w:b/>
      <w:bCs/>
    </w:rPr>
  </w:style>
  <w:style w:type="character" w:styleId="Emphasis">
    <w:name w:val="Emphasis"/>
    <w:basedOn w:val="DefaultParagraphFont"/>
    <w:uiPriority w:val="20"/>
    <w:qFormat/>
    <w:rsid w:val="005762E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762E3"/>
    <w:rPr>
      <w:szCs w:val="32"/>
    </w:rPr>
  </w:style>
  <w:style w:type="paragraph" w:styleId="ListParagraph">
    <w:name w:val="List Paragraph"/>
    <w:basedOn w:val="Normal"/>
    <w:uiPriority w:val="34"/>
    <w:qFormat/>
    <w:rsid w:val="005762E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762E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762E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62E3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62E3"/>
    <w:rPr>
      <w:b/>
      <w:i/>
      <w:sz w:val="24"/>
    </w:rPr>
  </w:style>
  <w:style w:type="character" w:styleId="SubtleEmphasis">
    <w:name w:val="Subtle Emphasis"/>
    <w:uiPriority w:val="19"/>
    <w:qFormat/>
    <w:rsid w:val="005762E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762E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762E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762E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762E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62E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>European Parliament</Company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BRABANDER Liesbet</dc:creator>
  <cp:keywords/>
  <dc:description/>
  <cp:lastModifiedBy>DE BRABANDER Liesbet</cp:lastModifiedBy>
  <cp:revision>1</cp:revision>
  <dcterms:created xsi:type="dcterms:W3CDTF">2024-08-09T09:23:00Z</dcterms:created>
  <dcterms:modified xsi:type="dcterms:W3CDTF">2024-08-09T09:23:00Z</dcterms:modified>
</cp:coreProperties>
</file>